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FE3" w:rsidRDefault="007D3003" w:rsidP="007D3003">
      <w:pPr>
        <w:pStyle w:val="Tytu"/>
        <w:tabs>
          <w:tab w:val="left" w:pos="3660"/>
        </w:tabs>
        <w:ind w:left="426"/>
        <w:jc w:val="left"/>
        <w:rPr>
          <w:rFonts w:ascii="Century Gothic" w:hAnsi="Century Gothic" w:cs="Tahoma"/>
          <w:color w:val="auto"/>
          <w:sz w:val="36"/>
          <w:szCs w:val="36"/>
        </w:rPr>
      </w:pPr>
      <w:r>
        <w:rPr>
          <w:rFonts w:ascii="Century Gothic" w:hAnsi="Century Gothic" w:cs="Tahoma"/>
          <w:color w:val="auto"/>
          <w:sz w:val="36"/>
          <w:szCs w:val="36"/>
        </w:rPr>
        <w:tab/>
      </w: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i/>
          <w:color w:val="auto"/>
          <w:sz w:val="44"/>
          <w:szCs w:val="44"/>
        </w:rPr>
      </w:pPr>
      <w:r>
        <w:rPr>
          <w:rFonts w:ascii="Century Gothic" w:hAnsi="Century Gothic" w:cs="Tahoma"/>
          <w:i/>
          <w:color w:val="auto"/>
          <w:sz w:val="44"/>
          <w:szCs w:val="44"/>
        </w:rPr>
        <w:t xml:space="preserve">GRUPA KAPITAŁOWA </w:t>
      </w:r>
      <w:proofErr w:type="spellStart"/>
      <w:r w:rsidR="00FE3428">
        <w:rPr>
          <w:rFonts w:ascii="Century Gothic" w:hAnsi="Century Gothic" w:cs="Tahoma"/>
          <w:i/>
          <w:color w:val="auto"/>
          <w:sz w:val="44"/>
          <w:szCs w:val="44"/>
        </w:rPr>
        <w:t>Skystone</w:t>
      </w:r>
      <w:proofErr w:type="spellEnd"/>
      <w:r w:rsidR="00FE3428">
        <w:rPr>
          <w:rFonts w:ascii="Century Gothic" w:hAnsi="Century Gothic" w:cs="Tahoma"/>
          <w:i/>
          <w:color w:val="auto"/>
          <w:sz w:val="44"/>
          <w:szCs w:val="44"/>
        </w:rPr>
        <w:t xml:space="preserve"> Capital</w:t>
      </w:r>
      <w:r>
        <w:rPr>
          <w:rFonts w:ascii="Century Gothic" w:hAnsi="Century Gothic" w:cs="Tahoma"/>
          <w:i/>
          <w:color w:val="auto"/>
          <w:sz w:val="44"/>
          <w:szCs w:val="44"/>
        </w:rPr>
        <w:t xml:space="preserve"> S.A.</w:t>
      </w: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color w:val="auto"/>
          <w:sz w:val="36"/>
          <w:szCs w:val="36"/>
        </w:rPr>
      </w:pPr>
    </w:p>
    <w:p w:rsidR="00272FE3" w:rsidRDefault="00272FE3">
      <w:pPr>
        <w:pStyle w:val="Tytu"/>
        <w:ind w:left="426"/>
        <w:rPr>
          <w:rFonts w:ascii="Century Gothic" w:hAnsi="Century Gothic" w:cs="Tahoma"/>
          <w:i/>
          <w:color w:val="auto"/>
          <w:sz w:val="36"/>
          <w:szCs w:val="36"/>
        </w:rPr>
      </w:pPr>
    </w:p>
    <w:p w:rsidR="00272FE3" w:rsidRDefault="00272FE3">
      <w:pPr>
        <w:pStyle w:val="Tytu"/>
        <w:ind w:left="426"/>
        <w:rPr>
          <w:rFonts w:ascii="Century Gothic" w:hAnsi="Century Gothic" w:cs="Tahoma"/>
          <w:i/>
          <w:color w:val="auto"/>
          <w:sz w:val="28"/>
          <w:szCs w:val="28"/>
        </w:rPr>
      </w:pPr>
      <w:r>
        <w:rPr>
          <w:rFonts w:ascii="Century Gothic" w:hAnsi="Century Gothic" w:cs="Tahoma"/>
          <w:i/>
          <w:color w:val="auto"/>
          <w:sz w:val="28"/>
          <w:szCs w:val="28"/>
        </w:rPr>
        <w:t>Śródroczne skonsolidowane sprawozdanie finansowe</w:t>
      </w:r>
    </w:p>
    <w:p w:rsidR="00272FE3" w:rsidRDefault="007D3003">
      <w:pPr>
        <w:pStyle w:val="Tytu"/>
        <w:ind w:left="426"/>
        <w:rPr>
          <w:rFonts w:ascii="Century Gothic" w:hAnsi="Century Gothic" w:cs="Tahoma"/>
          <w:i/>
          <w:color w:val="auto"/>
          <w:sz w:val="28"/>
          <w:szCs w:val="28"/>
        </w:rPr>
      </w:pPr>
      <w:r>
        <w:rPr>
          <w:rFonts w:ascii="Century Gothic" w:hAnsi="Century Gothic" w:cs="Tahoma"/>
          <w:i/>
          <w:color w:val="auto"/>
          <w:sz w:val="28"/>
          <w:szCs w:val="28"/>
        </w:rPr>
        <w:t>za I</w:t>
      </w:r>
      <w:r w:rsidR="00C254C4">
        <w:rPr>
          <w:rFonts w:ascii="Century Gothic" w:hAnsi="Century Gothic" w:cs="Tahoma"/>
          <w:i/>
          <w:color w:val="auto"/>
          <w:sz w:val="28"/>
          <w:szCs w:val="28"/>
        </w:rPr>
        <w:t xml:space="preserve"> kwartał</w:t>
      </w:r>
      <w:r w:rsidR="00272FE3">
        <w:rPr>
          <w:rFonts w:ascii="Century Gothic" w:hAnsi="Century Gothic" w:cs="Tahoma"/>
          <w:i/>
          <w:color w:val="auto"/>
          <w:sz w:val="28"/>
          <w:szCs w:val="28"/>
        </w:rPr>
        <w:t xml:space="preserve"> 20</w:t>
      </w:r>
      <w:r w:rsidR="002D73F4">
        <w:rPr>
          <w:rFonts w:ascii="Century Gothic" w:hAnsi="Century Gothic" w:cs="Tahoma"/>
          <w:i/>
          <w:color w:val="auto"/>
          <w:sz w:val="28"/>
          <w:szCs w:val="28"/>
        </w:rPr>
        <w:t>1</w:t>
      </w:r>
      <w:r w:rsidR="003B6EFF">
        <w:rPr>
          <w:rFonts w:ascii="Century Gothic" w:hAnsi="Century Gothic" w:cs="Tahoma"/>
          <w:i/>
          <w:color w:val="auto"/>
          <w:sz w:val="28"/>
          <w:szCs w:val="28"/>
        </w:rPr>
        <w:t>4</w:t>
      </w:r>
      <w:r w:rsidR="00272FE3">
        <w:rPr>
          <w:rFonts w:ascii="Century Gothic" w:hAnsi="Century Gothic" w:cs="Tahoma"/>
          <w:i/>
          <w:color w:val="auto"/>
          <w:sz w:val="28"/>
          <w:szCs w:val="28"/>
        </w:rPr>
        <w:t xml:space="preserve"> roku</w:t>
      </w: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i/>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color w:val="auto"/>
          <w:sz w:val="22"/>
          <w:szCs w:val="22"/>
        </w:rPr>
      </w:pPr>
    </w:p>
    <w:p w:rsidR="00272FE3" w:rsidRDefault="00272FE3">
      <w:pPr>
        <w:pStyle w:val="Tytu"/>
        <w:ind w:left="426"/>
        <w:rPr>
          <w:rFonts w:ascii="Century Gothic" w:hAnsi="Century Gothic" w:cs="Tahoma"/>
          <w:i/>
          <w:color w:val="auto"/>
          <w:sz w:val="22"/>
          <w:szCs w:val="22"/>
        </w:rPr>
      </w:pPr>
      <w:r>
        <w:rPr>
          <w:rFonts w:ascii="Century Gothic" w:hAnsi="Century Gothic" w:cs="Tahoma"/>
          <w:i/>
          <w:color w:val="auto"/>
          <w:sz w:val="22"/>
          <w:szCs w:val="22"/>
        </w:rPr>
        <w:t>Sporządzone zgodnie z Międzynarodowymi Standardami Sprawozdawczości Finansowej</w:t>
      </w:r>
    </w:p>
    <w:p w:rsidR="00272FE3" w:rsidRDefault="00272FE3">
      <w:pPr>
        <w:pStyle w:val="Tytu"/>
        <w:ind w:left="426"/>
        <w:rPr>
          <w:rFonts w:ascii="Century Gothic" w:hAnsi="Century Gothic" w:cs="Tahoma"/>
          <w:color w:val="auto"/>
          <w:sz w:val="22"/>
          <w:szCs w:val="22"/>
        </w:rPr>
      </w:pPr>
    </w:p>
    <w:p w:rsidR="00272FE3" w:rsidRPr="00F8370D" w:rsidRDefault="00272FE3">
      <w:pPr>
        <w:pStyle w:val="Tytu"/>
        <w:ind w:left="426"/>
        <w:rPr>
          <w:rFonts w:ascii="Century Gothic" w:hAnsi="Century Gothic" w:cs="Tahoma"/>
          <w:color w:val="auto"/>
          <w:sz w:val="22"/>
          <w:szCs w:val="22"/>
          <w:u w:val="single"/>
        </w:rPr>
      </w:pPr>
    </w:p>
    <w:p w:rsidR="00CA2656" w:rsidRPr="00F8370D" w:rsidRDefault="00CA2656">
      <w:pPr>
        <w:pStyle w:val="Tytu"/>
        <w:ind w:left="426"/>
        <w:jc w:val="left"/>
        <w:rPr>
          <w:rFonts w:ascii="Century Gothic" w:hAnsi="Century Gothic" w:cs="Tahoma"/>
          <w:color w:val="auto"/>
          <w:sz w:val="22"/>
          <w:szCs w:val="22"/>
          <w:u w:val="single"/>
        </w:rPr>
      </w:pPr>
    </w:p>
    <w:p w:rsidR="00CA2656" w:rsidRDefault="00CA2656">
      <w:pPr>
        <w:pStyle w:val="Tytu"/>
        <w:ind w:left="426"/>
        <w:jc w:val="left"/>
        <w:rPr>
          <w:rFonts w:ascii="Century Gothic" w:hAnsi="Century Gothic" w:cs="Tahoma"/>
          <w:color w:val="auto"/>
          <w:sz w:val="22"/>
          <w:szCs w:val="22"/>
          <w:u w:val="single"/>
        </w:rPr>
      </w:pPr>
    </w:p>
    <w:p w:rsidR="00CA2656" w:rsidRPr="00F8370D" w:rsidRDefault="00CA2656">
      <w:pPr>
        <w:pStyle w:val="Tytu"/>
        <w:ind w:left="426"/>
        <w:jc w:val="left"/>
        <w:rPr>
          <w:rFonts w:ascii="Century Gothic" w:hAnsi="Century Gothic" w:cs="Tahoma"/>
          <w:color w:val="auto"/>
          <w:sz w:val="22"/>
          <w:szCs w:val="22"/>
        </w:rPr>
      </w:pPr>
    </w:p>
    <w:p w:rsidR="008E1759" w:rsidRDefault="00DC702E">
      <w:pPr>
        <w:pStyle w:val="Spistreci1"/>
        <w:tabs>
          <w:tab w:val="left" w:pos="403"/>
          <w:tab w:val="right" w:leader="dot" w:pos="9770"/>
        </w:tabs>
        <w:rPr>
          <w:rFonts w:asciiTheme="minorHAnsi" w:eastAsiaTheme="minorEastAsia" w:hAnsiTheme="minorHAnsi" w:cstheme="minorBidi"/>
          <w:b w:val="0"/>
          <w:caps w:val="0"/>
          <w:szCs w:val="22"/>
        </w:rPr>
      </w:pPr>
      <w:r>
        <w:rPr>
          <w:rFonts w:cs="Tahoma"/>
          <w:caps w:val="0"/>
          <w:szCs w:val="22"/>
          <w:u w:val="single"/>
        </w:rPr>
        <w:fldChar w:fldCharType="begin"/>
      </w:r>
      <w:r w:rsidR="00F4541C">
        <w:rPr>
          <w:rFonts w:cs="Tahoma"/>
          <w:caps w:val="0"/>
          <w:szCs w:val="22"/>
          <w:u w:val="single"/>
        </w:rPr>
        <w:instrText xml:space="preserve"> TOC \o "1-2" \h \z \u </w:instrText>
      </w:r>
      <w:r>
        <w:rPr>
          <w:rFonts w:cs="Tahoma"/>
          <w:caps w:val="0"/>
          <w:szCs w:val="22"/>
          <w:u w:val="single"/>
        </w:rPr>
        <w:fldChar w:fldCharType="separate"/>
      </w:r>
      <w:hyperlink w:anchor="_Toc387945890" w:history="1">
        <w:r w:rsidR="008E1759" w:rsidRPr="00B566AC">
          <w:rPr>
            <w:rStyle w:val="Hipercze"/>
          </w:rPr>
          <w:t>I.</w:t>
        </w:r>
        <w:r w:rsidR="008E1759">
          <w:rPr>
            <w:rFonts w:asciiTheme="minorHAnsi" w:eastAsiaTheme="minorEastAsia" w:hAnsiTheme="minorHAnsi" w:cstheme="minorBidi"/>
            <w:b w:val="0"/>
            <w:caps w:val="0"/>
            <w:szCs w:val="22"/>
          </w:rPr>
          <w:tab/>
        </w:r>
        <w:r w:rsidR="008E1759" w:rsidRPr="00B566AC">
          <w:rPr>
            <w:rStyle w:val="Hipercze"/>
          </w:rPr>
          <w:t>ŚRÓDROCZNE SKONSOLIDOWANE SPRAWOZDANIE FINANSOWE GRUPY KAPITAŁOWEJ  Skystone Capital S.A. ZA I KWARTAŁ 2014 ROKU</w:t>
        </w:r>
        <w:r w:rsidR="008E1759">
          <w:rPr>
            <w:webHidden/>
          </w:rPr>
          <w:tab/>
        </w:r>
        <w:r w:rsidR="008E1759">
          <w:rPr>
            <w:webHidden/>
          </w:rPr>
          <w:fldChar w:fldCharType="begin"/>
        </w:r>
        <w:r w:rsidR="008E1759">
          <w:rPr>
            <w:webHidden/>
          </w:rPr>
          <w:instrText xml:space="preserve"> PAGEREF _Toc387945890 \h </w:instrText>
        </w:r>
        <w:r w:rsidR="008E1759">
          <w:rPr>
            <w:webHidden/>
          </w:rPr>
        </w:r>
        <w:r w:rsidR="008E1759">
          <w:rPr>
            <w:webHidden/>
          </w:rPr>
          <w:fldChar w:fldCharType="separate"/>
        </w:r>
        <w:r w:rsidR="008E1759">
          <w:rPr>
            <w:webHidden/>
          </w:rPr>
          <w:t>3</w:t>
        </w:r>
        <w:r w:rsidR="008E1759">
          <w:rPr>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1" w:history="1">
        <w:r w:rsidRPr="00B566AC">
          <w:rPr>
            <w:rStyle w:val="Hipercze"/>
            <w:rFonts w:ascii="Century Gothic" w:hAnsi="Century Gothic" w:cs="Tahoma"/>
            <w:bCs/>
            <w:noProof/>
          </w:rPr>
          <w:t>WYBRANE DANE FINANSOWE</w:t>
        </w:r>
        <w:r>
          <w:rPr>
            <w:noProof/>
            <w:webHidden/>
          </w:rPr>
          <w:tab/>
        </w:r>
        <w:r>
          <w:rPr>
            <w:noProof/>
            <w:webHidden/>
          </w:rPr>
          <w:fldChar w:fldCharType="begin"/>
        </w:r>
        <w:r>
          <w:rPr>
            <w:noProof/>
            <w:webHidden/>
          </w:rPr>
          <w:instrText xml:space="preserve"> PAGEREF _Toc387945891 \h </w:instrText>
        </w:r>
        <w:r>
          <w:rPr>
            <w:noProof/>
            <w:webHidden/>
          </w:rPr>
        </w:r>
        <w:r>
          <w:rPr>
            <w:noProof/>
            <w:webHidden/>
          </w:rPr>
          <w:fldChar w:fldCharType="separate"/>
        </w:r>
        <w:r>
          <w:rPr>
            <w:noProof/>
            <w:webHidden/>
          </w:rPr>
          <w:t>3</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2" w:history="1">
        <w:r w:rsidRPr="00B566AC">
          <w:rPr>
            <w:rStyle w:val="Hipercze"/>
            <w:rFonts w:ascii="Century Gothic" w:hAnsi="Century Gothic" w:cs="Tahoma"/>
            <w:bCs/>
            <w:noProof/>
          </w:rPr>
          <w:t>SKONSOLIDOWANE SPRAWOZDANIE Z SYTUACJI FINANSOWEJ</w:t>
        </w:r>
        <w:r>
          <w:rPr>
            <w:noProof/>
            <w:webHidden/>
          </w:rPr>
          <w:tab/>
        </w:r>
        <w:r>
          <w:rPr>
            <w:noProof/>
            <w:webHidden/>
          </w:rPr>
          <w:fldChar w:fldCharType="begin"/>
        </w:r>
        <w:r>
          <w:rPr>
            <w:noProof/>
            <w:webHidden/>
          </w:rPr>
          <w:instrText xml:space="preserve"> PAGEREF _Toc387945892 \h </w:instrText>
        </w:r>
        <w:r>
          <w:rPr>
            <w:noProof/>
            <w:webHidden/>
          </w:rPr>
        </w:r>
        <w:r>
          <w:rPr>
            <w:noProof/>
            <w:webHidden/>
          </w:rPr>
          <w:fldChar w:fldCharType="separate"/>
        </w:r>
        <w:r>
          <w:rPr>
            <w:noProof/>
            <w:webHidden/>
          </w:rPr>
          <w:t>4</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3" w:history="1">
        <w:r w:rsidRPr="00B566AC">
          <w:rPr>
            <w:rStyle w:val="Hipercze"/>
            <w:rFonts w:ascii="Century Gothic" w:hAnsi="Century Gothic" w:cs="Tahoma"/>
            <w:bCs/>
            <w:noProof/>
          </w:rPr>
          <w:t>SKONSOLIDOWANY RACHUNEK ZYSKÓW I STRAT I SPRAWOZDANIE Z CAŁKOWITYCH DOCHODÓW</w:t>
        </w:r>
        <w:r>
          <w:rPr>
            <w:noProof/>
            <w:webHidden/>
          </w:rPr>
          <w:tab/>
        </w:r>
        <w:r>
          <w:rPr>
            <w:noProof/>
            <w:webHidden/>
          </w:rPr>
          <w:fldChar w:fldCharType="begin"/>
        </w:r>
        <w:r>
          <w:rPr>
            <w:noProof/>
            <w:webHidden/>
          </w:rPr>
          <w:instrText xml:space="preserve"> PAGEREF _Toc387945893 \h </w:instrText>
        </w:r>
        <w:r>
          <w:rPr>
            <w:noProof/>
            <w:webHidden/>
          </w:rPr>
        </w:r>
        <w:r>
          <w:rPr>
            <w:noProof/>
            <w:webHidden/>
          </w:rPr>
          <w:fldChar w:fldCharType="separate"/>
        </w:r>
        <w:r>
          <w:rPr>
            <w:noProof/>
            <w:webHidden/>
          </w:rPr>
          <w:t>5</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4" w:history="1">
        <w:r w:rsidRPr="00B566AC">
          <w:rPr>
            <w:rStyle w:val="Hipercze"/>
            <w:rFonts w:ascii="Century Gothic" w:hAnsi="Century Gothic" w:cs="Tahoma"/>
            <w:bCs/>
            <w:noProof/>
          </w:rPr>
          <w:t>SKONSOLIDOWANE SPRAWOZDANIE Z PRZEPŁYWÓW PIENIĘŻNYCH</w:t>
        </w:r>
        <w:r>
          <w:rPr>
            <w:noProof/>
            <w:webHidden/>
          </w:rPr>
          <w:tab/>
        </w:r>
        <w:r>
          <w:rPr>
            <w:noProof/>
            <w:webHidden/>
          </w:rPr>
          <w:fldChar w:fldCharType="begin"/>
        </w:r>
        <w:r>
          <w:rPr>
            <w:noProof/>
            <w:webHidden/>
          </w:rPr>
          <w:instrText xml:space="preserve"> PAGEREF _Toc387945894 \h </w:instrText>
        </w:r>
        <w:r>
          <w:rPr>
            <w:noProof/>
            <w:webHidden/>
          </w:rPr>
        </w:r>
        <w:r>
          <w:rPr>
            <w:noProof/>
            <w:webHidden/>
          </w:rPr>
          <w:fldChar w:fldCharType="separate"/>
        </w:r>
        <w:r>
          <w:rPr>
            <w:noProof/>
            <w:webHidden/>
          </w:rPr>
          <w:t>6</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5" w:history="1">
        <w:r w:rsidRPr="00B566AC">
          <w:rPr>
            <w:rStyle w:val="Hipercze"/>
            <w:rFonts w:ascii="Century Gothic" w:hAnsi="Century Gothic" w:cs="Tahoma"/>
            <w:bCs/>
            <w:noProof/>
          </w:rPr>
          <w:t>SKONSOLIDOWANE ZESTAWIENIE ZMIAN W KAPITALE WŁASNYM</w:t>
        </w:r>
        <w:r>
          <w:rPr>
            <w:noProof/>
            <w:webHidden/>
          </w:rPr>
          <w:tab/>
        </w:r>
        <w:r>
          <w:rPr>
            <w:noProof/>
            <w:webHidden/>
          </w:rPr>
          <w:fldChar w:fldCharType="begin"/>
        </w:r>
        <w:r>
          <w:rPr>
            <w:noProof/>
            <w:webHidden/>
          </w:rPr>
          <w:instrText xml:space="preserve"> PAGEREF _Toc387945895 \h </w:instrText>
        </w:r>
        <w:r>
          <w:rPr>
            <w:noProof/>
            <w:webHidden/>
          </w:rPr>
        </w:r>
        <w:r>
          <w:rPr>
            <w:noProof/>
            <w:webHidden/>
          </w:rPr>
          <w:fldChar w:fldCharType="separate"/>
        </w:r>
        <w:r>
          <w:rPr>
            <w:noProof/>
            <w:webHidden/>
          </w:rPr>
          <w:t>7</w:t>
        </w:r>
        <w:r>
          <w:rPr>
            <w:noProof/>
            <w:webHidden/>
          </w:rPr>
          <w:fldChar w:fldCharType="end"/>
        </w:r>
      </w:hyperlink>
    </w:p>
    <w:p w:rsidR="008E1759" w:rsidRDefault="008E1759">
      <w:pPr>
        <w:pStyle w:val="Spistreci1"/>
        <w:tabs>
          <w:tab w:val="left" w:pos="600"/>
          <w:tab w:val="right" w:leader="dot" w:pos="9770"/>
        </w:tabs>
        <w:rPr>
          <w:rFonts w:asciiTheme="minorHAnsi" w:eastAsiaTheme="minorEastAsia" w:hAnsiTheme="minorHAnsi" w:cstheme="minorBidi"/>
          <w:b w:val="0"/>
          <w:caps w:val="0"/>
          <w:szCs w:val="22"/>
        </w:rPr>
      </w:pPr>
      <w:hyperlink w:anchor="_Toc387945896" w:history="1">
        <w:r w:rsidRPr="00B566AC">
          <w:rPr>
            <w:rStyle w:val="Hipercze"/>
            <w:rFonts w:cs="Tahoma"/>
            <w:bCs/>
          </w:rPr>
          <w:t>II.</w:t>
        </w:r>
        <w:r>
          <w:rPr>
            <w:rFonts w:asciiTheme="minorHAnsi" w:eastAsiaTheme="minorEastAsia" w:hAnsiTheme="minorHAnsi" w:cstheme="minorBidi"/>
            <w:b w:val="0"/>
            <w:caps w:val="0"/>
            <w:szCs w:val="22"/>
          </w:rPr>
          <w:tab/>
        </w:r>
        <w:r w:rsidRPr="00B566AC">
          <w:rPr>
            <w:rStyle w:val="Hipercze"/>
            <w:rFonts w:cs="Tahoma"/>
            <w:bCs/>
          </w:rPr>
          <w:t>NOTY OBJAŚNIAJĄCE DO ŚRÓDROCZNEGO SKONSOLIDOWANEGO SPRAWOZDANIA FINANSOWEGO ZA I KWARTAŁ 2014 ROKU</w:t>
        </w:r>
        <w:r>
          <w:rPr>
            <w:webHidden/>
          </w:rPr>
          <w:tab/>
        </w:r>
        <w:r>
          <w:rPr>
            <w:webHidden/>
          </w:rPr>
          <w:fldChar w:fldCharType="begin"/>
        </w:r>
        <w:r>
          <w:rPr>
            <w:webHidden/>
          </w:rPr>
          <w:instrText xml:space="preserve"> PAGEREF _Toc387945896 \h </w:instrText>
        </w:r>
        <w:r>
          <w:rPr>
            <w:webHidden/>
          </w:rPr>
        </w:r>
        <w:r>
          <w:rPr>
            <w:webHidden/>
          </w:rPr>
          <w:fldChar w:fldCharType="separate"/>
        </w:r>
        <w:r>
          <w:rPr>
            <w:webHidden/>
          </w:rPr>
          <w:t>8</w:t>
        </w:r>
        <w:r>
          <w:rPr>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7" w:history="1">
        <w:r w:rsidRPr="00B566AC">
          <w:rPr>
            <w:rStyle w:val="Hipercze"/>
            <w:rFonts w:ascii="Century Gothic" w:hAnsi="Century Gothic"/>
            <w:bCs/>
            <w:noProof/>
          </w:rPr>
          <w:t>1.</w:t>
        </w:r>
        <w:r>
          <w:rPr>
            <w:rFonts w:asciiTheme="minorHAnsi" w:eastAsiaTheme="minorEastAsia" w:hAnsiTheme="minorHAnsi" w:cstheme="minorBidi"/>
            <w:noProof/>
            <w:sz w:val="22"/>
            <w:szCs w:val="22"/>
          </w:rPr>
          <w:tab/>
        </w:r>
        <w:r w:rsidRPr="00B566AC">
          <w:rPr>
            <w:rStyle w:val="Hipercze"/>
            <w:rFonts w:ascii="Century Gothic" w:hAnsi="Century Gothic"/>
            <w:bCs/>
            <w:noProof/>
          </w:rPr>
          <w:t>ZATWIERDZENIE SPRAWOZDANIA FINANSOWEGO</w:t>
        </w:r>
        <w:r>
          <w:rPr>
            <w:noProof/>
            <w:webHidden/>
          </w:rPr>
          <w:tab/>
        </w:r>
        <w:r>
          <w:rPr>
            <w:noProof/>
            <w:webHidden/>
          </w:rPr>
          <w:fldChar w:fldCharType="begin"/>
        </w:r>
        <w:r>
          <w:rPr>
            <w:noProof/>
            <w:webHidden/>
          </w:rPr>
          <w:instrText xml:space="preserve"> PAGEREF _Toc387945897 \h </w:instrText>
        </w:r>
        <w:r>
          <w:rPr>
            <w:noProof/>
            <w:webHidden/>
          </w:rPr>
        </w:r>
        <w:r>
          <w:rPr>
            <w:noProof/>
            <w:webHidden/>
          </w:rPr>
          <w:fldChar w:fldCharType="separate"/>
        </w:r>
        <w:r>
          <w:rPr>
            <w:noProof/>
            <w:webHidden/>
          </w:rPr>
          <w:t>8</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898" w:history="1">
        <w:r w:rsidRPr="00B566AC">
          <w:rPr>
            <w:rStyle w:val="Hipercze"/>
            <w:rFonts w:ascii="Century Gothic" w:hAnsi="Century Gothic"/>
            <w:bCs/>
            <w:noProof/>
          </w:rPr>
          <w:t>2.</w:t>
        </w:r>
        <w:r>
          <w:rPr>
            <w:rFonts w:asciiTheme="minorHAnsi" w:eastAsiaTheme="minorEastAsia" w:hAnsiTheme="minorHAnsi" w:cstheme="minorBidi"/>
            <w:noProof/>
            <w:sz w:val="22"/>
            <w:szCs w:val="22"/>
          </w:rPr>
          <w:tab/>
        </w:r>
        <w:r w:rsidRPr="00B566AC">
          <w:rPr>
            <w:rStyle w:val="Hipercze"/>
            <w:rFonts w:ascii="Century Gothic" w:hAnsi="Century Gothic"/>
            <w:bCs/>
            <w:noProof/>
          </w:rPr>
          <w:t>PODSTAWA I ZASADY SPORZĄDZENIA SKONSOLIDOWANEGO SPRAWOZDANIA FINANSOWEGO</w:t>
        </w:r>
        <w:r>
          <w:rPr>
            <w:noProof/>
            <w:webHidden/>
          </w:rPr>
          <w:tab/>
        </w:r>
        <w:r>
          <w:rPr>
            <w:noProof/>
            <w:webHidden/>
          </w:rPr>
          <w:tab/>
        </w:r>
        <w:r>
          <w:rPr>
            <w:noProof/>
            <w:webHidden/>
          </w:rPr>
          <w:tab/>
        </w:r>
        <w:r>
          <w:rPr>
            <w:noProof/>
            <w:webHidden/>
          </w:rPr>
          <w:fldChar w:fldCharType="begin"/>
        </w:r>
        <w:r>
          <w:rPr>
            <w:noProof/>
            <w:webHidden/>
          </w:rPr>
          <w:instrText xml:space="preserve"> PAGEREF _Toc387945898 \h </w:instrText>
        </w:r>
        <w:r>
          <w:rPr>
            <w:noProof/>
            <w:webHidden/>
          </w:rPr>
        </w:r>
        <w:r>
          <w:rPr>
            <w:noProof/>
            <w:webHidden/>
          </w:rPr>
          <w:fldChar w:fldCharType="separate"/>
        </w:r>
        <w:r>
          <w:rPr>
            <w:noProof/>
            <w:webHidden/>
          </w:rPr>
          <w:t>8</w:t>
        </w:r>
        <w:r>
          <w:rPr>
            <w:noProof/>
            <w:webHidden/>
          </w:rPr>
          <w:fldChar w:fldCharType="end"/>
        </w:r>
      </w:hyperlink>
    </w:p>
    <w:p w:rsidR="008E1759" w:rsidRDefault="008E1759" w:rsidP="008E1759">
      <w:pPr>
        <w:pStyle w:val="Spistreci2"/>
        <w:ind w:left="709" w:hanging="511"/>
        <w:rPr>
          <w:rFonts w:asciiTheme="minorHAnsi" w:eastAsiaTheme="minorEastAsia" w:hAnsiTheme="minorHAnsi" w:cstheme="minorBidi"/>
          <w:noProof/>
          <w:sz w:val="22"/>
          <w:szCs w:val="22"/>
        </w:rPr>
      </w:pPr>
      <w:hyperlink w:anchor="_Toc387945899" w:history="1">
        <w:r w:rsidRPr="00B566AC">
          <w:rPr>
            <w:rStyle w:val="Hipercze"/>
            <w:rFonts w:ascii="Century Gothic" w:hAnsi="Century Gothic"/>
            <w:bCs/>
            <w:noProof/>
          </w:rPr>
          <w:t>3.</w:t>
        </w:r>
        <w:r>
          <w:rPr>
            <w:rFonts w:asciiTheme="minorHAnsi" w:eastAsiaTheme="minorEastAsia" w:hAnsiTheme="minorHAnsi" w:cstheme="minorBidi"/>
            <w:noProof/>
            <w:sz w:val="22"/>
            <w:szCs w:val="22"/>
          </w:rPr>
          <w:tab/>
        </w:r>
        <w:r w:rsidRPr="00B566AC">
          <w:rPr>
            <w:rStyle w:val="Hipercze"/>
            <w:rFonts w:ascii="Century Gothic" w:hAnsi="Century Gothic"/>
            <w:bCs/>
            <w:noProof/>
          </w:rPr>
          <w:t>PODSTAWOWE ZASADY WYCENY AKTYWÓW I PASYWÓW ORAZ POMIARU WYNIKU FINANSOWEGO</w:t>
        </w:r>
        <w:r>
          <w:rPr>
            <w:noProof/>
            <w:webHidden/>
          </w:rPr>
          <w:tab/>
        </w:r>
        <w:r>
          <w:rPr>
            <w:noProof/>
            <w:webHidden/>
          </w:rPr>
          <w:fldChar w:fldCharType="begin"/>
        </w:r>
        <w:r>
          <w:rPr>
            <w:noProof/>
            <w:webHidden/>
          </w:rPr>
          <w:instrText xml:space="preserve"> PAGEREF _Toc387945899 \h </w:instrText>
        </w:r>
        <w:r>
          <w:rPr>
            <w:noProof/>
            <w:webHidden/>
          </w:rPr>
        </w:r>
        <w:r>
          <w:rPr>
            <w:noProof/>
            <w:webHidden/>
          </w:rPr>
          <w:fldChar w:fldCharType="separate"/>
        </w:r>
        <w:r>
          <w:rPr>
            <w:noProof/>
            <w:webHidden/>
          </w:rPr>
          <w:t>10</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0" w:history="1">
        <w:r w:rsidRPr="00B566AC">
          <w:rPr>
            <w:rStyle w:val="Hipercze"/>
            <w:rFonts w:ascii="Century Gothic" w:hAnsi="Century Gothic"/>
            <w:bCs/>
            <w:noProof/>
          </w:rPr>
          <w:t>4.</w:t>
        </w:r>
        <w:r>
          <w:rPr>
            <w:rFonts w:asciiTheme="minorHAnsi" w:eastAsiaTheme="minorEastAsia" w:hAnsiTheme="minorHAnsi" w:cstheme="minorBidi"/>
            <w:noProof/>
            <w:sz w:val="22"/>
            <w:szCs w:val="22"/>
          </w:rPr>
          <w:tab/>
        </w:r>
        <w:r w:rsidRPr="00B566AC">
          <w:rPr>
            <w:rStyle w:val="Hipercze"/>
            <w:rFonts w:ascii="Century Gothic" w:hAnsi="Century Gothic"/>
            <w:bCs/>
            <w:noProof/>
          </w:rPr>
          <w:t>ZARZĄDZANIE RYZYKIEM FINANSOWYM I KAPITAŁOWYM</w:t>
        </w:r>
        <w:r>
          <w:rPr>
            <w:noProof/>
            <w:webHidden/>
          </w:rPr>
          <w:tab/>
        </w:r>
        <w:r>
          <w:rPr>
            <w:noProof/>
            <w:webHidden/>
          </w:rPr>
          <w:fldChar w:fldCharType="begin"/>
        </w:r>
        <w:r>
          <w:rPr>
            <w:noProof/>
            <w:webHidden/>
          </w:rPr>
          <w:instrText xml:space="preserve"> PAGEREF _Toc387945900 \h </w:instrText>
        </w:r>
        <w:r>
          <w:rPr>
            <w:noProof/>
            <w:webHidden/>
          </w:rPr>
        </w:r>
        <w:r>
          <w:rPr>
            <w:noProof/>
            <w:webHidden/>
          </w:rPr>
          <w:fldChar w:fldCharType="separate"/>
        </w:r>
        <w:r>
          <w:rPr>
            <w:noProof/>
            <w:webHidden/>
          </w:rPr>
          <w:t>13</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1" w:history="1">
        <w:r w:rsidRPr="00B566AC">
          <w:rPr>
            <w:rStyle w:val="Hipercze"/>
            <w:rFonts w:ascii="Century Gothic" w:hAnsi="Century Gothic"/>
            <w:bCs/>
            <w:noProof/>
          </w:rPr>
          <w:t>5.</w:t>
        </w:r>
        <w:r>
          <w:rPr>
            <w:rFonts w:asciiTheme="minorHAnsi" w:eastAsiaTheme="minorEastAsia" w:hAnsiTheme="minorHAnsi" w:cstheme="minorBidi"/>
            <w:noProof/>
            <w:sz w:val="22"/>
            <w:szCs w:val="22"/>
          </w:rPr>
          <w:tab/>
        </w:r>
        <w:r w:rsidRPr="00B566AC">
          <w:rPr>
            <w:rStyle w:val="Hipercze"/>
            <w:rFonts w:ascii="Century Gothic" w:hAnsi="Century Gothic"/>
            <w:bCs/>
            <w:noProof/>
          </w:rPr>
          <w:t>RZECZOWE AKTYWA TRWAŁE</w:t>
        </w:r>
        <w:r>
          <w:rPr>
            <w:noProof/>
            <w:webHidden/>
          </w:rPr>
          <w:tab/>
        </w:r>
        <w:r>
          <w:rPr>
            <w:noProof/>
            <w:webHidden/>
          </w:rPr>
          <w:fldChar w:fldCharType="begin"/>
        </w:r>
        <w:r>
          <w:rPr>
            <w:noProof/>
            <w:webHidden/>
          </w:rPr>
          <w:instrText xml:space="preserve"> PAGEREF _Toc387945901 \h </w:instrText>
        </w:r>
        <w:r>
          <w:rPr>
            <w:noProof/>
            <w:webHidden/>
          </w:rPr>
        </w:r>
        <w:r>
          <w:rPr>
            <w:noProof/>
            <w:webHidden/>
          </w:rPr>
          <w:fldChar w:fldCharType="separate"/>
        </w:r>
        <w:r>
          <w:rPr>
            <w:noProof/>
            <w:webHidden/>
          </w:rPr>
          <w:t>16</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2" w:history="1">
        <w:r w:rsidRPr="00B566AC">
          <w:rPr>
            <w:rStyle w:val="Hipercze"/>
            <w:rFonts w:ascii="Century Gothic" w:hAnsi="Century Gothic"/>
            <w:bCs/>
            <w:noProof/>
          </w:rPr>
          <w:t>6.</w:t>
        </w:r>
        <w:r>
          <w:rPr>
            <w:rFonts w:asciiTheme="minorHAnsi" w:eastAsiaTheme="minorEastAsia" w:hAnsiTheme="minorHAnsi" w:cstheme="minorBidi"/>
            <w:noProof/>
            <w:sz w:val="22"/>
            <w:szCs w:val="22"/>
          </w:rPr>
          <w:tab/>
        </w:r>
        <w:r w:rsidRPr="00B566AC">
          <w:rPr>
            <w:rStyle w:val="Hipercze"/>
            <w:rFonts w:ascii="Century Gothic" w:hAnsi="Century Gothic"/>
            <w:bCs/>
            <w:noProof/>
          </w:rPr>
          <w:t>WARTOŚCI NIEMATERIALNE</w:t>
        </w:r>
        <w:r>
          <w:rPr>
            <w:noProof/>
            <w:webHidden/>
          </w:rPr>
          <w:tab/>
        </w:r>
        <w:r>
          <w:rPr>
            <w:noProof/>
            <w:webHidden/>
          </w:rPr>
          <w:fldChar w:fldCharType="begin"/>
        </w:r>
        <w:r>
          <w:rPr>
            <w:noProof/>
            <w:webHidden/>
          </w:rPr>
          <w:instrText xml:space="preserve"> PAGEREF _Toc387945902 \h </w:instrText>
        </w:r>
        <w:r>
          <w:rPr>
            <w:noProof/>
            <w:webHidden/>
          </w:rPr>
        </w:r>
        <w:r>
          <w:rPr>
            <w:noProof/>
            <w:webHidden/>
          </w:rPr>
          <w:fldChar w:fldCharType="separate"/>
        </w:r>
        <w:r>
          <w:rPr>
            <w:noProof/>
            <w:webHidden/>
          </w:rPr>
          <w:t>17</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3" w:history="1">
        <w:r w:rsidRPr="00B566AC">
          <w:rPr>
            <w:rStyle w:val="Hipercze"/>
            <w:rFonts w:ascii="Century Gothic" w:hAnsi="Century Gothic"/>
            <w:bCs/>
            <w:noProof/>
          </w:rPr>
          <w:t>7.</w:t>
        </w:r>
        <w:r>
          <w:rPr>
            <w:rFonts w:asciiTheme="minorHAnsi" w:eastAsiaTheme="minorEastAsia" w:hAnsiTheme="minorHAnsi" w:cstheme="minorBidi"/>
            <w:noProof/>
            <w:sz w:val="22"/>
            <w:szCs w:val="22"/>
          </w:rPr>
          <w:tab/>
        </w:r>
        <w:r w:rsidRPr="00B566AC">
          <w:rPr>
            <w:rStyle w:val="Hipercze"/>
            <w:rFonts w:ascii="Century Gothic" w:hAnsi="Century Gothic"/>
            <w:bCs/>
            <w:noProof/>
          </w:rPr>
          <w:t>INSTRUMENTY FINANSOWE</w:t>
        </w:r>
        <w:r>
          <w:rPr>
            <w:noProof/>
            <w:webHidden/>
          </w:rPr>
          <w:tab/>
        </w:r>
        <w:r>
          <w:rPr>
            <w:noProof/>
            <w:webHidden/>
          </w:rPr>
          <w:fldChar w:fldCharType="begin"/>
        </w:r>
        <w:r>
          <w:rPr>
            <w:noProof/>
            <w:webHidden/>
          </w:rPr>
          <w:instrText xml:space="preserve"> PAGEREF _Toc387945903 \h </w:instrText>
        </w:r>
        <w:r>
          <w:rPr>
            <w:noProof/>
            <w:webHidden/>
          </w:rPr>
        </w:r>
        <w:r>
          <w:rPr>
            <w:noProof/>
            <w:webHidden/>
          </w:rPr>
          <w:fldChar w:fldCharType="separate"/>
        </w:r>
        <w:r>
          <w:rPr>
            <w:noProof/>
            <w:webHidden/>
          </w:rPr>
          <w:t>18</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4" w:history="1">
        <w:r w:rsidRPr="00B566AC">
          <w:rPr>
            <w:rStyle w:val="Hipercze"/>
            <w:rFonts w:ascii="Century Gothic" w:hAnsi="Century Gothic"/>
            <w:bCs/>
            <w:noProof/>
          </w:rPr>
          <w:t>8.</w:t>
        </w:r>
        <w:r>
          <w:rPr>
            <w:rFonts w:asciiTheme="minorHAnsi" w:eastAsiaTheme="minorEastAsia" w:hAnsiTheme="minorHAnsi" w:cstheme="minorBidi"/>
            <w:noProof/>
            <w:sz w:val="22"/>
            <w:szCs w:val="22"/>
          </w:rPr>
          <w:tab/>
        </w:r>
        <w:r w:rsidRPr="00B566AC">
          <w:rPr>
            <w:rStyle w:val="Hipercze"/>
            <w:rFonts w:ascii="Century Gothic" w:hAnsi="Century Gothic"/>
            <w:bCs/>
            <w:noProof/>
          </w:rPr>
          <w:t>EMISJA, WYKUP I SPŁATA DŁUŻNYCH I KAPITAŁOWYCH PAPIERÓW WARTOŚCIOWYCH</w:t>
        </w:r>
        <w:r>
          <w:rPr>
            <w:noProof/>
            <w:webHidden/>
          </w:rPr>
          <w:tab/>
        </w:r>
        <w:r>
          <w:rPr>
            <w:noProof/>
            <w:webHidden/>
          </w:rPr>
          <w:fldChar w:fldCharType="begin"/>
        </w:r>
        <w:r>
          <w:rPr>
            <w:noProof/>
            <w:webHidden/>
          </w:rPr>
          <w:instrText xml:space="preserve"> PAGEREF _Toc387945904 \h </w:instrText>
        </w:r>
        <w:r>
          <w:rPr>
            <w:noProof/>
            <w:webHidden/>
          </w:rPr>
        </w:r>
        <w:r>
          <w:rPr>
            <w:noProof/>
            <w:webHidden/>
          </w:rPr>
          <w:fldChar w:fldCharType="separate"/>
        </w:r>
        <w:r>
          <w:rPr>
            <w:noProof/>
            <w:webHidden/>
          </w:rPr>
          <w:t>18</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5" w:history="1">
        <w:r w:rsidRPr="00B566AC">
          <w:rPr>
            <w:rStyle w:val="Hipercze"/>
            <w:rFonts w:ascii="Century Gothic" w:hAnsi="Century Gothic"/>
            <w:bCs/>
            <w:noProof/>
          </w:rPr>
          <w:t>9.</w:t>
        </w:r>
        <w:r>
          <w:rPr>
            <w:rFonts w:asciiTheme="minorHAnsi" w:eastAsiaTheme="minorEastAsia" w:hAnsiTheme="minorHAnsi" w:cstheme="minorBidi"/>
            <w:noProof/>
            <w:sz w:val="22"/>
            <w:szCs w:val="22"/>
          </w:rPr>
          <w:tab/>
        </w:r>
        <w:r w:rsidRPr="00B566AC">
          <w:rPr>
            <w:rStyle w:val="Hipercze"/>
            <w:rFonts w:ascii="Century Gothic" w:hAnsi="Century Gothic"/>
            <w:bCs/>
            <w:noProof/>
          </w:rPr>
          <w:t>INFORMACJA O KURSIE EURO</w:t>
        </w:r>
        <w:r>
          <w:rPr>
            <w:noProof/>
            <w:webHidden/>
          </w:rPr>
          <w:tab/>
        </w:r>
        <w:r>
          <w:rPr>
            <w:noProof/>
            <w:webHidden/>
          </w:rPr>
          <w:fldChar w:fldCharType="begin"/>
        </w:r>
        <w:r>
          <w:rPr>
            <w:noProof/>
            <w:webHidden/>
          </w:rPr>
          <w:instrText xml:space="preserve"> PAGEREF _Toc387945905 \h </w:instrText>
        </w:r>
        <w:r>
          <w:rPr>
            <w:noProof/>
            <w:webHidden/>
          </w:rPr>
        </w:r>
        <w:r>
          <w:rPr>
            <w:noProof/>
            <w:webHidden/>
          </w:rPr>
          <w:fldChar w:fldCharType="separate"/>
        </w:r>
        <w:r>
          <w:rPr>
            <w:noProof/>
            <w:webHidden/>
          </w:rPr>
          <w:t>18</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6" w:history="1">
        <w:r w:rsidRPr="00B566AC">
          <w:rPr>
            <w:rStyle w:val="Hipercze"/>
            <w:rFonts w:ascii="Century Gothic" w:hAnsi="Century Gothic"/>
            <w:bCs/>
            <w:noProof/>
          </w:rPr>
          <w:t>10.</w:t>
        </w:r>
        <w:r>
          <w:rPr>
            <w:rFonts w:asciiTheme="minorHAnsi" w:eastAsiaTheme="minorEastAsia" w:hAnsiTheme="minorHAnsi" w:cstheme="minorBidi"/>
            <w:noProof/>
            <w:sz w:val="22"/>
            <w:szCs w:val="22"/>
          </w:rPr>
          <w:tab/>
        </w:r>
        <w:r w:rsidRPr="00B566AC">
          <w:rPr>
            <w:rStyle w:val="Hipercze"/>
            <w:rFonts w:ascii="Century Gothic" w:hAnsi="Century Gothic"/>
            <w:bCs/>
            <w:noProof/>
          </w:rPr>
          <w:t>INFORMACJE DOTYCZĄCE SEGMENTÓW DZIAŁALNOŚCI</w:t>
        </w:r>
        <w:r>
          <w:rPr>
            <w:noProof/>
            <w:webHidden/>
          </w:rPr>
          <w:tab/>
        </w:r>
        <w:r>
          <w:rPr>
            <w:noProof/>
            <w:webHidden/>
          </w:rPr>
          <w:fldChar w:fldCharType="begin"/>
        </w:r>
        <w:r>
          <w:rPr>
            <w:noProof/>
            <w:webHidden/>
          </w:rPr>
          <w:instrText xml:space="preserve"> PAGEREF _Toc387945906 \h </w:instrText>
        </w:r>
        <w:r>
          <w:rPr>
            <w:noProof/>
            <w:webHidden/>
          </w:rPr>
        </w:r>
        <w:r>
          <w:rPr>
            <w:noProof/>
            <w:webHidden/>
          </w:rPr>
          <w:fldChar w:fldCharType="separate"/>
        </w:r>
        <w:r>
          <w:rPr>
            <w:noProof/>
            <w:webHidden/>
          </w:rPr>
          <w:t>19</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07" w:history="1">
        <w:r w:rsidRPr="00B566AC">
          <w:rPr>
            <w:rStyle w:val="Hipercze"/>
            <w:rFonts w:ascii="Century Gothic" w:hAnsi="Century Gothic"/>
            <w:bCs/>
            <w:noProof/>
          </w:rPr>
          <w:t>11.</w:t>
        </w:r>
        <w:r>
          <w:rPr>
            <w:rFonts w:asciiTheme="minorHAnsi" w:eastAsiaTheme="minorEastAsia" w:hAnsiTheme="minorHAnsi" w:cstheme="minorBidi"/>
            <w:noProof/>
            <w:sz w:val="22"/>
            <w:szCs w:val="22"/>
          </w:rPr>
          <w:tab/>
        </w:r>
        <w:r w:rsidRPr="00B566AC">
          <w:rPr>
            <w:rStyle w:val="Hipercze"/>
            <w:rFonts w:ascii="Century Gothic" w:hAnsi="Century Gothic"/>
            <w:bCs/>
            <w:noProof/>
          </w:rPr>
          <w:t>TRANSAKCJE Z PODMIOTAMI POWIĄZANYMI</w:t>
        </w:r>
        <w:r>
          <w:rPr>
            <w:noProof/>
            <w:webHidden/>
          </w:rPr>
          <w:tab/>
        </w:r>
        <w:r>
          <w:rPr>
            <w:noProof/>
            <w:webHidden/>
          </w:rPr>
          <w:fldChar w:fldCharType="begin"/>
        </w:r>
        <w:r>
          <w:rPr>
            <w:noProof/>
            <w:webHidden/>
          </w:rPr>
          <w:instrText xml:space="preserve"> PAGEREF _Toc387945907 \h </w:instrText>
        </w:r>
        <w:r>
          <w:rPr>
            <w:noProof/>
            <w:webHidden/>
          </w:rPr>
        </w:r>
        <w:r>
          <w:rPr>
            <w:noProof/>
            <w:webHidden/>
          </w:rPr>
          <w:fldChar w:fldCharType="separate"/>
        </w:r>
        <w:r>
          <w:rPr>
            <w:noProof/>
            <w:webHidden/>
          </w:rPr>
          <w:t>20</w:t>
        </w:r>
        <w:r>
          <w:rPr>
            <w:noProof/>
            <w:webHidden/>
          </w:rPr>
          <w:fldChar w:fldCharType="end"/>
        </w:r>
      </w:hyperlink>
    </w:p>
    <w:p w:rsidR="008E1759" w:rsidRDefault="008E1759">
      <w:pPr>
        <w:pStyle w:val="Spistreci1"/>
        <w:tabs>
          <w:tab w:val="left" w:pos="600"/>
          <w:tab w:val="right" w:leader="dot" w:pos="9770"/>
        </w:tabs>
        <w:rPr>
          <w:rFonts w:asciiTheme="minorHAnsi" w:eastAsiaTheme="minorEastAsia" w:hAnsiTheme="minorHAnsi" w:cstheme="minorBidi"/>
          <w:b w:val="0"/>
          <w:caps w:val="0"/>
          <w:szCs w:val="22"/>
        </w:rPr>
      </w:pPr>
      <w:hyperlink w:anchor="_Toc387945908" w:history="1">
        <w:r w:rsidRPr="00B566AC">
          <w:rPr>
            <w:rStyle w:val="Hipercze"/>
            <w:rFonts w:cs="Tahoma"/>
            <w:bCs/>
          </w:rPr>
          <w:t>III.</w:t>
        </w:r>
        <w:r>
          <w:rPr>
            <w:rFonts w:asciiTheme="minorHAnsi" w:eastAsiaTheme="minorEastAsia" w:hAnsiTheme="minorHAnsi" w:cstheme="minorBidi"/>
            <w:b w:val="0"/>
            <w:caps w:val="0"/>
            <w:szCs w:val="22"/>
          </w:rPr>
          <w:tab/>
        </w:r>
        <w:r w:rsidRPr="00B566AC">
          <w:rPr>
            <w:rStyle w:val="Hipercze"/>
            <w:rFonts w:cs="Tahoma"/>
            <w:bCs/>
          </w:rPr>
          <w:t>INFORMACJE DODATKOWE DO ŚRÓDROCZNEGO SKONSOLIDOWANEGO SPRAWOZDANIA FINANSOWEGO ZA I KWARTAŁ 2014 ROKU</w:t>
        </w:r>
        <w:r>
          <w:rPr>
            <w:webHidden/>
          </w:rPr>
          <w:tab/>
        </w:r>
        <w:r>
          <w:rPr>
            <w:webHidden/>
          </w:rPr>
          <w:fldChar w:fldCharType="begin"/>
        </w:r>
        <w:r>
          <w:rPr>
            <w:webHidden/>
          </w:rPr>
          <w:instrText xml:space="preserve"> PAGEREF _Toc387945908 \h </w:instrText>
        </w:r>
        <w:r>
          <w:rPr>
            <w:webHidden/>
          </w:rPr>
        </w:r>
        <w:r>
          <w:rPr>
            <w:webHidden/>
          </w:rPr>
          <w:fldChar w:fldCharType="separate"/>
        </w:r>
        <w:r>
          <w:rPr>
            <w:webHidden/>
          </w:rPr>
          <w:t>21</w:t>
        </w:r>
        <w:r>
          <w:rPr>
            <w:webHidden/>
          </w:rPr>
          <w:fldChar w:fldCharType="end"/>
        </w:r>
      </w:hyperlink>
    </w:p>
    <w:p w:rsidR="008E1759" w:rsidRDefault="008E1759">
      <w:pPr>
        <w:pStyle w:val="Spistreci1"/>
        <w:tabs>
          <w:tab w:val="left" w:pos="403"/>
          <w:tab w:val="right" w:leader="dot" w:pos="9770"/>
        </w:tabs>
        <w:rPr>
          <w:rFonts w:asciiTheme="minorHAnsi" w:eastAsiaTheme="minorEastAsia" w:hAnsiTheme="minorHAnsi" w:cstheme="minorBidi"/>
          <w:b w:val="0"/>
          <w:caps w:val="0"/>
          <w:szCs w:val="22"/>
        </w:rPr>
      </w:pPr>
      <w:hyperlink w:anchor="_Toc387945909" w:history="1">
        <w:r w:rsidRPr="00B566AC">
          <w:rPr>
            <w:rStyle w:val="Hipercze"/>
          </w:rPr>
          <w:t>1</w:t>
        </w:r>
        <w:r>
          <w:rPr>
            <w:rFonts w:asciiTheme="minorHAnsi" w:eastAsiaTheme="minorEastAsia" w:hAnsiTheme="minorHAnsi" w:cstheme="minorBidi"/>
            <w:b w:val="0"/>
            <w:caps w:val="0"/>
            <w:szCs w:val="22"/>
          </w:rPr>
          <w:tab/>
        </w:r>
        <w:r w:rsidRPr="00B566AC">
          <w:rPr>
            <w:rStyle w:val="Hipercze"/>
          </w:rPr>
          <w:t>PODSTAWOWE INFORMACJE O GRUPIE KAPITAŁOWEJ</w:t>
        </w:r>
        <w:r>
          <w:rPr>
            <w:webHidden/>
          </w:rPr>
          <w:tab/>
        </w:r>
        <w:r>
          <w:rPr>
            <w:webHidden/>
          </w:rPr>
          <w:fldChar w:fldCharType="begin"/>
        </w:r>
        <w:r>
          <w:rPr>
            <w:webHidden/>
          </w:rPr>
          <w:instrText xml:space="preserve"> PAGEREF _Toc387945909 \h </w:instrText>
        </w:r>
        <w:r>
          <w:rPr>
            <w:webHidden/>
          </w:rPr>
        </w:r>
        <w:r>
          <w:rPr>
            <w:webHidden/>
          </w:rPr>
          <w:fldChar w:fldCharType="separate"/>
        </w:r>
        <w:r>
          <w:rPr>
            <w:webHidden/>
          </w:rPr>
          <w:t>21</w:t>
        </w:r>
        <w:r>
          <w:rPr>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0" w:history="1">
        <w:r w:rsidRPr="00B566AC">
          <w:rPr>
            <w:rStyle w:val="Hipercze"/>
            <w:rFonts w:ascii="Century Gothic" w:hAnsi="Century Gothic"/>
            <w:bCs/>
            <w:noProof/>
          </w:rPr>
          <w:t>a.</w:t>
        </w:r>
        <w:r>
          <w:rPr>
            <w:rFonts w:asciiTheme="minorHAnsi" w:eastAsiaTheme="minorEastAsia" w:hAnsiTheme="minorHAnsi" w:cstheme="minorBidi"/>
            <w:noProof/>
            <w:sz w:val="22"/>
            <w:szCs w:val="22"/>
          </w:rPr>
          <w:tab/>
        </w:r>
        <w:r w:rsidRPr="00B566AC">
          <w:rPr>
            <w:rStyle w:val="Hipercze"/>
            <w:rFonts w:ascii="Century Gothic" w:hAnsi="Century Gothic"/>
            <w:bCs/>
            <w:noProof/>
          </w:rPr>
          <w:t>Informacje ogólne</w:t>
        </w:r>
        <w:r>
          <w:rPr>
            <w:noProof/>
            <w:webHidden/>
          </w:rPr>
          <w:tab/>
        </w:r>
        <w:r>
          <w:rPr>
            <w:noProof/>
            <w:webHidden/>
          </w:rPr>
          <w:fldChar w:fldCharType="begin"/>
        </w:r>
        <w:r>
          <w:rPr>
            <w:noProof/>
            <w:webHidden/>
          </w:rPr>
          <w:instrText xml:space="preserve"> PAGEREF _Toc387945910 \h </w:instrText>
        </w:r>
        <w:r>
          <w:rPr>
            <w:noProof/>
            <w:webHidden/>
          </w:rPr>
        </w:r>
        <w:r>
          <w:rPr>
            <w:noProof/>
            <w:webHidden/>
          </w:rPr>
          <w:fldChar w:fldCharType="separate"/>
        </w:r>
        <w:r>
          <w:rPr>
            <w:noProof/>
            <w:webHidden/>
          </w:rPr>
          <w:t>21</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1" w:history="1">
        <w:r w:rsidRPr="00B566AC">
          <w:rPr>
            <w:rStyle w:val="Hipercze"/>
            <w:rFonts w:ascii="Century Gothic" w:hAnsi="Century Gothic"/>
            <w:bCs/>
            <w:noProof/>
          </w:rPr>
          <w:t>b.</w:t>
        </w:r>
        <w:r>
          <w:rPr>
            <w:rFonts w:asciiTheme="minorHAnsi" w:eastAsiaTheme="minorEastAsia" w:hAnsiTheme="minorHAnsi" w:cstheme="minorBidi"/>
            <w:noProof/>
            <w:sz w:val="22"/>
            <w:szCs w:val="22"/>
          </w:rPr>
          <w:tab/>
        </w:r>
        <w:r w:rsidRPr="00B566AC">
          <w:rPr>
            <w:rStyle w:val="Hipercze"/>
            <w:rFonts w:ascii="Century Gothic" w:hAnsi="Century Gothic"/>
            <w:bCs/>
            <w:noProof/>
          </w:rPr>
          <w:t>Organy Jednostki Dominującej</w:t>
        </w:r>
        <w:r>
          <w:rPr>
            <w:noProof/>
            <w:webHidden/>
          </w:rPr>
          <w:tab/>
        </w:r>
        <w:r>
          <w:rPr>
            <w:noProof/>
            <w:webHidden/>
          </w:rPr>
          <w:fldChar w:fldCharType="begin"/>
        </w:r>
        <w:r>
          <w:rPr>
            <w:noProof/>
            <w:webHidden/>
          </w:rPr>
          <w:instrText xml:space="preserve"> PAGEREF _Toc387945911 \h </w:instrText>
        </w:r>
        <w:r>
          <w:rPr>
            <w:noProof/>
            <w:webHidden/>
          </w:rPr>
        </w:r>
        <w:r>
          <w:rPr>
            <w:noProof/>
            <w:webHidden/>
          </w:rPr>
          <w:fldChar w:fldCharType="separate"/>
        </w:r>
        <w:r>
          <w:rPr>
            <w:noProof/>
            <w:webHidden/>
          </w:rPr>
          <w:t>23</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2" w:history="1">
        <w:r w:rsidRPr="00B566AC">
          <w:rPr>
            <w:rStyle w:val="Hipercze"/>
            <w:rFonts w:ascii="Century Gothic" w:hAnsi="Century Gothic"/>
            <w:bCs/>
            <w:iCs/>
            <w:noProof/>
          </w:rPr>
          <w:t>c.</w:t>
        </w:r>
        <w:r>
          <w:rPr>
            <w:rFonts w:asciiTheme="minorHAnsi" w:eastAsiaTheme="minorEastAsia" w:hAnsiTheme="minorHAnsi" w:cstheme="minorBidi"/>
            <w:noProof/>
            <w:sz w:val="22"/>
            <w:szCs w:val="22"/>
          </w:rPr>
          <w:tab/>
        </w:r>
        <w:r w:rsidRPr="00B566AC">
          <w:rPr>
            <w:rStyle w:val="Hipercze"/>
            <w:rFonts w:ascii="Century Gothic" w:hAnsi="Century Gothic"/>
            <w:bCs/>
            <w:iCs/>
            <w:noProof/>
          </w:rPr>
          <w:t xml:space="preserve">Akcjonariat </w:t>
        </w:r>
        <w:r w:rsidRPr="00B566AC">
          <w:rPr>
            <w:rStyle w:val="Hipercze"/>
            <w:rFonts w:ascii="Century Gothic" w:hAnsi="Century Gothic"/>
            <w:bCs/>
            <w:noProof/>
          </w:rPr>
          <w:t>jednostki dominującej</w:t>
        </w:r>
        <w:r>
          <w:rPr>
            <w:noProof/>
            <w:webHidden/>
          </w:rPr>
          <w:tab/>
        </w:r>
        <w:r>
          <w:rPr>
            <w:noProof/>
            <w:webHidden/>
          </w:rPr>
          <w:fldChar w:fldCharType="begin"/>
        </w:r>
        <w:r>
          <w:rPr>
            <w:noProof/>
            <w:webHidden/>
          </w:rPr>
          <w:instrText xml:space="preserve"> PAGEREF _Toc387945912 \h </w:instrText>
        </w:r>
        <w:r>
          <w:rPr>
            <w:noProof/>
            <w:webHidden/>
          </w:rPr>
        </w:r>
        <w:r>
          <w:rPr>
            <w:noProof/>
            <w:webHidden/>
          </w:rPr>
          <w:fldChar w:fldCharType="separate"/>
        </w:r>
        <w:r>
          <w:rPr>
            <w:noProof/>
            <w:webHidden/>
          </w:rPr>
          <w:t>23</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3" w:history="1">
        <w:r w:rsidRPr="00B566AC">
          <w:rPr>
            <w:rStyle w:val="Hipercze"/>
            <w:rFonts w:ascii="Century Gothic" w:hAnsi="Century Gothic"/>
            <w:noProof/>
          </w:rPr>
          <w:t>d.</w:t>
        </w:r>
        <w:r>
          <w:rPr>
            <w:rFonts w:asciiTheme="minorHAnsi" w:eastAsiaTheme="minorEastAsia" w:hAnsiTheme="minorHAnsi" w:cstheme="minorBidi"/>
            <w:noProof/>
            <w:sz w:val="22"/>
            <w:szCs w:val="22"/>
          </w:rPr>
          <w:tab/>
        </w:r>
        <w:r w:rsidRPr="00B566AC">
          <w:rPr>
            <w:rStyle w:val="Hipercze"/>
            <w:rFonts w:ascii="Century Gothic" w:hAnsi="Century Gothic"/>
            <w:noProof/>
          </w:rPr>
          <w:t>Organizacja Grupy Kapitałowej</w:t>
        </w:r>
        <w:r>
          <w:rPr>
            <w:noProof/>
            <w:webHidden/>
          </w:rPr>
          <w:tab/>
        </w:r>
        <w:r>
          <w:rPr>
            <w:noProof/>
            <w:webHidden/>
          </w:rPr>
          <w:fldChar w:fldCharType="begin"/>
        </w:r>
        <w:r>
          <w:rPr>
            <w:noProof/>
            <w:webHidden/>
          </w:rPr>
          <w:instrText xml:space="preserve"> PAGEREF _Toc387945913 \h </w:instrText>
        </w:r>
        <w:r>
          <w:rPr>
            <w:noProof/>
            <w:webHidden/>
          </w:rPr>
        </w:r>
        <w:r>
          <w:rPr>
            <w:noProof/>
            <w:webHidden/>
          </w:rPr>
          <w:fldChar w:fldCharType="separate"/>
        </w:r>
        <w:r>
          <w:rPr>
            <w:noProof/>
            <w:webHidden/>
          </w:rPr>
          <w:t>24</w:t>
        </w:r>
        <w:r>
          <w:rPr>
            <w:noProof/>
            <w:webHidden/>
          </w:rPr>
          <w:fldChar w:fldCharType="end"/>
        </w:r>
      </w:hyperlink>
    </w:p>
    <w:p w:rsidR="008E1759" w:rsidRDefault="008E1759">
      <w:pPr>
        <w:pStyle w:val="Spistreci1"/>
        <w:tabs>
          <w:tab w:val="right" w:leader="dot" w:pos="9770"/>
        </w:tabs>
        <w:rPr>
          <w:rFonts w:asciiTheme="minorHAnsi" w:eastAsiaTheme="minorEastAsia" w:hAnsiTheme="minorHAnsi" w:cstheme="minorBidi"/>
          <w:b w:val="0"/>
          <w:caps w:val="0"/>
          <w:szCs w:val="22"/>
        </w:rPr>
      </w:pPr>
      <w:hyperlink w:anchor="_Toc387945914" w:history="1">
        <w:r w:rsidRPr="00B566AC">
          <w:rPr>
            <w:rStyle w:val="Hipercze"/>
          </w:rPr>
          <w:t>2   SYTUACJA FINANSOWA I MAJĄTKOWA GRUPY Skystone Capital S.A.</w:t>
        </w:r>
        <w:r>
          <w:rPr>
            <w:webHidden/>
          </w:rPr>
          <w:tab/>
        </w:r>
        <w:r>
          <w:rPr>
            <w:webHidden/>
          </w:rPr>
          <w:fldChar w:fldCharType="begin"/>
        </w:r>
        <w:r>
          <w:rPr>
            <w:webHidden/>
          </w:rPr>
          <w:instrText xml:space="preserve"> PAGEREF _Toc387945914 \h </w:instrText>
        </w:r>
        <w:r>
          <w:rPr>
            <w:webHidden/>
          </w:rPr>
        </w:r>
        <w:r>
          <w:rPr>
            <w:webHidden/>
          </w:rPr>
          <w:fldChar w:fldCharType="separate"/>
        </w:r>
        <w:r>
          <w:rPr>
            <w:webHidden/>
          </w:rPr>
          <w:t>34</w:t>
        </w:r>
        <w:r>
          <w:rPr>
            <w:webHidden/>
          </w:rPr>
          <w:fldChar w:fldCharType="end"/>
        </w:r>
      </w:hyperlink>
    </w:p>
    <w:p w:rsidR="008E1759" w:rsidRDefault="008E1759" w:rsidP="008E1759">
      <w:pPr>
        <w:pStyle w:val="Spistreci2"/>
        <w:ind w:left="709" w:hanging="511"/>
        <w:rPr>
          <w:rFonts w:asciiTheme="minorHAnsi" w:eastAsiaTheme="minorEastAsia" w:hAnsiTheme="minorHAnsi" w:cstheme="minorBidi"/>
          <w:noProof/>
          <w:sz w:val="22"/>
          <w:szCs w:val="22"/>
        </w:rPr>
      </w:pPr>
      <w:hyperlink w:anchor="_Toc387945915" w:history="1">
        <w:r w:rsidRPr="00B566AC">
          <w:rPr>
            <w:rStyle w:val="Hipercze"/>
            <w:rFonts w:ascii="Century Gothic" w:hAnsi="Century Gothic"/>
            <w:bCs/>
            <w:noProof/>
          </w:rPr>
          <w:t>a.</w:t>
        </w:r>
        <w:r>
          <w:rPr>
            <w:rFonts w:asciiTheme="minorHAnsi" w:eastAsiaTheme="minorEastAsia" w:hAnsiTheme="minorHAnsi" w:cstheme="minorBidi"/>
            <w:noProof/>
            <w:sz w:val="22"/>
            <w:szCs w:val="22"/>
          </w:rPr>
          <w:tab/>
        </w:r>
        <w:r w:rsidRPr="00B566AC">
          <w:rPr>
            <w:rStyle w:val="Hipercze"/>
            <w:rFonts w:ascii="Century Gothic" w:hAnsi="Century Gothic"/>
            <w:bCs/>
            <w:noProof/>
          </w:rPr>
          <w:t>Czynniki wpływające na sytuację finansową i majątkową grupy w okresie 3 miesięcy zakończonych 31 marca 2014 r.</w:t>
        </w:r>
        <w:r>
          <w:rPr>
            <w:noProof/>
            <w:webHidden/>
          </w:rPr>
          <w:tab/>
        </w:r>
        <w:r>
          <w:rPr>
            <w:noProof/>
            <w:webHidden/>
          </w:rPr>
          <w:fldChar w:fldCharType="begin"/>
        </w:r>
        <w:r>
          <w:rPr>
            <w:noProof/>
            <w:webHidden/>
          </w:rPr>
          <w:instrText xml:space="preserve"> PAGEREF _Toc387945915 \h </w:instrText>
        </w:r>
        <w:r>
          <w:rPr>
            <w:noProof/>
            <w:webHidden/>
          </w:rPr>
        </w:r>
        <w:r>
          <w:rPr>
            <w:noProof/>
            <w:webHidden/>
          </w:rPr>
          <w:fldChar w:fldCharType="separate"/>
        </w:r>
        <w:r>
          <w:rPr>
            <w:noProof/>
            <w:webHidden/>
          </w:rPr>
          <w:t>34</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6" w:history="1">
        <w:r w:rsidRPr="00B566AC">
          <w:rPr>
            <w:rStyle w:val="Hipercze"/>
            <w:rFonts w:ascii="Century Gothic" w:hAnsi="Century Gothic"/>
            <w:bCs/>
            <w:noProof/>
          </w:rPr>
          <w:t>b.</w:t>
        </w:r>
        <w:r>
          <w:rPr>
            <w:rFonts w:asciiTheme="minorHAnsi" w:eastAsiaTheme="minorEastAsia" w:hAnsiTheme="minorHAnsi" w:cstheme="minorBidi"/>
            <w:noProof/>
            <w:sz w:val="22"/>
            <w:szCs w:val="22"/>
          </w:rPr>
          <w:tab/>
        </w:r>
        <w:r w:rsidRPr="00B566AC">
          <w:rPr>
            <w:rStyle w:val="Hipercze"/>
            <w:rFonts w:ascii="Century Gothic" w:hAnsi="Century Gothic"/>
            <w:bCs/>
            <w:noProof/>
          </w:rPr>
          <w:t>Czynniki, które będą miały wpływ na sytuację finansową Grupy w kolejnych kwartałach</w:t>
        </w:r>
        <w:r>
          <w:rPr>
            <w:noProof/>
            <w:webHidden/>
          </w:rPr>
          <w:tab/>
        </w:r>
        <w:r>
          <w:rPr>
            <w:noProof/>
            <w:webHidden/>
          </w:rPr>
          <w:fldChar w:fldCharType="begin"/>
        </w:r>
        <w:r>
          <w:rPr>
            <w:noProof/>
            <w:webHidden/>
          </w:rPr>
          <w:instrText xml:space="preserve"> PAGEREF _Toc387945916 \h </w:instrText>
        </w:r>
        <w:r>
          <w:rPr>
            <w:noProof/>
            <w:webHidden/>
          </w:rPr>
        </w:r>
        <w:r>
          <w:rPr>
            <w:noProof/>
            <w:webHidden/>
          </w:rPr>
          <w:fldChar w:fldCharType="separate"/>
        </w:r>
        <w:r>
          <w:rPr>
            <w:noProof/>
            <w:webHidden/>
          </w:rPr>
          <w:t>35</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7" w:history="1">
        <w:r w:rsidRPr="00B566AC">
          <w:rPr>
            <w:rStyle w:val="Hipercze"/>
            <w:rFonts w:ascii="Century Gothic" w:hAnsi="Century Gothic"/>
            <w:bCs/>
            <w:noProof/>
          </w:rPr>
          <w:t>c.</w:t>
        </w:r>
        <w:r>
          <w:rPr>
            <w:rFonts w:asciiTheme="minorHAnsi" w:eastAsiaTheme="minorEastAsia" w:hAnsiTheme="minorHAnsi" w:cstheme="minorBidi"/>
            <w:noProof/>
            <w:sz w:val="22"/>
            <w:szCs w:val="22"/>
          </w:rPr>
          <w:tab/>
        </w:r>
        <w:r w:rsidRPr="00B566AC">
          <w:rPr>
            <w:rStyle w:val="Hipercze"/>
            <w:rFonts w:ascii="Century Gothic" w:hAnsi="Century Gothic"/>
            <w:bCs/>
            <w:noProof/>
          </w:rPr>
          <w:t>Analiza kluczowych danych na poziomie jednostkowego sprawozdania finansowego</w:t>
        </w:r>
        <w:r>
          <w:rPr>
            <w:noProof/>
            <w:webHidden/>
          </w:rPr>
          <w:tab/>
        </w:r>
        <w:r>
          <w:rPr>
            <w:noProof/>
            <w:webHidden/>
          </w:rPr>
          <w:fldChar w:fldCharType="begin"/>
        </w:r>
        <w:r>
          <w:rPr>
            <w:noProof/>
            <w:webHidden/>
          </w:rPr>
          <w:instrText xml:space="preserve"> PAGEREF _Toc387945917 \h </w:instrText>
        </w:r>
        <w:r>
          <w:rPr>
            <w:noProof/>
            <w:webHidden/>
          </w:rPr>
        </w:r>
        <w:r>
          <w:rPr>
            <w:noProof/>
            <w:webHidden/>
          </w:rPr>
          <w:fldChar w:fldCharType="separate"/>
        </w:r>
        <w:r>
          <w:rPr>
            <w:noProof/>
            <w:webHidden/>
          </w:rPr>
          <w:t>35</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8" w:history="1">
        <w:r w:rsidRPr="00B566AC">
          <w:rPr>
            <w:rStyle w:val="Hipercze"/>
            <w:rFonts w:ascii="Century Gothic" w:hAnsi="Century Gothic"/>
            <w:bCs/>
            <w:noProof/>
          </w:rPr>
          <w:t>d.</w:t>
        </w:r>
        <w:r>
          <w:rPr>
            <w:rFonts w:asciiTheme="minorHAnsi" w:eastAsiaTheme="minorEastAsia" w:hAnsiTheme="minorHAnsi" w:cstheme="minorBidi"/>
            <w:noProof/>
            <w:sz w:val="22"/>
            <w:szCs w:val="22"/>
          </w:rPr>
          <w:tab/>
        </w:r>
        <w:r w:rsidRPr="00B566AC">
          <w:rPr>
            <w:rStyle w:val="Hipercze"/>
            <w:rFonts w:ascii="Century Gothic" w:hAnsi="Century Gothic"/>
            <w:bCs/>
            <w:noProof/>
          </w:rPr>
          <w:t>Stanowisko Zarządu odnośnie prognoz wyników na dany rok</w:t>
        </w:r>
        <w:r>
          <w:rPr>
            <w:noProof/>
            <w:webHidden/>
          </w:rPr>
          <w:tab/>
        </w:r>
        <w:r>
          <w:rPr>
            <w:noProof/>
            <w:webHidden/>
          </w:rPr>
          <w:fldChar w:fldCharType="begin"/>
        </w:r>
        <w:r>
          <w:rPr>
            <w:noProof/>
            <w:webHidden/>
          </w:rPr>
          <w:instrText xml:space="preserve"> PAGEREF _Toc387945918 \h </w:instrText>
        </w:r>
        <w:r>
          <w:rPr>
            <w:noProof/>
            <w:webHidden/>
          </w:rPr>
        </w:r>
        <w:r>
          <w:rPr>
            <w:noProof/>
            <w:webHidden/>
          </w:rPr>
          <w:fldChar w:fldCharType="separate"/>
        </w:r>
        <w:r>
          <w:rPr>
            <w:noProof/>
            <w:webHidden/>
          </w:rPr>
          <w:t>37</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19" w:history="1">
        <w:r w:rsidRPr="00B566AC">
          <w:rPr>
            <w:rStyle w:val="Hipercze"/>
            <w:rFonts w:ascii="Century Gothic" w:hAnsi="Century Gothic"/>
            <w:bCs/>
            <w:noProof/>
          </w:rPr>
          <w:t>e.</w:t>
        </w:r>
        <w:r>
          <w:rPr>
            <w:rFonts w:asciiTheme="minorHAnsi" w:eastAsiaTheme="minorEastAsia" w:hAnsiTheme="minorHAnsi" w:cstheme="minorBidi"/>
            <w:noProof/>
            <w:sz w:val="22"/>
            <w:szCs w:val="22"/>
          </w:rPr>
          <w:tab/>
        </w:r>
        <w:r w:rsidRPr="00B566AC">
          <w:rPr>
            <w:rStyle w:val="Hipercze"/>
            <w:rFonts w:ascii="Century Gothic" w:hAnsi="Century Gothic"/>
            <w:bCs/>
            <w:noProof/>
          </w:rPr>
          <w:t>Zagrożenia i ryzyka identyfikowane przez Zarząd</w:t>
        </w:r>
        <w:r>
          <w:rPr>
            <w:noProof/>
            <w:webHidden/>
          </w:rPr>
          <w:tab/>
        </w:r>
        <w:r>
          <w:rPr>
            <w:noProof/>
            <w:webHidden/>
          </w:rPr>
          <w:fldChar w:fldCharType="begin"/>
        </w:r>
        <w:r>
          <w:rPr>
            <w:noProof/>
            <w:webHidden/>
          </w:rPr>
          <w:instrText xml:space="preserve"> PAGEREF _Toc387945919 \h </w:instrText>
        </w:r>
        <w:r>
          <w:rPr>
            <w:noProof/>
            <w:webHidden/>
          </w:rPr>
        </w:r>
        <w:r>
          <w:rPr>
            <w:noProof/>
            <w:webHidden/>
          </w:rPr>
          <w:fldChar w:fldCharType="separate"/>
        </w:r>
        <w:r>
          <w:rPr>
            <w:noProof/>
            <w:webHidden/>
          </w:rPr>
          <w:t>37</w:t>
        </w:r>
        <w:r>
          <w:rPr>
            <w:noProof/>
            <w:webHidden/>
          </w:rPr>
          <w:fldChar w:fldCharType="end"/>
        </w:r>
      </w:hyperlink>
    </w:p>
    <w:p w:rsidR="008E1759" w:rsidRDefault="008E1759">
      <w:pPr>
        <w:pStyle w:val="Spistreci1"/>
        <w:tabs>
          <w:tab w:val="right" w:leader="dot" w:pos="9770"/>
        </w:tabs>
        <w:rPr>
          <w:rFonts w:asciiTheme="minorHAnsi" w:eastAsiaTheme="minorEastAsia" w:hAnsiTheme="minorHAnsi" w:cstheme="minorBidi"/>
          <w:b w:val="0"/>
          <w:caps w:val="0"/>
          <w:szCs w:val="22"/>
        </w:rPr>
      </w:pPr>
      <w:hyperlink w:anchor="_Toc387945920" w:history="1">
        <w:r w:rsidRPr="00B566AC">
          <w:rPr>
            <w:rStyle w:val="Hipercze"/>
          </w:rPr>
          <w:t>3   POZOSTAŁE INFORMACJE</w:t>
        </w:r>
        <w:r>
          <w:rPr>
            <w:webHidden/>
          </w:rPr>
          <w:tab/>
        </w:r>
        <w:r>
          <w:rPr>
            <w:webHidden/>
          </w:rPr>
          <w:fldChar w:fldCharType="begin"/>
        </w:r>
        <w:r>
          <w:rPr>
            <w:webHidden/>
          </w:rPr>
          <w:instrText xml:space="preserve"> PAGEREF _Toc387945920 \h </w:instrText>
        </w:r>
        <w:r>
          <w:rPr>
            <w:webHidden/>
          </w:rPr>
        </w:r>
        <w:r>
          <w:rPr>
            <w:webHidden/>
          </w:rPr>
          <w:fldChar w:fldCharType="separate"/>
        </w:r>
        <w:r>
          <w:rPr>
            <w:webHidden/>
          </w:rPr>
          <w:t>41</w:t>
        </w:r>
        <w:r>
          <w:rPr>
            <w:webHidden/>
          </w:rPr>
          <w:fldChar w:fldCharType="end"/>
        </w:r>
      </w:hyperlink>
    </w:p>
    <w:p w:rsidR="008E1759" w:rsidRDefault="008E1759" w:rsidP="008E1759">
      <w:pPr>
        <w:pStyle w:val="Spistreci2"/>
        <w:ind w:left="709" w:hanging="511"/>
        <w:rPr>
          <w:rFonts w:asciiTheme="minorHAnsi" w:eastAsiaTheme="minorEastAsia" w:hAnsiTheme="minorHAnsi" w:cstheme="minorBidi"/>
          <w:noProof/>
          <w:sz w:val="22"/>
          <w:szCs w:val="22"/>
        </w:rPr>
      </w:pPr>
      <w:hyperlink w:anchor="_Toc387945921" w:history="1">
        <w:r w:rsidRPr="00B566AC">
          <w:rPr>
            <w:rStyle w:val="Hipercze"/>
            <w:rFonts w:ascii="Century Gothic" w:hAnsi="Century Gothic"/>
            <w:bCs/>
            <w:noProof/>
          </w:rPr>
          <w:t>a.</w:t>
        </w:r>
        <w:r>
          <w:rPr>
            <w:rFonts w:asciiTheme="minorHAnsi" w:eastAsiaTheme="minorEastAsia" w:hAnsiTheme="minorHAnsi" w:cstheme="minorBidi"/>
            <w:noProof/>
            <w:sz w:val="22"/>
            <w:szCs w:val="22"/>
          </w:rPr>
          <w:tab/>
        </w:r>
        <w:r w:rsidRPr="00B566AC">
          <w:rPr>
            <w:rStyle w:val="Hipercze"/>
            <w:rFonts w:ascii="Century Gothic" w:hAnsi="Century Gothic"/>
            <w:bCs/>
            <w:noProof/>
          </w:rPr>
          <w:t>Postępowania przed sądem, organem właściwym dla postępowania arbitrażowego lub organem administracji publicznej</w:t>
        </w:r>
        <w:r>
          <w:rPr>
            <w:noProof/>
            <w:webHidden/>
          </w:rPr>
          <w:tab/>
        </w:r>
        <w:r>
          <w:rPr>
            <w:noProof/>
            <w:webHidden/>
          </w:rPr>
          <w:fldChar w:fldCharType="begin"/>
        </w:r>
        <w:r>
          <w:rPr>
            <w:noProof/>
            <w:webHidden/>
          </w:rPr>
          <w:instrText xml:space="preserve"> PAGEREF _Toc387945921 \h </w:instrText>
        </w:r>
        <w:r>
          <w:rPr>
            <w:noProof/>
            <w:webHidden/>
          </w:rPr>
        </w:r>
        <w:r>
          <w:rPr>
            <w:noProof/>
            <w:webHidden/>
          </w:rPr>
          <w:fldChar w:fldCharType="separate"/>
        </w:r>
        <w:r>
          <w:rPr>
            <w:noProof/>
            <w:webHidden/>
          </w:rPr>
          <w:t>41</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2" w:history="1">
        <w:r w:rsidRPr="00B566AC">
          <w:rPr>
            <w:rStyle w:val="Hipercze"/>
            <w:rFonts w:ascii="Century Gothic" w:hAnsi="Century Gothic"/>
            <w:bCs/>
            <w:noProof/>
          </w:rPr>
          <w:t>b.</w:t>
        </w:r>
        <w:r>
          <w:rPr>
            <w:rFonts w:asciiTheme="minorHAnsi" w:eastAsiaTheme="minorEastAsia" w:hAnsiTheme="minorHAnsi" w:cstheme="minorBidi"/>
            <w:noProof/>
            <w:sz w:val="22"/>
            <w:szCs w:val="22"/>
          </w:rPr>
          <w:tab/>
        </w:r>
        <w:r w:rsidRPr="00B566AC">
          <w:rPr>
            <w:rStyle w:val="Hipercze"/>
            <w:rFonts w:ascii="Century Gothic" w:hAnsi="Century Gothic"/>
            <w:bCs/>
            <w:noProof/>
          </w:rPr>
          <w:t>Udzielone poręczenia kredytu, pożyczki oraz gwarancje</w:t>
        </w:r>
        <w:r>
          <w:rPr>
            <w:noProof/>
            <w:webHidden/>
          </w:rPr>
          <w:tab/>
        </w:r>
        <w:r>
          <w:rPr>
            <w:noProof/>
            <w:webHidden/>
          </w:rPr>
          <w:fldChar w:fldCharType="begin"/>
        </w:r>
        <w:r>
          <w:rPr>
            <w:noProof/>
            <w:webHidden/>
          </w:rPr>
          <w:instrText xml:space="preserve"> PAGEREF _Toc387945922 \h </w:instrText>
        </w:r>
        <w:r>
          <w:rPr>
            <w:noProof/>
            <w:webHidden/>
          </w:rPr>
        </w:r>
        <w:r>
          <w:rPr>
            <w:noProof/>
            <w:webHidden/>
          </w:rPr>
          <w:fldChar w:fldCharType="separate"/>
        </w:r>
        <w:r>
          <w:rPr>
            <w:noProof/>
            <w:webHidden/>
          </w:rPr>
          <w:t>41</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3" w:history="1">
        <w:r w:rsidRPr="00B566AC">
          <w:rPr>
            <w:rStyle w:val="Hipercze"/>
            <w:rFonts w:ascii="Century Gothic" w:hAnsi="Century Gothic"/>
            <w:bCs/>
            <w:noProof/>
          </w:rPr>
          <w:t>c.</w:t>
        </w:r>
        <w:r>
          <w:rPr>
            <w:rFonts w:asciiTheme="minorHAnsi" w:eastAsiaTheme="minorEastAsia" w:hAnsiTheme="minorHAnsi" w:cstheme="minorBidi"/>
            <w:noProof/>
            <w:sz w:val="22"/>
            <w:szCs w:val="22"/>
          </w:rPr>
          <w:tab/>
        </w:r>
        <w:r w:rsidRPr="00B566AC">
          <w:rPr>
            <w:rStyle w:val="Hipercze"/>
            <w:rFonts w:ascii="Century Gothic" w:hAnsi="Century Gothic"/>
            <w:bCs/>
            <w:noProof/>
          </w:rPr>
          <w:t>Informacje dotyczące wypłaconej lub zadeklarowanej dywidendy</w:t>
        </w:r>
        <w:r>
          <w:rPr>
            <w:noProof/>
            <w:webHidden/>
          </w:rPr>
          <w:tab/>
        </w:r>
        <w:r>
          <w:rPr>
            <w:noProof/>
            <w:webHidden/>
          </w:rPr>
          <w:fldChar w:fldCharType="begin"/>
        </w:r>
        <w:r>
          <w:rPr>
            <w:noProof/>
            <w:webHidden/>
          </w:rPr>
          <w:instrText xml:space="preserve"> PAGEREF _Toc387945923 \h </w:instrText>
        </w:r>
        <w:r>
          <w:rPr>
            <w:noProof/>
            <w:webHidden/>
          </w:rPr>
        </w:r>
        <w:r>
          <w:rPr>
            <w:noProof/>
            <w:webHidden/>
          </w:rPr>
          <w:fldChar w:fldCharType="separate"/>
        </w:r>
        <w:r>
          <w:rPr>
            <w:noProof/>
            <w:webHidden/>
          </w:rPr>
          <w:t>42</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4" w:history="1">
        <w:r w:rsidRPr="00B566AC">
          <w:rPr>
            <w:rStyle w:val="Hipercze"/>
            <w:rFonts w:ascii="Century Gothic" w:hAnsi="Century Gothic"/>
            <w:bCs/>
            <w:noProof/>
          </w:rPr>
          <w:t>d.</w:t>
        </w:r>
        <w:r>
          <w:rPr>
            <w:rFonts w:asciiTheme="minorHAnsi" w:eastAsiaTheme="minorEastAsia" w:hAnsiTheme="minorHAnsi" w:cstheme="minorBidi"/>
            <w:noProof/>
            <w:sz w:val="22"/>
            <w:szCs w:val="22"/>
          </w:rPr>
          <w:tab/>
        </w:r>
        <w:r w:rsidRPr="00B566AC">
          <w:rPr>
            <w:rStyle w:val="Hipercze"/>
            <w:rFonts w:ascii="Century Gothic" w:hAnsi="Century Gothic"/>
            <w:bCs/>
            <w:noProof/>
          </w:rPr>
          <w:t>Inne istotne wydarzenia w I kwartale 2014 r. oraz do dnia publikacji niniejszego raportu</w:t>
        </w:r>
        <w:r>
          <w:rPr>
            <w:noProof/>
            <w:webHidden/>
          </w:rPr>
          <w:tab/>
        </w:r>
        <w:r>
          <w:rPr>
            <w:noProof/>
            <w:webHidden/>
          </w:rPr>
          <w:fldChar w:fldCharType="begin"/>
        </w:r>
        <w:r>
          <w:rPr>
            <w:noProof/>
            <w:webHidden/>
          </w:rPr>
          <w:instrText xml:space="preserve"> PAGEREF _Toc387945924 \h </w:instrText>
        </w:r>
        <w:r>
          <w:rPr>
            <w:noProof/>
            <w:webHidden/>
          </w:rPr>
        </w:r>
        <w:r>
          <w:rPr>
            <w:noProof/>
            <w:webHidden/>
          </w:rPr>
          <w:fldChar w:fldCharType="separate"/>
        </w:r>
        <w:r>
          <w:rPr>
            <w:noProof/>
            <w:webHidden/>
          </w:rPr>
          <w:t>42</w:t>
        </w:r>
        <w:r>
          <w:rPr>
            <w:noProof/>
            <w:webHidden/>
          </w:rPr>
          <w:fldChar w:fldCharType="end"/>
        </w:r>
      </w:hyperlink>
    </w:p>
    <w:p w:rsidR="008E1759" w:rsidRDefault="008E1759">
      <w:pPr>
        <w:pStyle w:val="Spistreci1"/>
        <w:tabs>
          <w:tab w:val="left" w:pos="600"/>
          <w:tab w:val="right" w:leader="dot" w:pos="9770"/>
        </w:tabs>
        <w:rPr>
          <w:rFonts w:asciiTheme="minorHAnsi" w:eastAsiaTheme="minorEastAsia" w:hAnsiTheme="minorHAnsi" w:cstheme="minorBidi"/>
          <w:b w:val="0"/>
          <w:caps w:val="0"/>
          <w:szCs w:val="22"/>
        </w:rPr>
      </w:pPr>
      <w:hyperlink w:anchor="_Toc387945925" w:history="1">
        <w:r w:rsidRPr="00B566AC">
          <w:rPr>
            <w:rStyle w:val="Hipercze"/>
            <w:bCs/>
          </w:rPr>
          <w:t>IV.</w:t>
        </w:r>
        <w:r>
          <w:rPr>
            <w:rFonts w:asciiTheme="minorHAnsi" w:eastAsiaTheme="minorEastAsia" w:hAnsiTheme="minorHAnsi" w:cstheme="minorBidi"/>
            <w:b w:val="0"/>
            <w:caps w:val="0"/>
            <w:szCs w:val="22"/>
          </w:rPr>
          <w:tab/>
        </w:r>
        <w:r w:rsidRPr="00B566AC">
          <w:rPr>
            <w:rStyle w:val="Hipercze"/>
            <w:bCs/>
          </w:rPr>
          <w:t>ŚRÓDROCZNE SKRÓCONE SPRAWOZDANIE FINANSOWE SPÓŁKI Skystone Capital S.A.  ZA I KWARTAŁ 2014 ROKU</w:t>
        </w:r>
        <w:r>
          <w:rPr>
            <w:webHidden/>
          </w:rPr>
          <w:tab/>
        </w:r>
        <w:r>
          <w:rPr>
            <w:webHidden/>
          </w:rPr>
          <w:fldChar w:fldCharType="begin"/>
        </w:r>
        <w:r>
          <w:rPr>
            <w:webHidden/>
          </w:rPr>
          <w:instrText xml:space="preserve"> PAGEREF _Toc387945925 \h </w:instrText>
        </w:r>
        <w:r>
          <w:rPr>
            <w:webHidden/>
          </w:rPr>
        </w:r>
        <w:r>
          <w:rPr>
            <w:webHidden/>
          </w:rPr>
          <w:fldChar w:fldCharType="separate"/>
        </w:r>
        <w:r>
          <w:rPr>
            <w:webHidden/>
          </w:rPr>
          <w:t>43</w:t>
        </w:r>
        <w:r>
          <w:rPr>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6" w:history="1">
        <w:r w:rsidRPr="00B566AC">
          <w:rPr>
            <w:rStyle w:val="Hipercze"/>
            <w:rFonts w:ascii="Century Gothic" w:hAnsi="Century Gothic" w:cs="Tahoma"/>
            <w:bCs/>
            <w:noProof/>
          </w:rPr>
          <w:t>SPRAWOZDANIE Z SYTUACJI FINANSOWEJ SKYSTONE CAPITAL SA</w:t>
        </w:r>
        <w:r>
          <w:rPr>
            <w:noProof/>
            <w:webHidden/>
          </w:rPr>
          <w:tab/>
        </w:r>
        <w:r>
          <w:rPr>
            <w:noProof/>
            <w:webHidden/>
          </w:rPr>
          <w:fldChar w:fldCharType="begin"/>
        </w:r>
        <w:r>
          <w:rPr>
            <w:noProof/>
            <w:webHidden/>
          </w:rPr>
          <w:instrText xml:space="preserve"> PAGEREF _Toc387945926 \h </w:instrText>
        </w:r>
        <w:r>
          <w:rPr>
            <w:noProof/>
            <w:webHidden/>
          </w:rPr>
        </w:r>
        <w:r>
          <w:rPr>
            <w:noProof/>
            <w:webHidden/>
          </w:rPr>
          <w:fldChar w:fldCharType="separate"/>
        </w:r>
        <w:r>
          <w:rPr>
            <w:noProof/>
            <w:webHidden/>
          </w:rPr>
          <w:t>43</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7" w:history="1">
        <w:r w:rsidRPr="00B566AC">
          <w:rPr>
            <w:rStyle w:val="Hipercze"/>
            <w:rFonts w:ascii="Century Gothic" w:hAnsi="Century Gothic" w:cs="Tahoma"/>
            <w:bCs/>
            <w:noProof/>
          </w:rPr>
          <w:t>RACHUNEK ZYSKÓW I STRAT  I SPRAWOZDANIE Z CAŁKOWITYCH DOCHODÓW SKYSTONE CAPITAL SA</w:t>
        </w:r>
        <w:r>
          <w:rPr>
            <w:noProof/>
            <w:webHidden/>
          </w:rPr>
          <w:tab/>
        </w:r>
        <w:r>
          <w:rPr>
            <w:noProof/>
            <w:webHidden/>
          </w:rPr>
          <w:tab/>
        </w:r>
        <w:r>
          <w:rPr>
            <w:noProof/>
            <w:webHidden/>
          </w:rPr>
          <w:tab/>
        </w:r>
        <w:r>
          <w:rPr>
            <w:noProof/>
            <w:webHidden/>
          </w:rPr>
          <w:fldChar w:fldCharType="begin"/>
        </w:r>
        <w:r>
          <w:rPr>
            <w:noProof/>
            <w:webHidden/>
          </w:rPr>
          <w:instrText xml:space="preserve"> PAGEREF _Toc387945927 \h </w:instrText>
        </w:r>
        <w:r>
          <w:rPr>
            <w:noProof/>
            <w:webHidden/>
          </w:rPr>
        </w:r>
        <w:r>
          <w:rPr>
            <w:noProof/>
            <w:webHidden/>
          </w:rPr>
          <w:fldChar w:fldCharType="separate"/>
        </w:r>
        <w:r>
          <w:rPr>
            <w:noProof/>
            <w:webHidden/>
          </w:rPr>
          <w:t>44</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8" w:history="1">
        <w:r w:rsidRPr="00B566AC">
          <w:rPr>
            <w:rStyle w:val="Hipercze"/>
            <w:rFonts w:ascii="Century Gothic" w:hAnsi="Century Gothic" w:cs="Tahoma"/>
            <w:bCs/>
            <w:noProof/>
          </w:rPr>
          <w:t>SPRAWOZDANIE Z  PRZEPŁYWÓW PIENIĘŻNYCH SKYSTONE CAPITAL SA</w:t>
        </w:r>
        <w:r>
          <w:rPr>
            <w:noProof/>
            <w:webHidden/>
          </w:rPr>
          <w:tab/>
        </w:r>
        <w:r>
          <w:rPr>
            <w:noProof/>
            <w:webHidden/>
          </w:rPr>
          <w:fldChar w:fldCharType="begin"/>
        </w:r>
        <w:r>
          <w:rPr>
            <w:noProof/>
            <w:webHidden/>
          </w:rPr>
          <w:instrText xml:space="preserve"> PAGEREF _Toc387945928 \h </w:instrText>
        </w:r>
        <w:r>
          <w:rPr>
            <w:noProof/>
            <w:webHidden/>
          </w:rPr>
        </w:r>
        <w:r>
          <w:rPr>
            <w:noProof/>
            <w:webHidden/>
          </w:rPr>
          <w:fldChar w:fldCharType="separate"/>
        </w:r>
        <w:r>
          <w:rPr>
            <w:noProof/>
            <w:webHidden/>
          </w:rPr>
          <w:t>45</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29" w:history="1">
        <w:r w:rsidRPr="00B566AC">
          <w:rPr>
            <w:rStyle w:val="Hipercze"/>
            <w:rFonts w:ascii="Century Gothic" w:hAnsi="Century Gothic" w:cs="Tahoma"/>
            <w:bCs/>
            <w:noProof/>
          </w:rPr>
          <w:t>ZESTAWIENIE ZMIAN W KAPITALE WŁASNYM SKYSTONE CAPITAL SA</w:t>
        </w:r>
        <w:r>
          <w:rPr>
            <w:noProof/>
            <w:webHidden/>
          </w:rPr>
          <w:tab/>
        </w:r>
        <w:r>
          <w:rPr>
            <w:noProof/>
            <w:webHidden/>
          </w:rPr>
          <w:fldChar w:fldCharType="begin"/>
        </w:r>
        <w:r>
          <w:rPr>
            <w:noProof/>
            <w:webHidden/>
          </w:rPr>
          <w:instrText xml:space="preserve"> PAGEREF _Toc387945929 \h </w:instrText>
        </w:r>
        <w:r>
          <w:rPr>
            <w:noProof/>
            <w:webHidden/>
          </w:rPr>
        </w:r>
        <w:r>
          <w:rPr>
            <w:noProof/>
            <w:webHidden/>
          </w:rPr>
          <w:fldChar w:fldCharType="separate"/>
        </w:r>
        <w:r>
          <w:rPr>
            <w:noProof/>
            <w:webHidden/>
          </w:rPr>
          <w:t>46</w:t>
        </w:r>
        <w:r>
          <w:rPr>
            <w:noProof/>
            <w:webHidden/>
          </w:rPr>
          <w:fldChar w:fldCharType="end"/>
        </w:r>
      </w:hyperlink>
    </w:p>
    <w:p w:rsidR="008E1759" w:rsidRDefault="008E1759">
      <w:pPr>
        <w:pStyle w:val="Spistreci2"/>
        <w:rPr>
          <w:rFonts w:asciiTheme="minorHAnsi" w:eastAsiaTheme="minorEastAsia" w:hAnsiTheme="minorHAnsi" w:cstheme="minorBidi"/>
          <w:noProof/>
          <w:sz w:val="22"/>
          <w:szCs w:val="22"/>
        </w:rPr>
      </w:pPr>
      <w:hyperlink w:anchor="_Toc387945930" w:history="1">
        <w:r w:rsidRPr="00B566AC">
          <w:rPr>
            <w:rStyle w:val="Hipercze"/>
            <w:rFonts w:ascii="Century Gothic" w:hAnsi="Century Gothic"/>
            <w:bCs/>
            <w:noProof/>
          </w:rPr>
          <w:t>PORTFEL INWESTYCYJNY</w:t>
        </w:r>
        <w:r>
          <w:rPr>
            <w:noProof/>
            <w:webHidden/>
          </w:rPr>
          <w:tab/>
        </w:r>
        <w:r>
          <w:rPr>
            <w:noProof/>
            <w:webHidden/>
          </w:rPr>
          <w:fldChar w:fldCharType="begin"/>
        </w:r>
        <w:r>
          <w:rPr>
            <w:noProof/>
            <w:webHidden/>
          </w:rPr>
          <w:instrText xml:space="preserve"> PAGEREF _Toc387945930 \h </w:instrText>
        </w:r>
        <w:r>
          <w:rPr>
            <w:noProof/>
            <w:webHidden/>
          </w:rPr>
        </w:r>
        <w:r>
          <w:rPr>
            <w:noProof/>
            <w:webHidden/>
          </w:rPr>
          <w:fldChar w:fldCharType="separate"/>
        </w:r>
        <w:r>
          <w:rPr>
            <w:noProof/>
            <w:webHidden/>
          </w:rPr>
          <w:t>47</w:t>
        </w:r>
        <w:r>
          <w:rPr>
            <w:noProof/>
            <w:webHidden/>
          </w:rPr>
          <w:fldChar w:fldCharType="end"/>
        </w:r>
      </w:hyperlink>
    </w:p>
    <w:p w:rsidR="008E1759" w:rsidRDefault="008E1759">
      <w:pPr>
        <w:pStyle w:val="Spistreci1"/>
        <w:tabs>
          <w:tab w:val="right" w:leader="dot" w:pos="9770"/>
        </w:tabs>
        <w:rPr>
          <w:rFonts w:asciiTheme="minorHAnsi" w:eastAsiaTheme="minorEastAsia" w:hAnsiTheme="minorHAnsi" w:cstheme="minorBidi"/>
          <w:b w:val="0"/>
          <w:caps w:val="0"/>
          <w:szCs w:val="22"/>
        </w:rPr>
      </w:pPr>
      <w:hyperlink w:anchor="_Toc387945931" w:history="1">
        <w:r w:rsidRPr="00B566AC">
          <w:rPr>
            <w:rStyle w:val="Hipercze"/>
            <w:bCs/>
          </w:rPr>
          <w:t>PODPISY</w:t>
        </w:r>
        <w:r>
          <w:rPr>
            <w:webHidden/>
          </w:rPr>
          <w:tab/>
        </w:r>
        <w:r>
          <w:rPr>
            <w:webHidden/>
          </w:rPr>
          <w:fldChar w:fldCharType="begin"/>
        </w:r>
        <w:r>
          <w:rPr>
            <w:webHidden/>
          </w:rPr>
          <w:instrText xml:space="preserve"> PAGEREF _Toc387945931 \h </w:instrText>
        </w:r>
        <w:r>
          <w:rPr>
            <w:webHidden/>
          </w:rPr>
        </w:r>
        <w:r>
          <w:rPr>
            <w:webHidden/>
          </w:rPr>
          <w:fldChar w:fldCharType="separate"/>
        </w:r>
        <w:r>
          <w:rPr>
            <w:webHidden/>
          </w:rPr>
          <w:t>49</w:t>
        </w:r>
        <w:r>
          <w:rPr>
            <w:webHidden/>
          </w:rPr>
          <w:fldChar w:fldCharType="end"/>
        </w:r>
      </w:hyperlink>
    </w:p>
    <w:p w:rsidR="00C868D5" w:rsidRDefault="00DC702E">
      <w:pPr>
        <w:pStyle w:val="Tytu"/>
        <w:ind w:left="426"/>
        <w:jc w:val="left"/>
        <w:rPr>
          <w:rFonts w:ascii="Century Gothic" w:hAnsi="Century Gothic" w:cs="Tahoma"/>
          <w:color w:val="auto"/>
          <w:sz w:val="22"/>
          <w:szCs w:val="22"/>
          <w:u w:val="single"/>
        </w:rPr>
      </w:pPr>
      <w:r>
        <w:rPr>
          <w:rFonts w:ascii="Century Gothic" w:hAnsi="Century Gothic" w:cs="Tahoma"/>
          <w:caps/>
          <w:noProof/>
          <w:color w:val="auto"/>
          <w:sz w:val="22"/>
          <w:szCs w:val="22"/>
          <w:u w:val="single"/>
        </w:rPr>
        <w:fldChar w:fldCharType="end"/>
      </w:r>
    </w:p>
    <w:p w:rsidR="00C868D5" w:rsidRDefault="00C868D5">
      <w:pPr>
        <w:pStyle w:val="Tytu"/>
        <w:ind w:left="426"/>
        <w:jc w:val="left"/>
        <w:rPr>
          <w:rFonts w:ascii="Century Gothic" w:hAnsi="Century Gothic" w:cs="Tahoma"/>
          <w:color w:val="auto"/>
          <w:sz w:val="22"/>
          <w:szCs w:val="22"/>
          <w:u w:val="single"/>
        </w:rPr>
      </w:pPr>
    </w:p>
    <w:p w:rsidR="00272FE3" w:rsidRPr="00FC335D" w:rsidRDefault="00272FE3" w:rsidP="00D169F7">
      <w:pPr>
        <w:pStyle w:val="Nagwek1"/>
        <w:pageBreakBefore/>
        <w:numPr>
          <w:ilvl w:val="0"/>
          <w:numId w:val="7"/>
        </w:numPr>
        <w:spacing w:before="120"/>
        <w:ind w:left="255" w:hanging="181"/>
        <w:jc w:val="both"/>
        <w:rPr>
          <w:rFonts w:ascii="Century Gothic" w:hAnsi="Century Gothic"/>
          <w:color w:val="0000FF"/>
          <w:sz w:val="22"/>
          <w:szCs w:val="22"/>
        </w:rPr>
      </w:pPr>
      <w:bookmarkStart w:id="0" w:name="_Toc387945890"/>
      <w:r w:rsidRPr="00FC335D">
        <w:rPr>
          <w:rFonts w:ascii="Century Gothic" w:hAnsi="Century Gothic"/>
          <w:color w:val="0000FF"/>
          <w:sz w:val="22"/>
          <w:szCs w:val="22"/>
        </w:rPr>
        <w:lastRenderedPageBreak/>
        <w:t xml:space="preserve">ŚRÓDROCZNE SKONSOLIDOWANE SPRAWOZDANIE FINANSOWE GRUPY KAPITAŁOWEJ </w:t>
      </w:r>
      <w:r w:rsidR="00B233C1">
        <w:rPr>
          <w:rFonts w:ascii="Century Gothic" w:hAnsi="Century Gothic"/>
          <w:color w:val="0000FF"/>
          <w:sz w:val="22"/>
          <w:szCs w:val="22"/>
        </w:rPr>
        <w:br/>
      </w:r>
      <w:r w:rsidR="00FE3428">
        <w:rPr>
          <w:rFonts w:ascii="Century Gothic" w:hAnsi="Century Gothic"/>
          <w:color w:val="0000FF"/>
          <w:sz w:val="22"/>
          <w:szCs w:val="22"/>
        </w:rPr>
        <w:t>Skystone Capital</w:t>
      </w:r>
      <w:r w:rsidRPr="00FC335D">
        <w:rPr>
          <w:rFonts w:ascii="Century Gothic" w:hAnsi="Century Gothic"/>
          <w:color w:val="0000FF"/>
          <w:sz w:val="22"/>
          <w:szCs w:val="22"/>
        </w:rPr>
        <w:t xml:space="preserve"> S.A. ZA </w:t>
      </w:r>
      <w:r w:rsidR="00C254C4" w:rsidRPr="00FC335D">
        <w:rPr>
          <w:rFonts w:ascii="Century Gothic" w:hAnsi="Century Gothic"/>
          <w:color w:val="0000FF"/>
          <w:sz w:val="22"/>
          <w:szCs w:val="22"/>
        </w:rPr>
        <w:t>I KWARTAŁ</w:t>
      </w:r>
      <w:r w:rsidRPr="00FC335D">
        <w:rPr>
          <w:rFonts w:ascii="Century Gothic" w:hAnsi="Century Gothic"/>
          <w:color w:val="0000FF"/>
          <w:sz w:val="22"/>
          <w:szCs w:val="22"/>
        </w:rPr>
        <w:t xml:space="preserve"> 20</w:t>
      </w:r>
      <w:r w:rsidR="002D73F4">
        <w:rPr>
          <w:rFonts w:ascii="Century Gothic" w:hAnsi="Century Gothic"/>
          <w:color w:val="0000FF"/>
          <w:sz w:val="22"/>
          <w:szCs w:val="22"/>
        </w:rPr>
        <w:t>1</w:t>
      </w:r>
      <w:r w:rsidR="003B6EFF">
        <w:rPr>
          <w:rFonts w:ascii="Century Gothic" w:hAnsi="Century Gothic"/>
          <w:color w:val="0000FF"/>
          <w:sz w:val="22"/>
          <w:szCs w:val="22"/>
        </w:rPr>
        <w:t>4</w:t>
      </w:r>
      <w:r w:rsidRPr="00FC335D">
        <w:rPr>
          <w:rFonts w:ascii="Century Gothic" w:hAnsi="Century Gothic"/>
          <w:color w:val="0000FF"/>
          <w:sz w:val="22"/>
          <w:szCs w:val="22"/>
        </w:rPr>
        <w:t xml:space="preserve"> ROKU</w:t>
      </w:r>
      <w:bookmarkEnd w:id="0"/>
    </w:p>
    <w:p w:rsidR="00F23711" w:rsidRPr="000E454E" w:rsidRDefault="00F23711" w:rsidP="000F6140">
      <w:pPr>
        <w:pStyle w:val="Nagwek2"/>
        <w:jc w:val="both"/>
        <w:rPr>
          <w:rFonts w:ascii="Century Gothic" w:hAnsi="Century Gothic"/>
          <w:bCs/>
          <w:i w:val="0"/>
          <w:color w:val="0000FF"/>
          <w:sz w:val="20"/>
        </w:rPr>
      </w:pPr>
      <w:bookmarkStart w:id="1" w:name="_Toc225761423"/>
      <w:bookmarkStart w:id="2" w:name="_Toc228763211"/>
      <w:bookmarkStart w:id="3" w:name="_Toc387945891"/>
      <w:r w:rsidRPr="000E454E">
        <w:rPr>
          <w:rFonts w:ascii="Century Gothic" w:hAnsi="Century Gothic" w:cs="Tahoma"/>
          <w:bCs/>
          <w:i w:val="0"/>
          <w:color w:val="0000FF"/>
          <w:sz w:val="20"/>
        </w:rPr>
        <w:t>WYBRANE DANE FINANSOWE</w:t>
      </w:r>
      <w:bookmarkEnd w:id="1"/>
      <w:bookmarkEnd w:id="2"/>
      <w:bookmarkEnd w:id="3"/>
    </w:p>
    <w:p w:rsidR="005D3184" w:rsidRDefault="00F23711" w:rsidP="00373B2D">
      <w:pPr>
        <w:rPr>
          <w:b/>
        </w:rPr>
      </w:pPr>
      <w:r w:rsidRPr="00FC335D">
        <w:rPr>
          <w:rFonts w:ascii="Century Gothic" w:hAnsi="Century Gothic"/>
        </w:rPr>
        <w:t>za okres zakończony 3</w:t>
      </w:r>
      <w:r w:rsidR="007B631E">
        <w:rPr>
          <w:rFonts w:ascii="Century Gothic" w:hAnsi="Century Gothic"/>
        </w:rPr>
        <w:t xml:space="preserve">1 </w:t>
      </w:r>
      <w:r w:rsidR="003B6EFF">
        <w:rPr>
          <w:rFonts w:ascii="Century Gothic" w:hAnsi="Century Gothic"/>
        </w:rPr>
        <w:t>marca</w:t>
      </w:r>
      <w:r w:rsidRPr="00FC335D">
        <w:rPr>
          <w:rFonts w:ascii="Century Gothic" w:hAnsi="Century Gothic"/>
        </w:rPr>
        <w:t xml:space="preserve"> 20</w:t>
      </w:r>
      <w:r w:rsidR="002D73F4">
        <w:rPr>
          <w:rFonts w:ascii="Century Gothic" w:hAnsi="Century Gothic"/>
        </w:rPr>
        <w:t>1</w:t>
      </w:r>
      <w:r w:rsidR="003B6EFF">
        <w:rPr>
          <w:rFonts w:ascii="Century Gothic" w:hAnsi="Century Gothic"/>
        </w:rPr>
        <w:t>4</w:t>
      </w:r>
      <w:r w:rsidRPr="00FC335D">
        <w:rPr>
          <w:rFonts w:ascii="Century Gothic" w:hAnsi="Century Gothic"/>
        </w:rPr>
        <w:t xml:space="preserve"> roku</w:t>
      </w:r>
      <w:r w:rsidR="00A83915" w:rsidRPr="00A83915">
        <w:rPr>
          <w:b/>
        </w:rPr>
        <w:t xml:space="preserve"> </w:t>
      </w:r>
      <w:r w:rsidR="000E3792" w:rsidRPr="000E3792">
        <w:rPr>
          <w:b/>
        </w:rPr>
        <w:t xml:space="preserve"> </w:t>
      </w:r>
    </w:p>
    <w:p w:rsidR="00CB548F" w:rsidRDefault="00CB548F" w:rsidP="00373B2D">
      <w:pPr>
        <w:rPr>
          <w:b/>
        </w:rPr>
      </w:pPr>
    </w:p>
    <w:p w:rsidR="00CB548F" w:rsidRPr="00D169F7" w:rsidRDefault="009C053A" w:rsidP="00373B2D">
      <w:r w:rsidRPr="009C053A">
        <w:rPr>
          <w:noProof/>
        </w:rPr>
        <w:drawing>
          <wp:inline distT="0" distB="0" distL="0" distR="0" wp14:anchorId="44A67B1C" wp14:editId="41CDAA61">
            <wp:extent cx="6210300" cy="812074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8120742"/>
                    </a:xfrm>
                    <a:prstGeom prst="rect">
                      <a:avLst/>
                    </a:prstGeom>
                    <a:noFill/>
                    <a:ln>
                      <a:noFill/>
                    </a:ln>
                  </pic:spPr>
                </pic:pic>
              </a:graphicData>
            </a:graphic>
          </wp:inline>
        </w:drawing>
      </w:r>
    </w:p>
    <w:p w:rsidR="00F23711" w:rsidRPr="000E454E" w:rsidRDefault="00F23711" w:rsidP="00F23711">
      <w:pPr>
        <w:pStyle w:val="Nagwek2"/>
        <w:pageBreakBefore/>
        <w:jc w:val="both"/>
        <w:rPr>
          <w:rFonts w:ascii="Century Gothic" w:hAnsi="Century Gothic"/>
          <w:bCs/>
          <w:i w:val="0"/>
          <w:color w:val="0000FF"/>
          <w:sz w:val="20"/>
        </w:rPr>
      </w:pPr>
      <w:bookmarkStart w:id="4" w:name="_Toc228763213"/>
      <w:bookmarkStart w:id="5" w:name="_Toc225761425"/>
      <w:bookmarkStart w:id="6" w:name="_Toc387945892"/>
      <w:r w:rsidRPr="000E454E">
        <w:rPr>
          <w:rFonts w:ascii="Century Gothic" w:hAnsi="Century Gothic" w:cs="Tahoma"/>
          <w:bCs/>
          <w:i w:val="0"/>
          <w:color w:val="0000FF"/>
          <w:sz w:val="20"/>
        </w:rPr>
        <w:lastRenderedPageBreak/>
        <w:t>SKONSOLIDOWAN</w:t>
      </w:r>
      <w:r w:rsidR="00FC1663" w:rsidRPr="000E454E">
        <w:rPr>
          <w:rFonts w:ascii="Century Gothic" w:hAnsi="Century Gothic" w:cs="Tahoma"/>
          <w:bCs/>
          <w:i w:val="0"/>
          <w:color w:val="0000FF"/>
          <w:sz w:val="20"/>
        </w:rPr>
        <w:t xml:space="preserve">E SPRAWOZDANIE Z </w:t>
      </w:r>
      <w:r w:rsidR="009826D7">
        <w:rPr>
          <w:rFonts w:ascii="Century Gothic" w:hAnsi="Century Gothic" w:cs="Tahoma"/>
          <w:bCs/>
          <w:i w:val="0"/>
          <w:color w:val="0000FF"/>
          <w:sz w:val="20"/>
        </w:rPr>
        <w:t>SYTUACJI</w:t>
      </w:r>
      <w:r w:rsidR="00FC1663" w:rsidRPr="000E454E">
        <w:rPr>
          <w:rFonts w:ascii="Century Gothic" w:hAnsi="Century Gothic" w:cs="Tahoma"/>
          <w:bCs/>
          <w:i w:val="0"/>
          <w:color w:val="0000FF"/>
          <w:sz w:val="20"/>
        </w:rPr>
        <w:t xml:space="preserve"> FINANSOWEJ</w:t>
      </w:r>
      <w:bookmarkEnd w:id="4"/>
      <w:bookmarkEnd w:id="6"/>
      <w:r w:rsidRPr="000E454E">
        <w:rPr>
          <w:rFonts w:ascii="Century Gothic" w:hAnsi="Century Gothic" w:cs="Tahoma"/>
          <w:bCs/>
          <w:i w:val="0"/>
          <w:color w:val="0000FF"/>
          <w:sz w:val="20"/>
        </w:rPr>
        <w:t xml:space="preserve"> </w:t>
      </w:r>
      <w:bookmarkEnd w:id="5"/>
    </w:p>
    <w:p w:rsidR="00F23711" w:rsidRDefault="00F23711" w:rsidP="00F23711">
      <w:pPr>
        <w:rPr>
          <w:rFonts w:ascii="Century Gothic" w:hAnsi="Century Gothic"/>
        </w:rPr>
      </w:pPr>
      <w:r w:rsidRPr="00FC335D">
        <w:rPr>
          <w:rFonts w:ascii="Century Gothic" w:hAnsi="Century Gothic"/>
        </w:rPr>
        <w:t>na dzień 3</w:t>
      </w:r>
      <w:r w:rsidR="007B631E">
        <w:rPr>
          <w:rFonts w:ascii="Century Gothic" w:hAnsi="Century Gothic"/>
        </w:rPr>
        <w:t xml:space="preserve">1 </w:t>
      </w:r>
      <w:r w:rsidR="003B6EFF">
        <w:rPr>
          <w:rFonts w:ascii="Century Gothic" w:hAnsi="Century Gothic"/>
        </w:rPr>
        <w:t>marca</w:t>
      </w:r>
      <w:r w:rsidR="004D58A4">
        <w:rPr>
          <w:rFonts w:ascii="Century Gothic" w:hAnsi="Century Gothic"/>
        </w:rPr>
        <w:t xml:space="preserve"> </w:t>
      </w:r>
      <w:r w:rsidRPr="00FC335D">
        <w:rPr>
          <w:rFonts w:ascii="Century Gothic" w:hAnsi="Century Gothic"/>
        </w:rPr>
        <w:t xml:space="preserve"> 20</w:t>
      </w:r>
      <w:r w:rsidR="002D73F4">
        <w:rPr>
          <w:rFonts w:ascii="Century Gothic" w:hAnsi="Century Gothic"/>
        </w:rPr>
        <w:t>1</w:t>
      </w:r>
      <w:r w:rsidR="003B6EFF">
        <w:rPr>
          <w:rFonts w:ascii="Century Gothic" w:hAnsi="Century Gothic"/>
        </w:rPr>
        <w:t>4</w:t>
      </w:r>
      <w:r w:rsidRPr="00FC335D">
        <w:rPr>
          <w:rFonts w:ascii="Century Gothic" w:hAnsi="Century Gothic"/>
        </w:rPr>
        <w:t xml:space="preserve"> roku</w:t>
      </w:r>
    </w:p>
    <w:p w:rsidR="00DF7F0F" w:rsidRPr="00C759C4" w:rsidRDefault="00642A9F" w:rsidP="00F23711">
      <w:r w:rsidRPr="00642A9F">
        <w:rPr>
          <w:noProof/>
        </w:rPr>
        <w:drawing>
          <wp:inline distT="0" distB="0" distL="0" distR="0" wp14:anchorId="3136E893" wp14:editId="22852F17">
            <wp:extent cx="5876441" cy="8833449"/>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7400" cy="8834891"/>
                    </a:xfrm>
                    <a:prstGeom prst="rect">
                      <a:avLst/>
                    </a:prstGeom>
                    <a:noFill/>
                    <a:ln>
                      <a:noFill/>
                    </a:ln>
                  </pic:spPr>
                </pic:pic>
              </a:graphicData>
            </a:graphic>
          </wp:inline>
        </w:drawing>
      </w:r>
    </w:p>
    <w:p w:rsidR="00F23711" w:rsidRPr="000E454E" w:rsidRDefault="00F23711" w:rsidP="00F23711">
      <w:pPr>
        <w:pStyle w:val="Nagwek2"/>
        <w:pageBreakBefore/>
        <w:jc w:val="both"/>
        <w:rPr>
          <w:rFonts w:ascii="Century Gothic" w:hAnsi="Century Gothic"/>
          <w:bCs/>
          <w:i w:val="0"/>
          <w:color w:val="0000FF"/>
          <w:sz w:val="20"/>
        </w:rPr>
      </w:pPr>
      <w:bookmarkStart w:id="7" w:name="_Toc228763212"/>
      <w:bookmarkStart w:id="8" w:name="_Toc225761424"/>
      <w:bookmarkStart w:id="9" w:name="_Toc387945893"/>
      <w:r w:rsidRPr="000E454E">
        <w:rPr>
          <w:rFonts w:ascii="Century Gothic" w:hAnsi="Century Gothic" w:cs="Tahoma"/>
          <w:bCs/>
          <w:i w:val="0"/>
          <w:color w:val="0000FF"/>
          <w:sz w:val="20"/>
        </w:rPr>
        <w:lastRenderedPageBreak/>
        <w:t>SKONSOLIDOWANY RACHUNEK ZYSKÓW I STRAT</w:t>
      </w:r>
      <w:bookmarkEnd w:id="7"/>
      <w:r w:rsidRPr="000E454E">
        <w:rPr>
          <w:rFonts w:ascii="Century Gothic" w:hAnsi="Century Gothic" w:cs="Tahoma"/>
          <w:bCs/>
          <w:i w:val="0"/>
          <w:color w:val="0000FF"/>
          <w:sz w:val="20"/>
        </w:rPr>
        <w:t xml:space="preserve"> </w:t>
      </w:r>
      <w:bookmarkEnd w:id="8"/>
      <w:r w:rsidR="009826D7">
        <w:rPr>
          <w:rFonts w:ascii="Century Gothic" w:hAnsi="Century Gothic" w:cs="Tahoma"/>
          <w:bCs/>
          <w:i w:val="0"/>
          <w:color w:val="0000FF"/>
          <w:sz w:val="20"/>
        </w:rPr>
        <w:t>I SPRAWOZDANIE Z CAŁKOWITYCH DOCHODÓW</w:t>
      </w:r>
      <w:bookmarkEnd w:id="9"/>
    </w:p>
    <w:p w:rsidR="00F23711" w:rsidRDefault="00F23711" w:rsidP="00F23711">
      <w:pPr>
        <w:rPr>
          <w:rFonts w:ascii="Century Gothic" w:hAnsi="Century Gothic"/>
        </w:rPr>
      </w:pPr>
      <w:r w:rsidRPr="00FC335D">
        <w:rPr>
          <w:rFonts w:ascii="Century Gothic" w:hAnsi="Century Gothic"/>
        </w:rPr>
        <w:t>za okres od 1 stycznia 20</w:t>
      </w:r>
      <w:r w:rsidR="002D73F4">
        <w:rPr>
          <w:rFonts w:ascii="Century Gothic" w:hAnsi="Century Gothic"/>
        </w:rPr>
        <w:t>1</w:t>
      </w:r>
      <w:r w:rsidR="003B6EFF">
        <w:rPr>
          <w:rFonts w:ascii="Century Gothic" w:hAnsi="Century Gothic"/>
        </w:rPr>
        <w:t>4</w:t>
      </w:r>
      <w:r w:rsidRPr="00FC335D">
        <w:rPr>
          <w:rFonts w:ascii="Century Gothic" w:hAnsi="Century Gothic"/>
        </w:rPr>
        <w:t xml:space="preserve"> roku do </w:t>
      </w:r>
      <w:r w:rsidR="004D58A4" w:rsidRPr="00FC335D">
        <w:rPr>
          <w:rFonts w:ascii="Century Gothic" w:hAnsi="Century Gothic"/>
        </w:rPr>
        <w:t>3</w:t>
      </w:r>
      <w:r w:rsidR="007B631E">
        <w:rPr>
          <w:rFonts w:ascii="Century Gothic" w:hAnsi="Century Gothic"/>
        </w:rPr>
        <w:t xml:space="preserve">1 </w:t>
      </w:r>
      <w:r w:rsidR="003B6EFF">
        <w:rPr>
          <w:rFonts w:ascii="Century Gothic" w:hAnsi="Century Gothic"/>
        </w:rPr>
        <w:t>marca</w:t>
      </w:r>
      <w:r w:rsidR="004D58A4">
        <w:rPr>
          <w:rFonts w:ascii="Century Gothic" w:hAnsi="Century Gothic"/>
        </w:rPr>
        <w:t xml:space="preserve"> </w:t>
      </w:r>
      <w:r w:rsidR="004D58A4" w:rsidRPr="00FC335D">
        <w:rPr>
          <w:rFonts w:ascii="Century Gothic" w:hAnsi="Century Gothic"/>
        </w:rPr>
        <w:t xml:space="preserve"> 20</w:t>
      </w:r>
      <w:r w:rsidR="004D58A4">
        <w:rPr>
          <w:rFonts w:ascii="Century Gothic" w:hAnsi="Century Gothic"/>
        </w:rPr>
        <w:t>1</w:t>
      </w:r>
      <w:r w:rsidR="003B6EFF">
        <w:rPr>
          <w:rFonts w:ascii="Century Gothic" w:hAnsi="Century Gothic"/>
        </w:rPr>
        <w:t>4</w:t>
      </w:r>
      <w:r w:rsidR="004D58A4" w:rsidRPr="00FC335D">
        <w:rPr>
          <w:rFonts w:ascii="Century Gothic" w:hAnsi="Century Gothic"/>
        </w:rPr>
        <w:t xml:space="preserve"> roku</w:t>
      </w:r>
      <w:r w:rsidR="004D58A4" w:rsidRPr="00FC335D" w:rsidDel="004D58A4">
        <w:rPr>
          <w:rFonts w:ascii="Century Gothic" w:hAnsi="Century Gothic"/>
        </w:rPr>
        <w:t xml:space="preserve"> </w:t>
      </w:r>
    </w:p>
    <w:p w:rsidR="00B80000" w:rsidRDefault="00B80000" w:rsidP="00F23711">
      <w:pPr>
        <w:rPr>
          <w:rFonts w:ascii="Century Gothic" w:hAnsi="Century Gothic"/>
        </w:rPr>
      </w:pPr>
    </w:p>
    <w:p w:rsidR="00B80000" w:rsidRPr="00FC335D" w:rsidRDefault="00B80000" w:rsidP="00F23711">
      <w:pPr>
        <w:rPr>
          <w:rFonts w:ascii="Century Gothic" w:hAnsi="Century Gothic"/>
        </w:rPr>
      </w:pPr>
    </w:p>
    <w:p w:rsidR="002B349C" w:rsidRPr="00C759C4" w:rsidRDefault="00BD31DA" w:rsidP="002B349C">
      <w:r w:rsidRPr="00BD31DA">
        <w:rPr>
          <w:noProof/>
        </w:rPr>
        <w:drawing>
          <wp:inline distT="0" distB="0" distL="0" distR="0" wp14:anchorId="12F90489" wp14:editId="762FB982">
            <wp:extent cx="5955254" cy="7944928"/>
            <wp:effectExtent l="0" t="0" r="762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8006" cy="7948600"/>
                    </a:xfrm>
                    <a:prstGeom prst="rect">
                      <a:avLst/>
                    </a:prstGeom>
                    <a:noFill/>
                    <a:ln>
                      <a:noFill/>
                    </a:ln>
                  </pic:spPr>
                </pic:pic>
              </a:graphicData>
            </a:graphic>
          </wp:inline>
        </w:drawing>
      </w:r>
    </w:p>
    <w:p w:rsidR="00504ACE" w:rsidRPr="00D056F7" w:rsidRDefault="00D056F7" w:rsidP="00504ACE">
      <w:r w:rsidRPr="00D056F7">
        <w:rPr>
          <w:highlight w:val="yellow"/>
        </w:rPr>
        <w:t xml:space="preserve"> </w:t>
      </w:r>
    </w:p>
    <w:p w:rsidR="001429DC" w:rsidRPr="009479F2" w:rsidRDefault="00125C49" w:rsidP="00AF1E4B">
      <w:pPr>
        <w:rPr>
          <w:highlight w:val="yellow"/>
        </w:rPr>
      </w:pPr>
      <w:r w:rsidRPr="00125C49">
        <w:t xml:space="preserve"> </w:t>
      </w:r>
      <w:r w:rsidR="00A47295" w:rsidRPr="00A47295">
        <w:t xml:space="preserve"> </w:t>
      </w:r>
    </w:p>
    <w:p w:rsidR="00F23711" w:rsidRPr="000E454E" w:rsidRDefault="00F23711" w:rsidP="00F23711">
      <w:pPr>
        <w:pStyle w:val="Nagwek2"/>
        <w:pageBreakBefore/>
        <w:jc w:val="both"/>
        <w:rPr>
          <w:rFonts w:ascii="Century Gothic" w:hAnsi="Century Gothic"/>
          <w:bCs/>
          <w:i w:val="0"/>
          <w:color w:val="0000FF"/>
          <w:sz w:val="20"/>
        </w:rPr>
      </w:pPr>
      <w:bookmarkStart w:id="10" w:name="_Toc228763214"/>
      <w:bookmarkStart w:id="11" w:name="_Toc225761426"/>
      <w:bookmarkStart w:id="12" w:name="_Toc387945894"/>
      <w:r w:rsidRPr="000E454E">
        <w:rPr>
          <w:rFonts w:ascii="Century Gothic" w:hAnsi="Century Gothic" w:cs="Tahoma"/>
          <w:bCs/>
          <w:i w:val="0"/>
          <w:color w:val="0000FF"/>
          <w:sz w:val="20"/>
        </w:rPr>
        <w:lastRenderedPageBreak/>
        <w:t>SKONSOLIDOWAN</w:t>
      </w:r>
      <w:r w:rsidR="00FC1663" w:rsidRPr="000E454E">
        <w:rPr>
          <w:rFonts w:ascii="Century Gothic" w:hAnsi="Century Gothic" w:cs="Tahoma"/>
          <w:bCs/>
          <w:i w:val="0"/>
          <w:color w:val="0000FF"/>
          <w:sz w:val="20"/>
        </w:rPr>
        <w:t>E SPRAWOZDANIE Z</w:t>
      </w:r>
      <w:r w:rsidRPr="000E454E">
        <w:rPr>
          <w:rFonts w:ascii="Century Gothic" w:hAnsi="Century Gothic" w:cs="Tahoma"/>
          <w:bCs/>
          <w:i w:val="0"/>
          <w:color w:val="0000FF"/>
          <w:sz w:val="20"/>
        </w:rPr>
        <w:t xml:space="preserve"> PRZEPŁYWÓW PIENIĘŻNYCH</w:t>
      </w:r>
      <w:bookmarkEnd w:id="10"/>
      <w:bookmarkEnd w:id="12"/>
      <w:r w:rsidRPr="000E454E">
        <w:rPr>
          <w:rFonts w:ascii="Century Gothic" w:hAnsi="Century Gothic" w:cs="Tahoma"/>
          <w:bCs/>
          <w:i w:val="0"/>
          <w:color w:val="0000FF"/>
          <w:sz w:val="20"/>
        </w:rPr>
        <w:t xml:space="preserve"> </w:t>
      </w:r>
      <w:bookmarkEnd w:id="11"/>
    </w:p>
    <w:p w:rsidR="00F23711" w:rsidRDefault="00187AF7" w:rsidP="00F23711">
      <w:pPr>
        <w:rPr>
          <w:rFonts w:ascii="Century Gothic" w:hAnsi="Century Gothic"/>
        </w:rPr>
      </w:pPr>
      <w:r w:rsidRPr="00FC335D">
        <w:rPr>
          <w:rFonts w:ascii="Century Gothic" w:hAnsi="Century Gothic"/>
        </w:rPr>
        <w:t>za okres od 1 stycznia 20</w:t>
      </w:r>
      <w:r>
        <w:rPr>
          <w:rFonts w:ascii="Century Gothic" w:hAnsi="Century Gothic"/>
        </w:rPr>
        <w:t>1</w:t>
      </w:r>
      <w:r w:rsidR="003B6EFF">
        <w:rPr>
          <w:rFonts w:ascii="Century Gothic" w:hAnsi="Century Gothic"/>
        </w:rPr>
        <w:t>4</w:t>
      </w:r>
      <w:r w:rsidRPr="00FC335D">
        <w:rPr>
          <w:rFonts w:ascii="Century Gothic" w:hAnsi="Century Gothic"/>
        </w:rPr>
        <w:t xml:space="preserve"> roku do 3</w:t>
      </w:r>
      <w:r w:rsidR="007B631E">
        <w:rPr>
          <w:rFonts w:ascii="Century Gothic" w:hAnsi="Century Gothic"/>
        </w:rPr>
        <w:t xml:space="preserve">1 </w:t>
      </w:r>
      <w:r w:rsidR="003B6EFF">
        <w:rPr>
          <w:rFonts w:ascii="Century Gothic" w:hAnsi="Century Gothic"/>
        </w:rPr>
        <w:t>marca</w:t>
      </w:r>
      <w:r>
        <w:rPr>
          <w:rFonts w:ascii="Century Gothic" w:hAnsi="Century Gothic"/>
        </w:rPr>
        <w:t xml:space="preserve"> </w:t>
      </w:r>
      <w:r w:rsidRPr="00FC335D">
        <w:rPr>
          <w:rFonts w:ascii="Century Gothic" w:hAnsi="Century Gothic"/>
        </w:rPr>
        <w:t xml:space="preserve"> 20</w:t>
      </w:r>
      <w:r>
        <w:rPr>
          <w:rFonts w:ascii="Century Gothic" w:hAnsi="Century Gothic"/>
        </w:rPr>
        <w:t>1</w:t>
      </w:r>
      <w:r w:rsidR="003B6EFF">
        <w:rPr>
          <w:rFonts w:ascii="Century Gothic" w:hAnsi="Century Gothic"/>
        </w:rPr>
        <w:t>4</w:t>
      </w:r>
      <w:r w:rsidRPr="00FC335D">
        <w:rPr>
          <w:rFonts w:ascii="Century Gothic" w:hAnsi="Century Gothic"/>
        </w:rPr>
        <w:t xml:space="preserve"> roku</w:t>
      </w:r>
      <w:r w:rsidR="00C40744" w:rsidRPr="00FC335D">
        <w:rPr>
          <w:rFonts w:ascii="Century Gothic" w:hAnsi="Century Gothic"/>
        </w:rPr>
        <w:t xml:space="preserve"> </w:t>
      </w:r>
    </w:p>
    <w:p w:rsidR="00DE32E1" w:rsidRDefault="00DE32E1" w:rsidP="00F23711">
      <w:pPr>
        <w:rPr>
          <w:rFonts w:ascii="Century Gothic" w:hAnsi="Century Gothic"/>
        </w:rPr>
      </w:pPr>
    </w:p>
    <w:p w:rsidR="002D7AE7" w:rsidRPr="00DE32E1" w:rsidRDefault="002D7AE7" w:rsidP="00F23711">
      <w:pPr>
        <w:rPr>
          <w:rFonts w:ascii="Century Gothic" w:hAnsi="Century Gothic"/>
        </w:rPr>
      </w:pPr>
    </w:p>
    <w:p w:rsidR="001D5ACE" w:rsidRPr="00832E73" w:rsidRDefault="009826D7" w:rsidP="005F750F">
      <w:pPr>
        <w:rPr>
          <w:highlight w:val="yellow"/>
        </w:rPr>
      </w:pPr>
      <w:r w:rsidRPr="009826D7">
        <w:rPr>
          <w:noProof/>
        </w:rPr>
        <w:drawing>
          <wp:inline distT="0" distB="0" distL="0" distR="0" wp14:anchorId="5FAADB24" wp14:editId="38A5D4A9">
            <wp:extent cx="6023029" cy="8126083"/>
            <wp:effectExtent l="0" t="0" r="0" b="889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4823" cy="8128503"/>
                    </a:xfrm>
                    <a:prstGeom prst="rect">
                      <a:avLst/>
                    </a:prstGeom>
                    <a:noFill/>
                    <a:ln>
                      <a:noFill/>
                    </a:ln>
                  </pic:spPr>
                </pic:pic>
              </a:graphicData>
            </a:graphic>
          </wp:inline>
        </w:drawing>
      </w:r>
      <w:r w:rsidR="00125C49" w:rsidRPr="00125C49">
        <w:t xml:space="preserve"> </w:t>
      </w:r>
      <w:r w:rsidR="00D056F7" w:rsidRPr="00D056F7">
        <w:rPr>
          <w:highlight w:val="yellow"/>
        </w:rPr>
        <w:t xml:space="preserve"> </w:t>
      </w:r>
      <w:r w:rsidR="00AA4DEE" w:rsidRPr="00AA4DEE">
        <w:t xml:space="preserve"> </w:t>
      </w:r>
    </w:p>
    <w:p w:rsidR="00F23711" w:rsidRPr="000E454E" w:rsidRDefault="00F23711" w:rsidP="00F23711">
      <w:pPr>
        <w:pStyle w:val="Nagwek2"/>
        <w:pageBreakBefore/>
        <w:jc w:val="both"/>
        <w:rPr>
          <w:rFonts w:ascii="Century Gothic" w:hAnsi="Century Gothic"/>
          <w:bCs/>
          <w:i w:val="0"/>
          <w:color w:val="0000FF"/>
          <w:sz w:val="20"/>
        </w:rPr>
      </w:pPr>
      <w:bookmarkStart w:id="13" w:name="_Toc225761427"/>
      <w:bookmarkStart w:id="14" w:name="_Toc228763215"/>
      <w:bookmarkStart w:id="15" w:name="_Toc387945895"/>
      <w:r w:rsidRPr="000E454E">
        <w:rPr>
          <w:rFonts w:ascii="Century Gothic" w:hAnsi="Century Gothic" w:cs="Tahoma"/>
          <w:bCs/>
          <w:i w:val="0"/>
          <w:color w:val="0000FF"/>
          <w:sz w:val="20"/>
        </w:rPr>
        <w:lastRenderedPageBreak/>
        <w:t>SKONSOLIDOWANE ZESTAWIENIE ZMIAN W KAPITALE WŁASNYM</w:t>
      </w:r>
      <w:bookmarkEnd w:id="13"/>
      <w:bookmarkEnd w:id="14"/>
      <w:bookmarkEnd w:id="15"/>
    </w:p>
    <w:p w:rsidR="00F23711" w:rsidRDefault="00F23711" w:rsidP="00F23711">
      <w:pPr>
        <w:rPr>
          <w:rFonts w:ascii="Century Gothic" w:hAnsi="Century Gothic"/>
        </w:rPr>
      </w:pPr>
      <w:r w:rsidRPr="00FC335D">
        <w:rPr>
          <w:rFonts w:ascii="Century Gothic" w:hAnsi="Century Gothic"/>
        </w:rPr>
        <w:t>w okresie od 1 stycznia 20</w:t>
      </w:r>
      <w:r w:rsidR="002D73F4">
        <w:rPr>
          <w:rFonts w:ascii="Century Gothic" w:hAnsi="Century Gothic"/>
        </w:rPr>
        <w:t>1</w:t>
      </w:r>
      <w:r w:rsidR="003B6EFF">
        <w:rPr>
          <w:rFonts w:ascii="Century Gothic" w:hAnsi="Century Gothic"/>
        </w:rPr>
        <w:t>4</w:t>
      </w:r>
      <w:r w:rsidRPr="00FC335D">
        <w:rPr>
          <w:rFonts w:ascii="Century Gothic" w:hAnsi="Century Gothic"/>
        </w:rPr>
        <w:t xml:space="preserve"> roku do </w:t>
      </w:r>
      <w:r w:rsidR="004D58A4" w:rsidRPr="00FC335D">
        <w:rPr>
          <w:rFonts w:ascii="Century Gothic" w:hAnsi="Century Gothic"/>
        </w:rPr>
        <w:t>3</w:t>
      </w:r>
      <w:r w:rsidR="007B631E">
        <w:rPr>
          <w:rFonts w:ascii="Century Gothic" w:hAnsi="Century Gothic"/>
        </w:rPr>
        <w:t xml:space="preserve">1 </w:t>
      </w:r>
      <w:r w:rsidR="003B6EFF">
        <w:rPr>
          <w:rFonts w:ascii="Century Gothic" w:hAnsi="Century Gothic"/>
        </w:rPr>
        <w:t>marca</w:t>
      </w:r>
      <w:r w:rsidR="004D58A4">
        <w:rPr>
          <w:rFonts w:ascii="Century Gothic" w:hAnsi="Century Gothic"/>
        </w:rPr>
        <w:t xml:space="preserve"> </w:t>
      </w:r>
      <w:r w:rsidR="004D58A4" w:rsidRPr="00FC335D">
        <w:rPr>
          <w:rFonts w:ascii="Century Gothic" w:hAnsi="Century Gothic"/>
        </w:rPr>
        <w:t xml:space="preserve"> 20</w:t>
      </w:r>
      <w:r w:rsidR="004D58A4">
        <w:rPr>
          <w:rFonts w:ascii="Century Gothic" w:hAnsi="Century Gothic"/>
        </w:rPr>
        <w:t>1</w:t>
      </w:r>
      <w:r w:rsidR="003B6EFF">
        <w:rPr>
          <w:rFonts w:ascii="Century Gothic" w:hAnsi="Century Gothic"/>
        </w:rPr>
        <w:t>4</w:t>
      </w:r>
      <w:r w:rsidR="004D58A4" w:rsidRPr="00FC335D">
        <w:rPr>
          <w:rFonts w:ascii="Century Gothic" w:hAnsi="Century Gothic"/>
        </w:rPr>
        <w:t xml:space="preserve"> roku</w:t>
      </w:r>
    </w:p>
    <w:p w:rsidR="00B80000" w:rsidRPr="00FC335D" w:rsidRDefault="00B80000" w:rsidP="00F23711">
      <w:pPr>
        <w:rPr>
          <w:rFonts w:ascii="Century Gothic" w:hAnsi="Century Gothic"/>
        </w:rPr>
      </w:pPr>
    </w:p>
    <w:p w:rsidR="001D5ACE" w:rsidRPr="007B19F6" w:rsidRDefault="009826D7" w:rsidP="00874B66">
      <w:pPr>
        <w:pStyle w:val="Tytu"/>
        <w:jc w:val="left"/>
        <w:rPr>
          <w:highlight w:val="yellow"/>
        </w:rPr>
      </w:pPr>
      <w:r w:rsidRPr="009826D7">
        <w:rPr>
          <w:noProof/>
        </w:rPr>
        <w:drawing>
          <wp:inline distT="0" distB="0" distL="0" distR="0" wp14:anchorId="0CB0EBD7" wp14:editId="7A54481B">
            <wp:extent cx="5863494" cy="5011947"/>
            <wp:effectExtent l="0" t="0" r="444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967" cy="5014915"/>
                    </a:xfrm>
                    <a:prstGeom prst="rect">
                      <a:avLst/>
                    </a:prstGeom>
                    <a:noFill/>
                    <a:ln>
                      <a:noFill/>
                    </a:ln>
                  </pic:spPr>
                </pic:pic>
              </a:graphicData>
            </a:graphic>
          </wp:inline>
        </w:drawing>
      </w:r>
    </w:p>
    <w:p w:rsidR="00125C49" w:rsidRPr="00BC66C9" w:rsidRDefault="00ED5DD8" w:rsidP="00874B66">
      <w:pPr>
        <w:pStyle w:val="Tytu"/>
        <w:jc w:val="left"/>
      </w:pPr>
      <w:r w:rsidRPr="00ED5DD8">
        <w:rPr>
          <w:b w:val="0"/>
        </w:rPr>
        <w:t xml:space="preserve"> </w:t>
      </w:r>
      <w:r w:rsidR="00D056F7" w:rsidRPr="00D056F7">
        <w:rPr>
          <w:b w:val="0"/>
          <w:highlight w:val="yellow"/>
        </w:rPr>
        <w:t xml:space="preserve"> </w:t>
      </w:r>
      <w:r w:rsidR="00AA4DEE" w:rsidRPr="00AA4DEE">
        <w:rPr>
          <w:b w:val="0"/>
        </w:rPr>
        <w:t xml:space="preserve"> </w:t>
      </w:r>
    </w:p>
    <w:p w:rsidR="00342FA3" w:rsidRDefault="00342FA3" w:rsidP="00A15278">
      <w:pPr>
        <w:rPr>
          <w:rFonts w:ascii="Century Gothic" w:hAnsi="Century Gothic"/>
        </w:rPr>
      </w:pPr>
    </w:p>
    <w:p w:rsidR="00342FA3" w:rsidRDefault="00342FA3" w:rsidP="00A15278">
      <w:pPr>
        <w:rPr>
          <w:rFonts w:ascii="Century Gothic" w:hAnsi="Century Gothic"/>
        </w:rPr>
      </w:pPr>
    </w:p>
    <w:p w:rsidR="00B56C85" w:rsidRPr="00FC335D" w:rsidRDefault="00B56C85" w:rsidP="00A15278">
      <w:pPr>
        <w:rPr>
          <w:rFonts w:ascii="Century Gothic" w:hAnsi="Century Gothic"/>
        </w:rPr>
      </w:pPr>
    </w:p>
    <w:p w:rsidR="00272FE3" w:rsidRDefault="0010722E" w:rsidP="0010722E">
      <w:pPr>
        <w:pStyle w:val="Nagwek1"/>
        <w:pageBreakBefore/>
        <w:numPr>
          <w:ilvl w:val="0"/>
          <w:numId w:val="7"/>
        </w:numPr>
        <w:pBdr>
          <w:bottom w:val="single" w:sz="4" w:space="0" w:color="auto"/>
        </w:pBdr>
        <w:ind w:left="255" w:hanging="181"/>
        <w:jc w:val="both"/>
        <w:rPr>
          <w:rFonts w:ascii="Century Gothic" w:hAnsi="Century Gothic" w:cs="Tahoma"/>
          <w:bCs/>
          <w:caps w:val="0"/>
          <w:color w:val="0000FF"/>
          <w:sz w:val="22"/>
          <w:szCs w:val="22"/>
        </w:rPr>
      </w:pPr>
      <w:bookmarkStart w:id="16" w:name="_Toc387945896"/>
      <w:r>
        <w:rPr>
          <w:rFonts w:ascii="Century Gothic" w:hAnsi="Century Gothic" w:cs="Tahoma"/>
          <w:bCs/>
          <w:caps w:val="0"/>
          <w:color w:val="0000FF"/>
          <w:sz w:val="22"/>
          <w:szCs w:val="22"/>
        </w:rPr>
        <w:lastRenderedPageBreak/>
        <w:t xml:space="preserve">NOTY </w:t>
      </w:r>
      <w:r w:rsidR="00392A7A">
        <w:rPr>
          <w:rFonts w:ascii="Century Gothic" w:hAnsi="Century Gothic" w:cs="Tahoma"/>
          <w:bCs/>
          <w:caps w:val="0"/>
          <w:color w:val="0000FF"/>
          <w:sz w:val="22"/>
          <w:szCs w:val="22"/>
        </w:rPr>
        <w:t xml:space="preserve">OBJAŚNIAJĄCE </w:t>
      </w:r>
      <w:r w:rsidR="00FC335D" w:rsidRPr="00E80B8E">
        <w:rPr>
          <w:rFonts w:ascii="Century Gothic" w:hAnsi="Century Gothic" w:cs="Tahoma"/>
          <w:bCs/>
          <w:caps w:val="0"/>
          <w:color w:val="0000FF"/>
          <w:sz w:val="22"/>
          <w:szCs w:val="22"/>
        </w:rPr>
        <w:t xml:space="preserve">DO ŚRÓDROCZNEGO SKONSOLIDOWANEGO SPRAWOZDANIA FINANSOWEGO ZA </w:t>
      </w:r>
      <w:r w:rsidR="00D572E7">
        <w:rPr>
          <w:rFonts w:ascii="Century Gothic" w:hAnsi="Century Gothic" w:cs="Tahoma"/>
          <w:bCs/>
          <w:caps w:val="0"/>
          <w:color w:val="0000FF"/>
          <w:sz w:val="22"/>
          <w:szCs w:val="22"/>
        </w:rPr>
        <w:t>I</w:t>
      </w:r>
      <w:r w:rsidR="00FC335D" w:rsidRPr="00E80B8E">
        <w:rPr>
          <w:rFonts w:ascii="Century Gothic" w:hAnsi="Century Gothic" w:cs="Tahoma"/>
          <w:bCs/>
          <w:caps w:val="0"/>
          <w:color w:val="0000FF"/>
          <w:sz w:val="22"/>
          <w:szCs w:val="22"/>
        </w:rPr>
        <w:t xml:space="preserve"> KWARTAŁ 20</w:t>
      </w:r>
      <w:r w:rsidR="002D73F4">
        <w:rPr>
          <w:rFonts w:ascii="Century Gothic" w:hAnsi="Century Gothic" w:cs="Tahoma"/>
          <w:bCs/>
          <w:caps w:val="0"/>
          <w:color w:val="0000FF"/>
          <w:sz w:val="22"/>
          <w:szCs w:val="22"/>
        </w:rPr>
        <w:t>1</w:t>
      </w:r>
      <w:r w:rsidR="003B6EFF">
        <w:rPr>
          <w:rFonts w:ascii="Century Gothic" w:hAnsi="Century Gothic" w:cs="Tahoma"/>
          <w:bCs/>
          <w:caps w:val="0"/>
          <w:color w:val="0000FF"/>
          <w:sz w:val="22"/>
          <w:szCs w:val="22"/>
        </w:rPr>
        <w:t>4</w:t>
      </w:r>
      <w:r w:rsidR="00FC335D" w:rsidRPr="00E80B8E">
        <w:rPr>
          <w:rFonts w:ascii="Century Gothic" w:hAnsi="Century Gothic" w:cs="Tahoma"/>
          <w:bCs/>
          <w:caps w:val="0"/>
          <w:color w:val="0000FF"/>
          <w:sz w:val="22"/>
          <w:szCs w:val="22"/>
        </w:rPr>
        <w:t xml:space="preserve"> ROKU</w:t>
      </w:r>
      <w:bookmarkEnd w:id="16"/>
    </w:p>
    <w:p w:rsidR="00392A7A" w:rsidRPr="000E454E" w:rsidRDefault="00392A7A" w:rsidP="00392A7A">
      <w:pPr>
        <w:pStyle w:val="Nagwek2"/>
        <w:numPr>
          <w:ilvl w:val="0"/>
          <w:numId w:val="8"/>
        </w:numPr>
        <w:tabs>
          <w:tab w:val="clear" w:pos="436"/>
          <w:tab w:val="num" w:pos="502"/>
        </w:tabs>
        <w:ind w:left="502"/>
        <w:jc w:val="both"/>
        <w:rPr>
          <w:rFonts w:ascii="Century Gothic" w:hAnsi="Century Gothic"/>
          <w:bCs/>
          <w:i w:val="0"/>
          <w:color w:val="0000FF"/>
          <w:sz w:val="20"/>
        </w:rPr>
      </w:pPr>
      <w:bookmarkStart w:id="17" w:name="_Toc292971706"/>
      <w:bookmarkStart w:id="18" w:name="_Toc387945897"/>
      <w:bookmarkEnd w:id="17"/>
      <w:r w:rsidRPr="000E454E">
        <w:rPr>
          <w:rFonts w:ascii="Century Gothic" w:hAnsi="Century Gothic"/>
          <w:bCs/>
          <w:i w:val="0"/>
          <w:color w:val="0000FF"/>
          <w:sz w:val="20"/>
        </w:rPr>
        <w:t>ZATWIERDZENIE SPRAWOZDANIA FINANSOWEGO</w:t>
      </w:r>
      <w:bookmarkEnd w:id="18"/>
    </w:p>
    <w:p w:rsidR="00392A7A" w:rsidRPr="009479F2" w:rsidRDefault="00392A7A" w:rsidP="00392A7A">
      <w:pPr>
        <w:jc w:val="both"/>
        <w:rPr>
          <w:rFonts w:ascii="Century Gothic" w:hAnsi="Century Gothic" w:cs="Tahoma"/>
          <w:b/>
        </w:rPr>
      </w:pPr>
    </w:p>
    <w:p w:rsidR="00392A7A" w:rsidRPr="009479F2" w:rsidRDefault="00392A7A" w:rsidP="00392A7A">
      <w:pPr>
        <w:ind w:left="426"/>
        <w:jc w:val="both"/>
        <w:rPr>
          <w:rFonts w:ascii="Century Gothic" w:hAnsi="Century Gothic" w:cs="Tahoma"/>
        </w:rPr>
      </w:pPr>
      <w:r w:rsidRPr="009479F2">
        <w:rPr>
          <w:rFonts w:ascii="Century Gothic" w:hAnsi="Century Gothic" w:cs="Tahoma"/>
        </w:rPr>
        <w:t xml:space="preserve">Prezentowane sprawozdanie finansowe zostało zatwierdzone do publikacji przez Zarząd </w:t>
      </w:r>
      <w:r>
        <w:rPr>
          <w:rFonts w:ascii="Century Gothic" w:hAnsi="Century Gothic" w:cs="Tahoma"/>
        </w:rPr>
        <w:br/>
      </w:r>
      <w:proofErr w:type="spellStart"/>
      <w:r w:rsidR="00FE3428">
        <w:rPr>
          <w:rFonts w:ascii="Century Gothic" w:hAnsi="Century Gothic" w:cs="Tahoma"/>
        </w:rPr>
        <w:t>Skystone</w:t>
      </w:r>
      <w:proofErr w:type="spellEnd"/>
      <w:r w:rsidR="00FE3428">
        <w:rPr>
          <w:rFonts w:ascii="Century Gothic" w:hAnsi="Century Gothic" w:cs="Tahoma"/>
        </w:rPr>
        <w:t xml:space="preserve"> Capital</w:t>
      </w:r>
      <w:r w:rsidRPr="00D056F7">
        <w:rPr>
          <w:rFonts w:ascii="Century Gothic" w:hAnsi="Century Gothic" w:cs="Tahoma"/>
        </w:rPr>
        <w:t xml:space="preserve"> S.A. w dniu</w:t>
      </w:r>
      <w:r>
        <w:rPr>
          <w:rFonts w:ascii="Century Gothic" w:hAnsi="Century Gothic" w:cs="Tahoma"/>
        </w:rPr>
        <w:t xml:space="preserve"> </w:t>
      </w:r>
      <w:r w:rsidR="003B6EFF">
        <w:rPr>
          <w:rFonts w:ascii="Century Gothic" w:hAnsi="Century Gothic" w:cs="Tahoma"/>
        </w:rPr>
        <w:t>15 maja</w:t>
      </w:r>
      <w:r>
        <w:rPr>
          <w:rFonts w:ascii="Century Gothic" w:hAnsi="Century Gothic" w:cs="Tahoma"/>
        </w:rPr>
        <w:t xml:space="preserve"> </w:t>
      </w:r>
      <w:r w:rsidRPr="00D056F7">
        <w:rPr>
          <w:rFonts w:ascii="Century Gothic" w:hAnsi="Century Gothic" w:cs="Tahoma"/>
        </w:rPr>
        <w:t>201</w:t>
      </w:r>
      <w:r w:rsidR="007B631E">
        <w:rPr>
          <w:rFonts w:ascii="Century Gothic" w:hAnsi="Century Gothic" w:cs="Tahoma"/>
        </w:rPr>
        <w:t>4</w:t>
      </w:r>
      <w:r w:rsidR="005E03C8">
        <w:rPr>
          <w:rFonts w:ascii="Century Gothic" w:hAnsi="Century Gothic" w:cs="Tahoma"/>
        </w:rPr>
        <w:t xml:space="preserve"> r</w:t>
      </w:r>
      <w:r w:rsidRPr="00D056F7">
        <w:rPr>
          <w:rFonts w:ascii="Century Gothic" w:hAnsi="Century Gothic" w:cs="Tahoma"/>
        </w:rPr>
        <w:t>.</w:t>
      </w:r>
    </w:p>
    <w:p w:rsidR="00392A7A" w:rsidRDefault="00392A7A" w:rsidP="00392A7A">
      <w:pPr>
        <w:jc w:val="both"/>
        <w:rPr>
          <w:rFonts w:ascii="Century Gothic" w:hAnsi="Century Gothic" w:cs="Tahoma"/>
          <w:b/>
        </w:rPr>
      </w:pPr>
    </w:p>
    <w:p w:rsidR="00392A7A" w:rsidRDefault="00392A7A" w:rsidP="00392A7A">
      <w:pPr>
        <w:pStyle w:val="Nagwek2"/>
        <w:numPr>
          <w:ilvl w:val="0"/>
          <w:numId w:val="8"/>
        </w:numPr>
        <w:tabs>
          <w:tab w:val="clear" w:pos="436"/>
          <w:tab w:val="num" w:pos="502"/>
        </w:tabs>
        <w:ind w:left="502"/>
        <w:jc w:val="both"/>
        <w:rPr>
          <w:rFonts w:ascii="Century Gothic" w:hAnsi="Century Gothic"/>
          <w:bCs/>
          <w:i w:val="0"/>
          <w:color w:val="0000FF"/>
          <w:sz w:val="20"/>
        </w:rPr>
      </w:pPr>
      <w:bookmarkStart w:id="19" w:name="_Toc292971708"/>
      <w:bookmarkStart w:id="20" w:name="_Toc228616636"/>
      <w:bookmarkStart w:id="21" w:name="_Toc260311316"/>
      <w:bookmarkStart w:id="22" w:name="_Toc387945898"/>
      <w:bookmarkEnd w:id="19"/>
      <w:bookmarkEnd w:id="20"/>
      <w:r w:rsidRPr="00D17484">
        <w:rPr>
          <w:rFonts w:ascii="Century Gothic" w:hAnsi="Century Gothic"/>
          <w:bCs/>
          <w:i w:val="0"/>
          <w:color w:val="0000FF"/>
          <w:sz w:val="20"/>
        </w:rPr>
        <w:t>PODSTAWA I ZASADY SPORZĄDZENIA SKONSOLIDOWANEGO SPRAWOZDANIA FINANSOWEGO</w:t>
      </w:r>
      <w:bookmarkEnd w:id="21"/>
      <w:bookmarkEnd w:id="22"/>
    </w:p>
    <w:p w:rsidR="003E37FD" w:rsidRPr="003E37FD" w:rsidRDefault="003E37FD" w:rsidP="003E37FD"/>
    <w:p w:rsidR="00392A7A" w:rsidRPr="00D17484" w:rsidRDefault="00392A7A" w:rsidP="008B2472">
      <w:pPr>
        <w:numPr>
          <w:ilvl w:val="0"/>
          <w:numId w:val="11"/>
        </w:numPr>
        <w:tabs>
          <w:tab w:val="left" w:pos="426"/>
        </w:tabs>
        <w:jc w:val="both"/>
        <w:rPr>
          <w:rFonts w:ascii="Century Gothic" w:hAnsi="Century Gothic" w:cs="Tahoma"/>
          <w:color w:val="0000FF"/>
        </w:rPr>
      </w:pPr>
      <w:r w:rsidRPr="00D17484">
        <w:rPr>
          <w:rFonts w:ascii="Century Gothic" w:hAnsi="Century Gothic" w:cs="Tahoma"/>
          <w:b/>
          <w:color w:val="0000FF"/>
        </w:rPr>
        <w:t>Podstawa sporządzenia sprawozdań finansowych</w:t>
      </w:r>
    </w:p>
    <w:p w:rsidR="00392A7A" w:rsidRPr="00D17484" w:rsidRDefault="00392A7A" w:rsidP="00392A7A">
      <w:pPr>
        <w:ind w:left="426"/>
        <w:jc w:val="both"/>
        <w:rPr>
          <w:rFonts w:ascii="Century Gothic" w:hAnsi="Century Gothic" w:cs="Tahoma"/>
          <w:color w:val="0000FF"/>
        </w:rPr>
      </w:pPr>
    </w:p>
    <w:p w:rsidR="00815736" w:rsidRPr="00FC35A8"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Jednostka dominująca sporządza sprawozdania finansowe zgodnie</w:t>
      </w:r>
      <w:r>
        <w:rPr>
          <w:rFonts w:ascii="Century Gothic" w:hAnsi="Century Gothic" w:cs="Tahoma"/>
        </w:rPr>
        <w:t xml:space="preserve"> </w:t>
      </w:r>
      <w:r w:rsidRPr="0019063A">
        <w:rPr>
          <w:rFonts w:ascii="Century Gothic" w:hAnsi="Century Gothic" w:cs="Tahoma"/>
        </w:rPr>
        <w:t xml:space="preserve">z Międzynarodowymi Standardami Sprawozdawczości Finansowej na podstawie </w:t>
      </w:r>
      <w:r w:rsidRPr="00FC35A8">
        <w:rPr>
          <w:rFonts w:ascii="Century Gothic" w:hAnsi="Century Gothic" w:cs="Tahoma"/>
        </w:rPr>
        <w:t>Rozporządzenia Rady Ministrów z dnia</w:t>
      </w:r>
      <w:r>
        <w:rPr>
          <w:rFonts w:ascii="Century Gothic" w:hAnsi="Century Gothic" w:cs="Tahoma"/>
        </w:rPr>
        <w:t xml:space="preserve"> </w:t>
      </w:r>
      <w:smartTag w:uri="urn:schemas-microsoft-com:office:smarttags" w:element="date">
        <w:smartTagPr>
          <w:attr w:name="Year" w:val="2009"/>
          <w:attr w:name="Day" w:val="19"/>
          <w:attr w:name="Month" w:val="2"/>
          <w:attr w:name="ls" w:val="trans"/>
        </w:smartTagPr>
        <w:r w:rsidRPr="00FC35A8">
          <w:rPr>
            <w:rFonts w:ascii="Century Gothic" w:hAnsi="Century Gothic" w:cs="Tahoma"/>
          </w:rPr>
          <w:t>19 lutego 2009 roku</w:t>
        </w:r>
      </w:smartTag>
      <w:r w:rsidRPr="00FC35A8">
        <w:rPr>
          <w:rFonts w:ascii="Century Gothic" w:hAnsi="Century Gothic" w:cs="Tahoma"/>
        </w:rPr>
        <w:t xml:space="preserve"> w sprawie informacji bieżących i okresowych przekazywanych przez emitentów papierów wartościowych oraz warunków uznawania za równoważne informacji wymaganych przepisami prawa państwa nie będącego państwem członkowskim (Dz. U. z 2009 r., Nr 33,poz. 259). </w:t>
      </w:r>
    </w:p>
    <w:p w:rsidR="00392A7A" w:rsidRPr="0019063A" w:rsidRDefault="00392A7A" w:rsidP="00392A7A">
      <w:pPr>
        <w:autoSpaceDE w:val="0"/>
        <w:autoSpaceDN w:val="0"/>
        <w:adjustRightInd w:val="0"/>
        <w:ind w:left="426"/>
        <w:jc w:val="both"/>
        <w:rPr>
          <w:rFonts w:ascii="Century Gothic" w:hAnsi="Century Gothic" w:cs="Tahoma"/>
        </w:rPr>
      </w:pPr>
      <w:r w:rsidRPr="0019063A">
        <w:rPr>
          <w:rFonts w:ascii="Century Gothic" w:hAnsi="Century Gothic" w:cs="Tahoma"/>
        </w:rPr>
        <w:t>Raport zawiera skonsolidowane sprawozdanie finansowe i wybrane dane objaśniające</w:t>
      </w:r>
      <w:r w:rsidR="00E01DC6">
        <w:rPr>
          <w:rFonts w:ascii="Century Gothic" w:hAnsi="Century Gothic" w:cs="Tahoma"/>
        </w:rPr>
        <w:t xml:space="preserve"> do skonsolidowanego sprawozdania finansowego</w:t>
      </w:r>
      <w:r w:rsidRPr="0019063A">
        <w:rPr>
          <w:rFonts w:ascii="Century Gothic" w:hAnsi="Century Gothic" w:cs="Tahoma"/>
        </w:rPr>
        <w:t xml:space="preserve"> </w:t>
      </w:r>
      <w:r w:rsidR="00E01DC6">
        <w:rPr>
          <w:rFonts w:ascii="Century Gothic" w:hAnsi="Century Gothic" w:cs="Tahoma"/>
        </w:rPr>
        <w:t>oraz informacje określone</w:t>
      </w:r>
      <w:r w:rsidR="009708A2">
        <w:rPr>
          <w:rFonts w:ascii="Century Gothic" w:hAnsi="Century Gothic" w:cs="Tahoma"/>
        </w:rPr>
        <w:br/>
      </w:r>
      <w:r w:rsidR="00E01DC6">
        <w:rPr>
          <w:rFonts w:ascii="Century Gothic" w:hAnsi="Century Gothic" w:cs="Tahoma"/>
        </w:rPr>
        <w:t>w § 87</w:t>
      </w:r>
      <w:r w:rsidR="009708A2">
        <w:rPr>
          <w:rFonts w:ascii="Century Gothic" w:hAnsi="Century Gothic" w:cs="Tahoma"/>
        </w:rPr>
        <w:t xml:space="preserve"> </w:t>
      </w:r>
      <w:r w:rsidR="00E01DC6">
        <w:rPr>
          <w:rFonts w:ascii="Century Gothic" w:hAnsi="Century Gothic" w:cs="Tahoma"/>
        </w:rPr>
        <w:t>Rozporządzenia</w:t>
      </w:r>
      <w:r w:rsidRPr="0019063A">
        <w:rPr>
          <w:rFonts w:ascii="Century Gothic" w:hAnsi="Century Gothic" w:cs="Tahoma"/>
        </w:rPr>
        <w:t>.</w:t>
      </w:r>
    </w:p>
    <w:p w:rsidR="00392A7A" w:rsidRPr="0019063A" w:rsidRDefault="00392A7A" w:rsidP="00392A7A">
      <w:pPr>
        <w:tabs>
          <w:tab w:val="left" w:pos="426"/>
        </w:tabs>
        <w:ind w:left="426"/>
        <w:jc w:val="both"/>
        <w:rPr>
          <w:rFonts w:ascii="Century Gothic" w:hAnsi="Century Gothic" w:cs="Tahoma"/>
        </w:rPr>
      </w:pPr>
    </w:p>
    <w:p w:rsidR="003B6EFF" w:rsidRDefault="003B6EFF" w:rsidP="003B6EFF">
      <w:pPr>
        <w:pStyle w:val="Tekstpodstawowy"/>
        <w:keepNext/>
        <w:keepLines/>
        <w:ind w:left="426"/>
        <w:rPr>
          <w:rFonts w:ascii="Century Gothic" w:hAnsi="Century Gothic" w:cs="Tahoma"/>
          <w:color w:val="auto"/>
          <w:sz w:val="20"/>
        </w:rPr>
      </w:pPr>
    </w:p>
    <w:p w:rsidR="003B6EFF" w:rsidRDefault="003B6EFF" w:rsidP="003B6EFF">
      <w:pPr>
        <w:autoSpaceDE w:val="0"/>
        <w:autoSpaceDN w:val="0"/>
        <w:adjustRightInd w:val="0"/>
        <w:ind w:left="426"/>
        <w:jc w:val="both"/>
        <w:rPr>
          <w:rFonts w:ascii="Century Gothic" w:hAnsi="Century Gothic" w:cs="Tahoma"/>
        </w:rPr>
      </w:pPr>
      <w:r w:rsidRPr="00024DA4">
        <w:rPr>
          <w:rFonts w:ascii="Century Gothic" w:hAnsi="Century Gothic" w:cs="Tahoma"/>
        </w:rPr>
        <w:t>Sprawozdanie finansowe zostało sporządzone przy założeniu kontynuowania działalności gospodarczej w dającej się przewidzieć przyszłości (nie krótszej niż 1 rok), mimo że występują okoliczności wskazujące na zagrożenie kontynuacji działalności wskutek utraty płynności finansowej. Dla utrzymania tego założenia Zarząd</w:t>
      </w:r>
      <w:r>
        <w:rPr>
          <w:rFonts w:ascii="Century Gothic" w:hAnsi="Century Gothic" w:cs="Tahoma"/>
        </w:rPr>
        <w:t xml:space="preserve"> spółki dominującej</w:t>
      </w:r>
      <w:r w:rsidRPr="00024DA4">
        <w:rPr>
          <w:rFonts w:ascii="Century Gothic" w:hAnsi="Century Gothic" w:cs="Tahoma"/>
        </w:rPr>
        <w:t xml:space="preserve"> podjął starania zmierzające do zbycia aktywów związanych z OZEN PLUS Sp. z o.o., </w:t>
      </w:r>
      <w:r w:rsidRPr="00000B2E">
        <w:rPr>
          <w:rFonts w:ascii="Century Gothic" w:hAnsi="Century Gothic" w:cs="Tahoma"/>
        </w:rPr>
        <w:t xml:space="preserve">doprowadzając ich wartość bilansową do </w:t>
      </w:r>
      <w:r>
        <w:rPr>
          <w:rFonts w:ascii="Century Gothic" w:hAnsi="Century Gothic" w:cs="Tahoma"/>
        </w:rPr>
        <w:t>prognozowanej wartości możliwej do uzyskania, oraz innych spółek z portfela.</w:t>
      </w:r>
      <w:r w:rsidRPr="00000B2E">
        <w:rPr>
          <w:rFonts w:ascii="Century Gothic" w:hAnsi="Century Gothic" w:cs="Tahoma"/>
        </w:rPr>
        <w:t xml:space="preserve"> </w:t>
      </w:r>
      <w:r>
        <w:rPr>
          <w:rFonts w:ascii="Century Gothic" w:hAnsi="Century Gothic" w:cs="Tahoma"/>
        </w:rPr>
        <w:t>P</w:t>
      </w:r>
      <w:r w:rsidRPr="00000B2E">
        <w:rPr>
          <w:rFonts w:ascii="Century Gothic" w:hAnsi="Century Gothic" w:cs="Tahoma"/>
        </w:rPr>
        <w:t>ozyskan</w:t>
      </w:r>
      <w:r>
        <w:rPr>
          <w:rFonts w:ascii="Century Gothic" w:hAnsi="Century Gothic" w:cs="Tahoma"/>
        </w:rPr>
        <w:t>ie środków z tych źródeł pozwoli</w:t>
      </w:r>
      <w:r w:rsidRPr="00000B2E">
        <w:rPr>
          <w:rFonts w:ascii="Century Gothic" w:hAnsi="Century Gothic" w:cs="Tahoma"/>
        </w:rPr>
        <w:t xml:space="preserve"> na spłatę długów, w tym zasadniczo z tytułu wyemitow</w:t>
      </w:r>
      <w:r>
        <w:rPr>
          <w:rFonts w:ascii="Century Gothic" w:hAnsi="Century Gothic" w:cs="Tahoma"/>
        </w:rPr>
        <w:t>anych obligacji, i kontynuowanie</w:t>
      </w:r>
      <w:r w:rsidRPr="00000B2E">
        <w:rPr>
          <w:rFonts w:ascii="Century Gothic" w:hAnsi="Century Gothic" w:cs="Tahoma"/>
        </w:rPr>
        <w:t xml:space="preserve"> działalności, choć przy znacznym ograniczeniu jej zakresu.</w:t>
      </w:r>
    </w:p>
    <w:p w:rsidR="006106E4" w:rsidRDefault="006106E4" w:rsidP="006106E4">
      <w:pPr>
        <w:ind w:left="425"/>
        <w:jc w:val="both"/>
        <w:rPr>
          <w:rFonts w:ascii="Century Gothic" w:hAnsi="Century Gothic" w:cs="Tahoma"/>
        </w:rPr>
      </w:pPr>
    </w:p>
    <w:p w:rsidR="006106E4" w:rsidRPr="0019063A" w:rsidRDefault="006106E4" w:rsidP="00392A7A">
      <w:pPr>
        <w:tabs>
          <w:tab w:val="left" w:pos="426"/>
        </w:tabs>
        <w:ind w:left="426"/>
        <w:jc w:val="both"/>
        <w:rPr>
          <w:rFonts w:ascii="Century Gothic" w:hAnsi="Century Gothic" w:cs="Tahoma"/>
        </w:rPr>
      </w:pPr>
    </w:p>
    <w:p w:rsidR="00392A7A" w:rsidRPr="0019063A" w:rsidRDefault="00392A7A" w:rsidP="00392A7A">
      <w:pPr>
        <w:tabs>
          <w:tab w:val="left" w:pos="426"/>
        </w:tabs>
        <w:ind w:left="426"/>
        <w:jc w:val="both"/>
        <w:rPr>
          <w:rFonts w:ascii="Century Gothic" w:hAnsi="Century Gothic" w:cs="Tahoma"/>
        </w:rPr>
      </w:pPr>
      <w:r w:rsidRPr="0019063A">
        <w:rPr>
          <w:rFonts w:ascii="Century Gothic" w:hAnsi="Century Gothic" w:cs="Tahoma"/>
        </w:rPr>
        <w:t>Stosowane przez Grupę zasady rachunkow</w:t>
      </w:r>
      <w:r w:rsidR="00E01DC6">
        <w:rPr>
          <w:rFonts w:ascii="Century Gothic" w:hAnsi="Century Gothic" w:cs="Tahoma"/>
        </w:rPr>
        <w:t>ości zostały opisane w punkcie</w:t>
      </w:r>
      <w:r w:rsidR="00CB548F">
        <w:rPr>
          <w:rFonts w:ascii="Century Gothic" w:hAnsi="Century Gothic" w:cs="Tahoma"/>
        </w:rPr>
        <w:t xml:space="preserve"> III.</w:t>
      </w:r>
      <w:r w:rsidR="00E01DC6" w:rsidRPr="00CB548F">
        <w:rPr>
          <w:rFonts w:ascii="Century Gothic" w:hAnsi="Century Gothic" w:cs="Tahoma"/>
        </w:rPr>
        <w:t>3 raportu</w:t>
      </w:r>
      <w:r w:rsidRPr="00CB548F">
        <w:rPr>
          <w:rFonts w:ascii="Century Gothic" w:hAnsi="Century Gothic" w:cs="Tahoma"/>
        </w:rPr>
        <w:t>.</w:t>
      </w:r>
      <w:r w:rsidRPr="0019063A">
        <w:rPr>
          <w:rFonts w:ascii="Century Gothic" w:hAnsi="Century Gothic" w:cs="Tahoma"/>
        </w:rPr>
        <w:t xml:space="preserve"> Zasady rachunkowości stosowano przy zachowaniu zasady ciągłości we wszystkich prezentowanych okresach. </w:t>
      </w:r>
    </w:p>
    <w:p w:rsidR="00392A7A" w:rsidRPr="0019063A" w:rsidRDefault="00392A7A" w:rsidP="00392A7A">
      <w:pPr>
        <w:autoSpaceDE w:val="0"/>
        <w:autoSpaceDN w:val="0"/>
        <w:adjustRightInd w:val="0"/>
        <w:ind w:left="426"/>
        <w:jc w:val="both"/>
        <w:rPr>
          <w:rFonts w:ascii="Century Gothic" w:hAnsi="Century Gothic" w:cs="Tahoma"/>
        </w:rPr>
      </w:pPr>
    </w:p>
    <w:p w:rsidR="00392A7A" w:rsidRPr="0019063A" w:rsidRDefault="00392A7A" w:rsidP="00392A7A">
      <w:pPr>
        <w:autoSpaceDE w:val="0"/>
        <w:autoSpaceDN w:val="0"/>
        <w:adjustRightInd w:val="0"/>
        <w:ind w:left="426"/>
        <w:jc w:val="both"/>
        <w:rPr>
          <w:rFonts w:ascii="Century Gothic" w:hAnsi="Century Gothic" w:cs="Tahoma"/>
        </w:rPr>
      </w:pPr>
      <w:r w:rsidRPr="0019063A">
        <w:rPr>
          <w:rFonts w:ascii="Century Gothic" w:hAnsi="Century Gothic" w:cs="Tahoma"/>
        </w:rPr>
        <w:t>Sprawozdanie finansowe jest sporządzone w złotych polskich, a wszystkie wartości, o ile nie jest to wskazane inaczej, podane są w tysiącach złotych. Ewentualne różnic</w:t>
      </w:r>
      <w:r>
        <w:rPr>
          <w:rFonts w:ascii="Century Gothic" w:hAnsi="Century Gothic" w:cs="Tahoma"/>
        </w:rPr>
        <w:t>e pomiędzy kwotami ogółem, a sumą</w:t>
      </w:r>
      <w:r w:rsidRPr="0019063A">
        <w:rPr>
          <w:rFonts w:ascii="Century Gothic" w:hAnsi="Century Gothic" w:cs="Tahoma"/>
        </w:rPr>
        <w:t xml:space="preserve"> ich składników wynikają z zaokrągleń.</w:t>
      </w:r>
    </w:p>
    <w:p w:rsidR="00392A7A" w:rsidRPr="0019063A" w:rsidRDefault="00392A7A" w:rsidP="00392A7A">
      <w:pPr>
        <w:autoSpaceDE w:val="0"/>
        <w:autoSpaceDN w:val="0"/>
        <w:adjustRightInd w:val="0"/>
        <w:ind w:left="426"/>
        <w:jc w:val="both"/>
        <w:rPr>
          <w:rFonts w:ascii="Century Gothic" w:hAnsi="Century Gothic" w:cs="Tahoma"/>
        </w:rPr>
      </w:pPr>
    </w:p>
    <w:p w:rsidR="00392A7A" w:rsidRDefault="00392A7A" w:rsidP="00392A7A">
      <w:pPr>
        <w:autoSpaceDE w:val="0"/>
        <w:autoSpaceDN w:val="0"/>
        <w:adjustRightInd w:val="0"/>
        <w:ind w:left="426"/>
        <w:jc w:val="both"/>
        <w:rPr>
          <w:rFonts w:ascii="Century Gothic" w:hAnsi="Century Gothic" w:cs="Tahoma"/>
        </w:rPr>
      </w:pPr>
      <w:r w:rsidRPr="0019063A">
        <w:rPr>
          <w:rFonts w:ascii="Century Gothic" w:hAnsi="Century Gothic" w:cs="Tahoma"/>
        </w:rPr>
        <w:t xml:space="preserve">Grupa dokonuje podziału aktywów i zobowiązań według kryterium płynności, gdyż zdaniem zarządu Spółki dominującej taka prezentacja dostarcza informacji, które są wiarygodne </w:t>
      </w:r>
      <w:r w:rsidR="005E03C8">
        <w:rPr>
          <w:rFonts w:ascii="Century Gothic" w:hAnsi="Century Gothic" w:cs="Tahoma"/>
        </w:rPr>
        <w:br/>
      </w:r>
      <w:r w:rsidRPr="0019063A">
        <w:rPr>
          <w:rFonts w:ascii="Century Gothic" w:hAnsi="Century Gothic" w:cs="Tahoma"/>
        </w:rPr>
        <w:t>i bardziej przydatne dla oceny sytuacji majątkowej i finansowej Grupy.</w:t>
      </w:r>
    </w:p>
    <w:p w:rsidR="00392A7A" w:rsidRPr="0019063A" w:rsidRDefault="00392A7A" w:rsidP="00392A7A">
      <w:pPr>
        <w:autoSpaceDE w:val="0"/>
        <w:autoSpaceDN w:val="0"/>
        <w:adjustRightInd w:val="0"/>
        <w:ind w:left="426"/>
        <w:jc w:val="both"/>
        <w:rPr>
          <w:rFonts w:ascii="Century Gothic" w:hAnsi="Century Gothic" w:cs="Tahoma"/>
        </w:rPr>
      </w:pPr>
    </w:p>
    <w:p w:rsidR="00392A7A" w:rsidRPr="00D17484" w:rsidRDefault="00392A7A" w:rsidP="008B2472">
      <w:pPr>
        <w:numPr>
          <w:ilvl w:val="0"/>
          <w:numId w:val="11"/>
        </w:numPr>
        <w:tabs>
          <w:tab w:val="left" w:pos="426"/>
        </w:tabs>
        <w:jc w:val="both"/>
        <w:rPr>
          <w:rFonts w:ascii="Century Gothic" w:hAnsi="Century Gothic" w:cs="Tahoma"/>
          <w:color w:val="0000FF"/>
        </w:rPr>
      </w:pPr>
      <w:r w:rsidRPr="00D17484">
        <w:rPr>
          <w:rFonts w:ascii="Century Gothic" w:hAnsi="Century Gothic" w:cs="Tahoma"/>
          <w:b/>
          <w:color w:val="0000FF"/>
        </w:rPr>
        <w:t>Oświadczenie o zgodności</w:t>
      </w:r>
    </w:p>
    <w:p w:rsidR="00392A7A" w:rsidRPr="0019063A" w:rsidRDefault="00392A7A" w:rsidP="00392A7A">
      <w:pPr>
        <w:jc w:val="both"/>
        <w:rPr>
          <w:rFonts w:ascii="Century Gothic" w:hAnsi="Century Gothic" w:cs="Tahoma"/>
        </w:rPr>
      </w:pPr>
    </w:p>
    <w:p w:rsidR="00392A7A" w:rsidRDefault="00392A7A" w:rsidP="00392A7A">
      <w:pPr>
        <w:autoSpaceDE w:val="0"/>
        <w:autoSpaceDN w:val="0"/>
        <w:adjustRightInd w:val="0"/>
        <w:ind w:left="426"/>
        <w:jc w:val="both"/>
        <w:rPr>
          <w:rFonts w:ascii="Century Gothic" w:hAnsi="Century Gothic" w:cs="Tahoma"/>
        </w:rPr>
      </w:pPr>
      <w:r w:rsidRPr="0019063A">
        <w:rPr>
          <w:rFonts w:ascii="Century Gothic" w:hAnsi="Century Gothic" w:cs="Tahoma"/>
        </w:rPr>
        <w:t xml:space="preserve">Niniejsze skonsolidowane sprawozdanie finansowe zostało sporządzone zgodnie </w:t>
      </w:r>
      <w:r w:rsidRPr="0019063A">
        <w:rPr>
          <w:rFonts w:ascii="Century Gothic" w:hAnsi="Century Gothic" w:cs="Tahoma"/>
        </w:rPr>
        <w:br/>
        <w:t>z Międzynarodowymi Standardami Sprawozdawczości Fin</w:t>
      </w:r>
      <w:r w:rsidR="00E01DC6">
        <w:rPr>
          <w:rFonts w:ascii="Century Gothic" w:hAnsi="Century Gothic" w:cs="Tahoma"/>
        </w:rPr>
        <w:t>ansowej</w:t>
      </w:r>
      <w:r>
        <w:rPr>
          <w:rFonts w:ascii="Century Gothic" w:hAnsi="Century Gothic" w:cs="Tahoma"/>
        </w:rPr>
        <w:t xml:space="preserve"> w kształcie zatwierdzonym przez Unię Europejską</w:t>
      </w:r>
      <w:r w:rsidRPr="0019063A">
        <w:rPr>
          <w:rFonts w:ascii="Century Gothic" w:hAnsi="Century Gothic" w:cs="Tahoma"/>
        </w:rPr>
        <w:t>.</w:t>
      </w:r>
    </w:p>
    <w:p w:rsidR="00392A7A" w:rsidRDefault="00392A7A" w:rsidP="00392A7A">
      <w:pPr>
        <w:ind w:left="426"/>
        <w:jc w:val="both"/>
        <w:rPr>
          <w:rFonts w:ascii="Century Gothic" w:hAnsi="Century Gothic" w:cs="Tahoma"/>
        </w:rPr>
      </w:pPr>
    </w:p>
    <w:p w:rsidR="00392A7A" w:rsidRPr="00D17484" w:rsidRDefault="00392A7A" w:rsidP="008B2472">
      <w:pPr>
        <w:numPr>
          <w:ilvl w:val="0"/>
          <w:numId w:val="11"/>
        </w:numPr>
        <w:autoSpaceDE w:val="0"/>
        <w:autoSpaceDN w:val="0"/>
        <w:adjustRightInd w:val="0"/>
        <w:jc w:val="both"/>
        <w:rPr>
          <w:rFonts w:ascii="Century Gothic" w:hAnsi="Century Gothic" w:cs="Tahoma"/>
          <w:b/>
          <w:bCs/>
          <w:color w:val="0000FF"/>
        </w:rPr>
      </w:pPr>
      <w:r w:rsidRPr="00D17484">
        <w:rPr>
          <w:rFonts w:ascii="Century Gothic" w:hAnsi="Century Gothic" w:cs="Tahoma"/>
          <w:b/>
          <w:bCs/>
          <w:color w:val="0000FF"/>
        </w:rPr>
        <w:t>Istotne zasady rachunkowości</w:t>
      </w:r>
    </w:p>
    <w:p w:rsidR="00392A7A" w:rsidRPr="0019063A" w:rsidRDefault="00392A7A" w:rsidP="00392A7A">
      <w:pPr>
        <w:tabs>
          <w:tab w:val="left" w:pos="426"/>
        </w:tabs>
        <w:jc w:val="both"/>
        <w:rPr>
          <w:rFonts w:ascii="Century Gothic" w:hAnsi="Century Gothic" w:cs="Tahoma"/>
        </w:rPr>
      </w:pPr>
    </w:p>
    <w:p w:rsidR="00392A7A" w:rsidRPr="0019063A" w:rsidRDefault="00392A7A" w:rsidP="00BF28B4">
      <w:pPr>
        <w:tabs>
          <w:tab w:val="left" w:pos="426"/>
        </w:tabs>
        <w:ind w:left="426"/>
        <w:jc w:val="both"/>
        <w:rPr>
          <w:rFonts w:ascii="Century Gothic" w:hAnsi="Century Gothic" w:cs="Tahoma"/>
        </w:rPr>
      </w:pPr>
      <w:r w:rsidRPr="0019063A">
        <w:rPr>
          <w:rFonts w:ascii="Century Gothic" w:hAnsi="Century Gothic" w:cs="Tahoma"/>
        </w:rPr>
        <w:t xml:space="preserve">Jednostka dominująca sporządza sprawozdania finansowe zgodnie z MSSF. Jednostki zależne prowadzą swoje księgi rachunkowe zgodnie z polityką (zasadami) rachunkowości określonymi </w:t>
      </w:r>
      <w:r w:rsidRPr="0019063A">
        <w:rPr>
          <w:rFonts w:ascii="Century Gothic" w:hAnsi="Century Gothic" w:cs="Tahoma"/>
        </w:rPr>
        <w:lastRenderedPageBreak/>
        <w:t xml:space="preserve">przez Ustawę z dnia </w:t>
      </w:r>
      <w:smartTag w:uri="urn:schemas-microsoft-com:office:smarttags" w:element="date">
        <w:smartTagPr>
          <w:attr w:name="Year" w:val="1994"/>
          <w:attr w:name="Day" w:val="29"/>
          <w:attr w:name="Month" w:val="9"/>
          <w:attr w:name="ls" w:val="trans"/>
        </w:smartTagPr>
        <w:r w:rsidRPr="0019063A">
          <w:rPr>
            <w:rFonts w:ascii="Century Gothic" w:hAnsi="Century Gothic" w:cs="Tahoma"/>
          </w:rPr>
          <w:t>29 września 1994 roku</w:t>
        </w:r>
      </w:smartTag>
      <w:r w:rsidRPr="0019063A">
        <w:rPr>
          <w:rFonts w:ascii="Century Gothic" w:hAnsi="Century Gothic" w:cs="Tahoma"/>
        </w:rPr>
        <w:t xml:space="preserve"> o rachunkowości</w:t>
      </w:r>
      <w:r>
        <w:rPr>
          <w:rFonts w:ascii="Century Gothic" w:hAnsi="Century Gothic" w:cs="Tahoma"/>
        </w:rPr>
        <w:t xml:space="preserve"> </w:t>
      </w:r>
      <w:r w:rsidRPr="0019063A">
        <w:rPr>
          <w:rFonts w:ascii="Century Gothic" w:hAnsi="Century Gothic" w:cs="Tahoma"/>
        </w:rPr>
        <w:t>i wydanymi na jej podstawie przepisami.</w:t>
      </w:r>
    </w:p>
    <w:p w:rsidR="00392A7A" w:rsidRPr="0019063A" w:rsidRDefault="00392A7A" w:rsidP="00BF28B4">
      <w:pPr>
        <w:tabs>
          <w:tab w:val="left" w:pos="426"/>
        </w:tabs>
        <w:ind w:left="426"/>
        <w:jc w:val="both"/>
        <w:rPr>
          <w:rFonts w:ascii="Century Gothic" w:hAnsi="Century Gothic" w:cs="Tahoma"/>
        </w:rPr>
      </w:pPr>
      <w:r w:rsidRPr="0019063A">
        <w:rPr>
          <w:rFonts w:ascii="Century Gothic" w:hAnsi="Century Gothic" w:cs="Tahoma"/>
        </w:rPr>
        <w:t xml:space="preserve">Skonsolidowane sprawozdanie finansowe zawiera korekty niezawarte w księgach rachunkowych jednostek zależnych wprowadzone w celu doprowadzenia sprawozdań finansowych tych jednostek do zgodności z MSSF. </w:t>
      </w:r>
    </w:p>
    <w:p w:rsidR="00392A7A" w:rsidRPr="0019063A" w:rsidRDefault="00392A7A" w:rsidP="00BF28B4">
      <w:pPr>
        <w:tabs>
          <w:tab w:val="left" w:pos="426"/>
        </w:tabs>
        <w:ind w:left="426"/>
        <w:jc w:val="both"/>
        <w:rPr>
          <w:rFonts w:ascii="Century Gothic" w:hAnsi="Century Gothic" w:cs="Tahoma"/>
        </w:rPr>
      </w:pPr>
    </w:p>
    <w:p w:rsidR="00392A7A" w:rsidRPr="0019063A" w:rsidRDefault="00392A7A" w:rsidP="00BF28B4">
      <w:pPr>
        <w:tabs>
          <w:tab w:val="left" w:pos="426"/>
        </w:tabs>
        <w:ind w:left="426"/>
        <w:jc w:val="both"/>
        <w:rPr>
          <w:rFonts w:ascii="Century Gothic" w:hAnsi="Century Gothic" w:cs="Tahoma"/>
        </w:rPr>
      </w:pPr>
      <w:r w:rsidRPr="0019063A">
        <w:rPr>
          <w:rFonts w:ascii="Century Gothic" w:hAnsi="Century Gothic" w:cs="Tahoma"/>
        </w:rPr>
        <w:t>W skonsolidowanym sprawozdaniu finansowym wyniki i pozycje finansowe poszczególnych jednostek prezentowane są w tysiącach złotych polskich (PLN), będących walutą funkcjonalną Grupy Kapitałowej oraz walutą prezentacji skonsolidowanego sprawozdania finansowego.</w:t>
      </w:r>
    </w:p>
    <w:p w:rsidR="00392A7A" w:rsidRPr="0019063A" w:rsidRDefault="00392A7A" w:rsidP="00BF28B4">
      <w:pPr>
        <w:ind w:left="426"/>
        <w:jc w:val="both"/>
        <w:rPr>
          <w:rFonts w:ascii="Century Gothic" w:hAnsi="Century Gothic" w:cs="Tahoma"/>
        </w:rPr>
      </w:pPr>
    </w:p>
    <w:p w:rsidR="00392A7A" w:rsidRDefault="00392A7A" w:rsidP="00BF28B4">
      <w:pPr>
        <w:ind w:left="426"/>
        <w:jc w:val="both"/>
        <w:rPr>
          <w:rFonts w:ascii="Century Gothic" w:hAnsi="Century Gothic" w:cs="Tahoma"/>
        </w:rPr>
      </w:pPr>
      <w:r w:rsidRPr="0019063A">
        <w:rPr>
          <w:rFonts w:ascii="Century Gothic" w:hAnsi="Century Gothic" w:cs="Tahoma"/>
        </w:rPr>
        <w:t xml:space="preserve">Czas trwania Spółek wchodzących w skład Grupy Kapitałowej jest nieoznaczony. </w:t>
      </w:r>
    </w:p>
    <w:p w:rsidR="00392A7A" w:rsidRDefault="00392A7A" w:rsidP="00392A7A">
      <w:pPr>
        <w:ind w:left="426"/>
        <w:jc w:val="both"/>
        <w:rPr>
          <w:rFonts w:ascii="Century Gothic" w:hAnsi="Century Gothic" w:cs="Tahoma"/>
        </w:rPr>
      </w:pPr>
    </w:p>
    <w:p w:rsidR="00392A7A" w:rsidRPr="00D17484" w:rsidRDefault="00392A7A" w:rsidP="008B2472">
      <w:pPr>
        <w:numPr>
          <w:ilvl w:val="0"/>
          <w:numId w:val="11"/>
        </w:numPr>
        <w:autoSpaceDE w:val="0"/>
        <w:autoSpaceDN w:val="0"/>
        <w:adjustRightInd w:val="0"/>
        <w:jc w:val="both"/>
        <w:rPr>
          <w:rFonts w:ascii="Century Gothic" w:hAnsi="Century Gothic" w:cs="Tahoma"/>
          <w:b/>
          <w:bCs/>
          <w:color w:val="0000FF"/>
        </w:rPr>
      </w:pPr>
      <w:r w:rsidRPr="00D17484">
        <w:rPr>
          <w:rFonts w:ascii="Century Gothic" w:hAnsi="Century Gothic"/>
          <w:b/>
          <w:color w:val="0000FF"/>
        </w:rPr>
        <w:t>Podstawa  konsolidacji</w:t>
      </w:r>
    </w:p>
    <w:p w:rsidR="00392A7A" w:rsidRPr="0019063A" w:rsidRDefault="00392A7A" w:rsidP="00392A7A">
      <w:pPr>
        <w:ind w:left="426"/>
        <w:jc w:val="both"/>
        <w:rPr>
          <w:rFonts w:ascii="Century Gothic" w:hAnsi="Century Gothic" w:cs="Tahoma"/>
        </w:rPr>
      </w:pPr>
    </w:p>
    <w:p w:rsidR="00392A7A" w:rsidRPr="009479F2" w:rsidRDefault="00392A7A" w:rsidP="00BF28B4">
      <w:pPr>
        <w:ind w:left="426"/>
        <w:jc w:val="both"/>
        <w:rPr>
          <w:rFonts w:ascii="Century Gothic" w:hAnsi="Century Gothic" w:cs="Tahoma"/>
        </w:rPr>
      </w:pPr>
      <w:r w:rsidRPr="009479F2">
        <w:rPr>
          <w:rFonts w:ascii="Century Gothic" w:hAnsi="Century Gothic" w:cs="Tahoma"/>
        </w:rPr>
        <w:t>Skonsolidowane sprawozdanie finansowe zawiera sprawozdanie finansowe jednostki dominującej oraz sprawozdania jednostek kontrolowanych przez jednostkę dominującą (czyli jej jednostek zależnych). Uznaje się, że kontrola występuje wówczas, gdy jednostka dominująca ma możliwość wpływania na politykę finansową i operacyjną podległej jednostki w celu osiągnięcia korzyści z jej działalności. W przypadkach, gdy jest to konieczne, w sprawozdaniach finansowych jednostek zależnych dokonuje się korekt mających na celu ujednolicenie zasad rachunkowości stosowanych przez jednostkę z zasadami stosowanymi przez podmiot dominujący.</w:t>
      </w:r>
    </w:p>
    <w:p w:rsidR="00392A7A" w:rsidRPr="009479F2" w:rsidRDefault="00392A7A" w:rsidP="00BF28B4">
      <w:pPr>
        <w:ind w:left="426"/>
        <w:jc w:val="both"/>
        <w:rPr>
          <w:rFonts w:ascii="Century Gothic" w:hAnsi="Century Gothic" w:cs="Tahoma"/>
        </w:rPr>
      </w:pPr>
      <w:r w:rsidRPr="009479F2">
        <w:rPr>
          <w:rFonts w:ascii="Century Gothic" w:hAnsi="Century Gothic" w:cs="Tahoma"/>
        </w:rPr>
        <w:t xml:space="preserve">Wszelkie transakcje, salda, przychody i koszty pomiędzy podmiotami powiązanymi objętymi konsolidacją podlegają </w:t>
      </w:r>
      <w:proofErr w:type="spellStart"/>
      <w:r w:rsidRPr="009479F2">
        <w:rPr>
          <w:rFonts w:ascii="Century Gothic" w:hAnsi="Century Gothic" w:cs="Tahoma"/>
        </w:rPr>
        <w:t>wyłączeniom</w:t>
      </w:r>
      <w:proofErr w:type="spellEnd"/>
      <w:r w:rsidRPr="009479F2">
        <w:rPr>
          <w:rFonts w:ascii="Century Gothic" w:hAnsi="Century Gothic" w:cs="Tahoma"/>
        </w:rPr>
        <w:t xml:space="preserve"> konsolidacyjnym.</w:t>
      </w:r>
    </w:p>
    <w:p w:rsidR="00392A7A" w:rsidRPr="009479F2" w:rsidRDefault="00392A7A" w:rsidP="00BF28B4">
      <w:pPr>
        <w:autoSpaceDE w:val="0"/>
        <w:autoSpaceDN w:val="0"/>
        <w:adjustRightInd w:val="0"/>
        <w:ind w:left="426"/>
        <w:jc w:val="both"/>
        <w:rPr>
          <w:rFonts w:ascii="Century Gothic" w:hAnsi="Century Gothic" w:cs="Tahoma"/>
        </w:rPr>
      </w:pPr>
      <w:r w:rsidRPr="009479F2">
        <w:rPr>
          <w:rFonts w:ascii="Century Gothic" w:hAnsi="Century Gothic" w:cs="Tahoma"/>
        </w:rPr>
        <w:t>Sprawozdania finansowe jednostek zależnych sporządzane są za ten sam okres sprawozdawczy, co sprawozdanie jednostki dominującej.</w:t>
      </w:r>
    </w:p>
    <w:p w:rsidR="00392A7A" w:rsidRPr="009479F2" w:rsidRDefault="00392A7A" w:rsidP="00BF28B4">
      <w:pPr>
        <w:autoSpaceDE w:val="0"/>
        <w:autoSpaceDN w:val="0"/>
        <w:adjustRightInd w:val="0"/>
        <w:ind w:left="426"/>
        <w:jc w:val="both"/>
        <w:rPr>
          <w:rFonts w:ascii="Century Gothic" w:hAnsi="Century Gothic" w:cs="Tahoma"/>
        </w:rPr>
      </w:pPr>
      <w:r w:rsidRPr="009479F2">
        <w:rPr>
          <w:rFonts w:ascii="Century Gothic" w:hAnsi="Century Gothic" w:cs="Tahoma"/>
        </w:rPr>
        <w:t xml:space="preserve">Jednostki zależne </w:t>
      </w:r>
      <w:r w:rsidR="00E01DC6">
        <w:rPr>
          <w:rFonts w:ascii="Century Gothic" w:hAnsi="Century Gothic" w:cs="Tahoma"/>
        </w:rPr>
        <w:t>od jednostki dominującej</w:t>
      </w:r>
      <w:r w:rsidRPr="009479F2">
        <w:rPr>
          <w:rFonts w:ascii="Century Gothic" w:hAnsi="Century Gothic" w:cs="Tahoma"/>
        </w:rPr>
        <w:t xml:space="preserve"> konsolidowane są metodą pełną.</w:t>
      </w:r>
      <w:r w:rsidRPr="009479F2" w:rsidDel="008C3B64">
        <w:rPr>
          <w:rFonts w:ascii="Century Gothic" w:hAnsi="Century Gothic" w:cs="Tahoma"/>
        </w:rPr>
        <w:t xml:space="preserve"> </w:t>
      </w:r>
    </w:p>
    <w:p w:rsidR="00392A7A" w:rsidRDefault="00392A7A" w:rsidP="00BF28B4">
      <w:pPr>
        <w:autoSpaceDE w:val="0"/>
        <w:autoSpaceDN w:val="0"/>
        <w:adjustRightInd w:val="0"/>
        <w:ind w:left="426"/>
        <w:jc w:val="both"/>
        <w:rPr>
          <w:rFonts w:ascii="Century Gothic" w:hAnsi="Century Gothic" w:cs="Tahoma"/>
        </w:rPr>
      </w:pPr>
      <w:r w:rsidRPr="009479F2">
        <w:rPr>
          <w:rFonts w:ascii="Century Gothic" w:hAnsi="Century Gothic" w:cs="Tahoma"/>
        </w:rPr>
        <w:t>Na dzień nabycia jednostki zależnej (objęcia kontroli) aktywa i pasywa jednostki nabywanej są wyceniane według ich wartości godziwej. Nadwyżka ceny nabycia ponad wartością godziwą możliwych do zidentyfikowania przyjętych aktywów netto jednostki jest ujmowana w aktywach bilansu jako wartość firmy. W przypadku, gdy cena nabycia jest niższa od wartości godziwej możliwych do zidentyfikowania przyjętych aktywów netto jednostki, różnica ujmowana jest jako zysk w rachunku zysków i strat okresu, w którym nastąpiło nabycie. Udział</w:t>
      </w:r>
      <w:r>
        <w:rPr>
          <w:rFonts w:ascii="Century Gothic" w:hAnsi="Century Gothic" w:cs="Tahoma"/>
        </w:rPr>
        <w:t>y niekontrolujące są</w:t>
      </w:r>
      <w:r w:rsidRPr="009479F2">
        <w:rPr>
          <w:rFonts w:ascii="Century Gothic" w:hAnsi="Century Gothic" w:cs="Tahoma"/>
        </w:rPr>
        <w:t xml:space="preserve"> wykazywan</w:t>
      </w:r>
      <w:r>
        <w:rPr>
          <w:rFonts w:ascii="Century Gothic" w:hAnsi="Century Gothic" w:cs="Tahoma"/>
        </w:rPr>
        <w:t>e</w:t>
      </w:r>
      <w:r w:rsidRPr="009479F2">
        <w:rPr>
          <w:rFonts w:ascii="Century Gothic" w:hAnsi="Century Gothic" w:cs="Tahoma"/>
        </w:rPr>
        <w:t xml:space="preserve"> według przypadającej na </w:t>
      </w:r>
      <w:r w:rsidR="00CB548F">
        <w:rPr>
          <w:rFonts w:ascii="Century Gothic" w:hAnsi="Century Gothic" w:cs="Tahoma"/>
        </w:rPr>
        <w:t>nie</w:t>
      </w:r>
      <w:r w:rsidRPr="009479F2">
        <w:rPr>
          <w:rFonts w:ascii="Century Gothic" w:hAnsi="Century Gothic" w:cs="Tahoma"/>
        </w:rPr>
        <w:t xml:space="preserve"> wartości godziwej aktywów netto. W kolejnych okresach, straty przypadające </w:t>
      </w:r>
      <w:r>
        <w:rPr>
          <w:rFonts w:ascii="Century Gothic" w:hAnsi="Century Gothic" w:cs="Tahoma"/>
        </w:rPr>
        <w:t>na udziały niekontrolujące przypisuje się do właścicieli jednostki dominującej oraz udziałów niekontrolujących nawet wtedy, gdy w rezultacie udziały niekontrolujące przybierają wartość ujemną</w:t>
      </w:r>
      <w:r w:rsidRPr="009479F2">
        <w:rPr>
          <w:rFonts w:ascii="Century Gothic" w:hAnsi="Century Gothic" w:cs="Tahoma"/>
        </w:rPr>
        <w:t>. Sprzedane w roku obrotowym spółki zależne podlegają konsolidacji od początku roku obrotowego do dnia zbycia. Wyniki finansowe jednostek nabytych w ciągu roku są ujmowane w sprawozdaniu finansowym od momentu ich nabycia.</w:t>
      </w:r>
    </w:p>
    <w:p w:rsidR="00392A7A" w:rsidRDefault="00392A7A" w:rsidP="00392A7A">
      <w:pPr>
        <w:tabs>
          <w:tab w:val="left" w:pos="426"/>
        </w:tabs>
        <w:jc w:val="both"/>
        <w:rPr>
          <w:rFonts w:ascii="Century Gothic" w:hAnsi="Century Gothic" w:cs="Tahoma"/>
          <w:b/>
        </w:rPr>
      </w:pPr>
    </w:p>
    <w:p w:rsidR="009C5432" w:rsidRDefault="009C5432" w:rsidP="00392A7A">
      <w:pPr>
        <w:tabs>
          <w:tab w:val="left" w:pos="426"/>
        </w:tabs>
        <w:jc w:val="both"/>
        <w:rPr>
          <w:rFonts w:ascii="Century Gothic" w:hAnsi="Century Gothic" w:cs="Tahoma"/>
          <w:b/>
        </w:rPr>
      </w:pPr>
    </w:p>
    <w:p w:rsidR="00392A7A" w:rsidRPr="00D17484" w:rsidRDefault="00392A7A" w:rsidP="008B2472">
      <w:pPr>
        <w:numPr>
          <w:ilvl w:val="0"/>
          <w:numId w:val="11"/>
        </w:numPr>
        <w:tabs>
          <w:tab w:val="left" w:pos="426"/>
        </w:tabs>
        <w:jc w:val="both"/>
        <w:rPr>
          <w:rFonts w:ascii="Century Gothic" w:hAnsi="Century Gothic" w:cs="Tahoma"/>
          <w:color w:val="0000FF"/>
        </w:rPr>
      </w:pPr>
      <w:r>
        <w:rPr>
          <w:rFonts w:ascii="Century Gothic" w:hAnsi="Century Gothic" w:cs="Tahoma"/>
          <w:b/>
          <w:bCs/>
          <w:color w:val="0000FF"/>
        </w:rPr>
        <w:t>Standardy i interpretacje zastosowane po raz pierwszy w roku 201</w:t>
      </w:r>
      <w:r w:rsidR="003B6EFF">
        <w:rPr>
          <w:rFonts w:ascii="Century Gothic" w:hAnsi="Century Gothic" w:cs="Tahoma"/>
          <w:b/>
          <w:bCs/>
          <w:color w:val="0000FF"/>
        </w:rPr>
        <w:t>4</w:t>
      </w:r>
    </w:p>
    <w:p w:rsidR="00392A7A" w:rsidRPr="0019063A" w:rsidRDefault="00392A7A" w:rsidP="00392A7A">
      <w:pPr>
        <w:autoSpaceDE w:val="0"/>
        <w:autoSpaceDN w:val="0"/>
        <w:adjustRightInd w:val="0"/>
        <w:ind w:left="426"/>
        <w:jc w:val="both"/>
        <w:rPr>
          <w:rFonts w:ascii="Century Gothic" w:hAnsi="Century Gothic" w:cs="Tahoma"/>
        </w:rPr>
      </w:pPr>
    </w:p>
    <w:p w:rsidR="00392A7A" w:rsidRPr="00A874D1" w:rsidRDefault="00392A7A" w:rsidP="00BF28B4">
      <w:pPr>
        <w:autoSpaceDE w:val="0"/>
        <w:autoSpaceDN w:val="0"/>
        <w:adjustRightInd w:val="0"/>
        <w:ind w:left="426"/>
        <w:jc w:val="both"/>
        <w:rPr>
          <w:rFonts w:ascii="Century Gothic" w:hAnsi="Century Gothic"/>
        </w:rPr>
      </w:pPr>
      <w:r w:rsidRPr="00A874D1">
        <w:rPr>
          <w:rFonts w:ascii="Century Gothic" w:hAnsi="Century Gothic"/>
        </w:rPr>
        <w:t xml:space="preserve">Zasady (polityka) rachunkowości zastosowane do sporządzenia </w:t>
      </w:r>
      <w:r w:rsidR="00E01DC6">
        <w:rPr>
          <w:rFonts w:ascii="Century Gothic" w:hAnsi="Century Gothic"/>
        </w:rPr>
        <w:t>ninie</w:t>
      </w:r>
      <w:r w:rsidR="005E03C8">
        <w:rPr>
          <w:rFonts w:ascii="Century Gothic" w:hAnsi="Century Gothic"/>
        </w:rPr>
        <w:t>j</w:t>
      </w:r>
      <w:r w:rsidR="00E01DC6">
        <w:rPr>
          <w:rFonts w:ascii="Century Gothic" w:hAnsi="Century Gothic"/>
        </w:rPr>
        <w:t>szego</w:t>
      </w:r>
      <w:r w:rsidRPr="00A874D1">
        <w:rPr>
          <w:rFonts w:ascii="Century Gothic" w:hAnsi="Century Gothic"/>
        </w:rPr>
        <w:t xml:space="preserve"> sprawozdania finansowego są spójne z tymi, które zastosowano przy sporządzaniu</w:t>
      </w:r>
      <w:r w:rsidR="00E01DC6">
        <w:rPr>
          <w:rFonts w:ascii="Century Gothic" w:hAnsi="Century Gothic"/>
        </w:rPr>
        <w:t xml:space="preserve"> danych porównawczych. Z</w:t>
      </w:r>
      <w:r w:rsidRPr="00A874D1">
        <w:rPr>
          <w:rFonts w:ascii="Century Gothic" w:hAnsi="Century Gothic"/>
        </w:rPr>
        <w:t xml:space="preserve">miany standardów i interpretacji obowiązujących dla okresów rocznych rozpoczynających się </w:t>
      </w:r>
      <w:r w:rsidR="005E03C8">
        <w:rPr>
          <w:rFonts w:ascii="Century Gothic" w:hAnsi="Century Gothic"/>
        </w:rPr>
        <w:br/>
      </w:r>
      <w:r w:rsidRPr="00A874D1">
        <w:rPr>
          <w:rFonts w:ascii="Century Gothic" w:hAnsi="Century Gothic"/>
        </w:rPr>
        <w:t>w dniu 1 stycznia 201</w:t>
      </w:r>
      <w:r w:rsidR="003B6EFF">
        <w:rPr>
          <w:rFonts w:ascii="Century Gothic" w:hAnsi="Century Gothic"/>
        </w:rPr>
        <w:t>4</w:t>
      </w:r>
      <w:r w:rsidRPr="00A874D1">
        <w:rPr>
          <w:rFonts w:ascii="Century Gothic" w:hAnsi="Century Gothic"/>
        </w:rPr>
        <w:t xml:space="preserve"> roku</w:t>
      </w:r>
      <w:r w:rsidR="00E01DC6">
        <w:rPr>
          <w:rFonts w:ascii="Century Gothic" w:hAnsi="Century Gothic"/>
        </w:rPr>
        <w:t xml:space="preserve"> nie miały wpływu na </w:t>
      </w:r>
      <w:r w:rsidR="00B32AA1">
        <w:rPr>
          <w:rFonts w:ascii="Century Gothic" w:hAnsi="Century Gothic"/>
        </w:rPr>
        <w:t>sytuację finansową i wyniki działalności Grupy.</w:t>
      </w:r>
    </w:p>
    <w:p w:rsidR="00392A7A" w:rsidRDefault="00392A7A" w:rsidP="00392A7A">
      <w:pPr>
        <w:autoSpaceDE w:val="0"/>
        <w:autoSpaceDN w:val="0"/>
        <w:adjustRightInd w:val="0"/>
        <w:ind w:left="426"/>
        <w:jc w:val="both"/>
        <w:rPr>
          <w:rFonts w:ascii="Century Gothic" w:hAnsi="Century Gothic"/>
        </w:rPr>
      </w:pPr>
    </w:p>
    <w:p w:rsidR="00392A7A" w:rsidRPr="00A874D1" w:rsidRDefault="00392A7A" w:rsidP="008B2472">
      <w:pPr>
        <w:numPr>
          <w:ilvl w:val="0"/>
          <w:numId w:val="11"/>
        </w:numPr>
        <w:autoSpaceDE w:val="0"/>
        <w:autoSpaceDN w:val="0"/>
        <w:adjustRightInd w:val="0"/>
        <w:jc w:val="both"/>
        <w:rPr>
          <w:rFonts w:ascii="Century Gothic" w:hAnsi="Century Gothic" w:cs="Tahoma"/>
          <w:b/>
          <w:bCs/>
          <w:color w:val="0000FF"/>
        </w:rPr>
      </w:pPr>
      <w:r w:rsidRPr="00A874D1">
        <w:rPr>
          <w:rFonts w:ascii="Century Gothic" w:hAnsi="Century Gothic" w:cs="Tahoma"/>
          <w:b/>
          <w:bCs/>
          <w:color w:val="0000FF"/>
        </w:rPr>
        <w:t>Standardy oczekujące na wdrożenie przez jednostkę.</w:t>
      </w:r>
    </w:p>
    <w:p w:rsidR="00392A7A" w:rsidRPr="00A874D1" w:rsidRDefault="00392A7A" w:rsidP="00392A7A">
      <w:pPr>
        <w:autoSpaceDE w:val="0"/>
        <w:autoSpaceDN w:val="0"/>
        <w:adjustRightInd w:val="0"/>
        <w:ind w:left="426"/>
        <w:jc w:val="both"/>
        <w:rPr>
          <w:rFonts w:ascii="Century Gothic" w:hAnsi="Century Gothic" w:cs="Tahoma"/>
        </w:rPr>
      </w:pPr>
    </w:p>
    <w:p w:rsidR="00392A7A" w:rsidRDefault="00392A7A" w:rsidP="00BF28B4">
      <w:pPr>
        <w:autoSpaceDE w:val="0"/>
        <w:autoSpaceDN w:val="0"/>
        <w:adjustRightInd w:val="0"/>
        <w:ind w:left="426"/>
        <w:jc w:val="both"/>
        <w:rPr>
          <w:rFonts w:ascii="Century Gothic" w:hAnsi="Century Gothic" w:cs="Tahoma"/>
        </w:rPr>
      </w:pPr>
      <w:r w:rsidRPr="00A874D1">
        <w:rPr>
          <w:rFonts w:ascii="Century Gothic" w:hAnsi="Century Gothic" w:cs="Tahoma"/>
        </w:rPr>
        <w:t>Przy sporządzaniu niniejszego skonsolidowanego sprawozdania finansowego nie zastosowano żadnego z opublikowanych</w:t>
      </w:r>
      <w:r w:rsidR="008C37DA">
        <w:rPr>
          <w:rFonts w:ascii="Century Gothic" w:hAnsi="Century Gothic" w:cs="Tahoma"/>
        </w:rPr>
        <w:t>,</w:t>
      </w:r>
      <w:r w:rsidRPr="00A874D1">
        <w:rPr>
          <w:rFonts w:ascii="Century Gothic" w:hAnsi="Century Gothic" w:cs="Tahoma"/>
        </w:rPr>
        <w:t xml:space="preserve"> ale nie obowiązujących standardów i interpretacji standardów.</w:t>
      </w:r>
    </w:p>
    <w:p w:rsidR="003E37FD" w:rsidRPr="00A874D1" w:rsidRDefault="003E37FD" w:rsidP="00BF28B4">
      <w:pPr>
        <w:autoSpaceDE w:val="0"/>
        <w:autoSpaceDN w:val="0"/>
        <w:adjustRightInd w:val="0"/>
        <w:ind w:left="426"/>
        <w:jc w:val="both"/>
        <w:rPr>
          <w:rFonts w:ascii="Century Gothic" w:hAnsi="Century Gothic" w:cs="Tahoma"/>
        </w:rPr>
      </w:pPr>
    </w:p>
    <w:p w:rsidR="00392A7A" w:rsidRPr="00A874D1" w:rsidRDefault="00392A7A" w:rsidP="008B2472">
      <w:pPr>
        <w:numPr>
          <w:ilvl w:val="0"/>
          <w:numId w:val="11"/>
        </w:numPr>
        <w:rPr>
          <w:rFonts w:ascii="Century Gothic" w:hAnsi="Century Gothic"/>
          <w:b/>
          <w:color w:val="0000FF"/>
        </w:rPr>
      </w:pPr>
      <w:r w:rsidRPr="00A874D1">
        <w:rPr>
          <w:rFonts w:ascii="Century Gothic" w:hAnsi="Century Gothic"/>
          <w:b/>
          <w:color w:val="0000FF"/>
        </w:rPr>
        <w:t>Zmiany stosowanych zasad rachunkowości</w:t>
      </w:r>
    </w:p>
    <w:p w:rsidR="005E03C8" w:rsidRDefault="005E03C8" w:rsidP="005E03C8">
      <w:pPr>
        <w:pStyle w:val="BodyText21"/>
        <w:overflowPunct/>
        <w:autoSpaceDE/>
        <w:autoSpaceDN/>
        <w:adjustRightInd/>
        <w:spacing w:line="240" w:lineRule="auto"/>
        <w:ind w:left="284"/>
        <w:textAlignment w:val="auto"/>
        <w:rPr>
          <w:rFonts w:ascii="Century Gothic" w:hAnsi="Century Gothic" w:cs="Tahoma"/>
          <w:sz w:val="20"/>
        </w:rPr>
      </w:pPr>
    </w:p>
    <w:p w:rsidR="00392A7A" w:rsidRDefault="00392A7A" w:rsidP="00BF28B4">
      <w:pPr>
        <w:pStyle w:val="BodyText21"/>
        <w:overflowPunct/>
        <w:autoSpaceDE/>
        <w:autoSpaceDN/>
        <w:adjustRightInd/>
        <w:spacing w:line="240" w:lineRule="auto"/>
        <w:ind w:left="426"/>
        <w:textAlignment w:val="auto"/>
        <w:rPr>
          <w:rFonts w:ascii="Century Gothic" w:hAnsi="Century Gothic" w:cs="Tahoma"/>
          <w:sz w:val="20"/>
        </w:rPr>
      </w:pPr>
      <w:r w:rsidRPr="00D8334E">
        <w:rPr>
          <w:rFonts w:ascii="Century Gothic" w:hAnsi="Century Gothic" w:cs="Tahoma"/>
          <w:sz w:val="20"/>
        </w:rPr>
        <w:t>W roku obrotowym 201</w:t>
      </w:r>
      <w:r w:rsidR="003B6EFF">
        <w:rPr>
          <w:rFonts w:ascii="Century Gothic" w:hAnsi="Century Gothic" w:cs="Tahoma"/>
          <w:sz w:val="20"/>
        </w:rPr>
        <w:t>4</w:t>
      </w:r>
      <w:r w:rsidRPr="00D8334E">
        <w:rPr>
          <w:rFonts w:ascii="Century Gothic" w:hAnsi="Century Gothic" w:cs="Tahoma"/>
          <w:sz w:val="20"/>
        </w:rPr>
        <w:t xml:space="preserve"> nie zostały zmienione żadne istotne zasady rachunkowości</w:t>
      </w:r>
      <w:r w:rsidR="00B32AA1">
        <w:rPr>
          <w:rFonts w:ascii="Century Gothic" w:hAnsi="Century Gothic" w:cs="Tahoma"/>
          <w:sz w:val="20"/>
        </w:rPr>
        <w:t xml:space="preserve"> w odniesieniu do skonsolidowanego sprawozdania finansowego</w:t>
      </w:r>
      <w:r w:rsidRPr="00D8334E">
        <w:rPr>
          <w:rFonts w:ascii="Century Gothic" w:hAnsi="Century Gothic" w:cs="Tahoma"/>
          <w:sz w:val="20"/>
        </w:rPr>
        <w:t>.</w:t>
      </w:r>
      <w:r w:rsidRPr="0019063A" w:rsidDel="002F5989">
        <w:rPr>
          <w:rFonts w:ascii="Century Gothic" w:hAnsi="Century Gothic" w:cs="Tahoma"/>
          <w:sz w:val="20"/>
        </w:rPr>
        <w:t xml:space="preserve"> </w:t>
      </w:r>
    </w:p>
    <w:p w:rsidR="005E03C8" w:rsidRDefault="005E03C8" w:rsidP="005E03C8">
      <w:pPr>
        <w:pStyle w:val="BodyText21"/>
        <w:overflowPunct/>
        <w:autoSpaceDE/>
        <w:autoSpaceDN/>
        <w:adjustRightInd/>
        <w:spacing w:line="240" w:lineRule="auto"/>
        <w:ind w:left="284"/>
        <w:textAlignment w:val="auto"/>
        <w:rPr>
          <w:rFonts w:ascii="Century Gothic" w:hAnsi="Century Gothic" w:cs="Tahoma"/>
          <w:sz w:val="20"/>
        </w:rPr>
      </w:pPr>
    </w:p>
    <w:p w:rsidR="006C6C3A" w:rsidRDefault="006C6C3A" w:rsidP="005E03C8">
      <w:pPr>
        <w:pStyle w:val="BodyText21"/>
        <w:overflowPunct/>
        <w:autoSpaceDE/>
        <w:autoSpaceDN/>
        <w:adjustRightInd/>
        <w:spacing w:line="240" w:lineRule="auto"/>
        <w:ind w:left="284"/>
        <w:textAlignment w:val="auto"/>
        <w:rPr>
          <w:rFonts w:ascii="Century Gothic" w:hAnsi="Century Gothic" w:cs="Tahoma"/>
          <w:sz w:val="20"/>
        </w:rPr>
      </w:pPr>
    </w:p>
    <w:p w:rsidR="00392A7A" w:rsidRDefault="00392A7A" w:rsidP="00392A7A">
      <w:pPr>
        <w:pStyle w:val="Nagwek2"/>
        <w:numPr>
          <w:ilvl w:val="0"/>
          <w:numId w:val="8"/>
        </w:numPr>
        <w:tabs>
          <w:tab w:val="clear" w:pos="436"/>
          <w:tab w:val="num" w:pos="502"/>
        </w:tabs>
        <w:ind w:left="502"/>
        <w:jc w:val="both"/>
        <w:rPr>
          <w:rFonts w:ascii="Century Gothic" w:hAnsi="Century Gothic"/>
          <w:bCs/>
          <w:i w:val="0"/>
          <w:color w:val="0000FF"/>
          <w:sz w:val="20"/>
        </w:rPr>
      </w:pPr>
      <w:bookmarkStart w:id="23" w:name="_Toc292971710"/>
      <w:bookmarkStart w:id="24" w:name="_Toc292971711"/>
      <w:bookmarkStart w:id="25" w:name="_Toc260311317"/>
      <w:bookmarkStart w:id="26" w:name="_Toc387945899"/>
      <w:bookmarkEnd w:id="23"/>
      <w:bookmarkEnd w:id="24"/>
      <w:r w:rsidRPr="00D17484">
        <w:rPr>
          <w:rFonts w:ascii="Century Gothic" w:hAnsi="Century Gothic"/>
          <w:bCs/>
          <w:i w:val="0"/>
          <w:color w:val="0000FF"/>
          <w:sz w:val="20"/>
        </w:rPr>
        <w:lastRenderedPageBreak/>
        <w:t>PODSTAWOWE ZASADY WYCENY AKTYWÓW I PASYWÓW ORAZ POMIARU WYNIKU FINANSOWEGO</w:t>
      </w:r>
      <w:bookmarkEnd w:id="25"/>
      <w:bookmarkEnd w:id="26"/>
    </w:p>
    <w:p w:rsidR="00815736" w:rsidRDefault="00815736" w:rsidP="00815736">
      <w:pPr>
        <w:ind w:left="426"/>
        <w:jc w:val="both"/>
        <w:rPr>
          <w:rFonts w:ascii="Century Gothic" w:hAnsi="Century Gothic" w:cs="Tahoma"/>
          <w:color w:val="0000FF"/>
        </w:rPr>
      </w:pPr>
    </w:p>
    <w:p w:rsidR="00815736" w:rsidRPr="00D17484" w:rsidRDefault="00815736" w:rsidP="00815736">
      <w:pPr>
        <w:pStyle w:val="Nagwek9"/>
        <w:numPr>
          <w:ilvl w:val="1"/>
          <w:numId w:val="8"/>
        </w:numPr>
        <w:tabs>
          <w:tab w:val="clear" w:pos="1216"/>
          <w:tab w:val="left" w:pos="284"/>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 xml:space="preserve">Rzeczowe aktywa trwałe (MSR 16) </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W bilansie składniki rzeczowego majątku trwałego wyceniane są według ceny nabycia lub kosztów wytworzenia pomniejszone o skumulowane odpisy amortyzacyjne oraz odpisy z tytułu utraty wartości.</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Amortyzacja środka trwałego naliczana jest liniowo i ustalana jest w oparciu o okres jego ekonomicznej użyteczności.</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Szacunkowe okresy użytkowania, wartości krańcowe i metoda amortyzacji podlegają weryfikacji na koniec każdego roku obrotowego, a konsekwencje zmian tych szacunków odnoszone są do przyszłych okresów.</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Aktywa utrzymywane na podstawie umowy leasingu finansowego amortyzuje się przez okres ich przewidywanego użytkowania ekonomicznego na takich samych zasadach jak aktywa własne, nie dłużej jednak niż okres trwania leasingu, o ile nie planuje się ich zakupu po upływie okresu trwania umowy leasingu.</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Zyski lub straty wynikłe ze sprzedaży / likwidacji lub zaprzestania użytkowania pozycji rzeczowego majątku trwałego określa się jako różnicę między przychodami ze sprzedaży a wartością bilansową tych pozycji i ujmuje się je w rachunku zysków i strat.</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Środki trwałe w budowie powstające dla celów produkcyjnych, wynajmu lub administracyjnych, jak również dla celów jeszcze nie określonych, prezentowane są w bilansie po koszcie wytworzenia pomniejszonym o ujęte odpisy z tytułu utraty wartości. Koszt wytworzenia obejmuje opłaty oraz, dla odpowiednich aktywów, koszty finansowania zewnętrznego skapitalizowane zgodnie z zasadami rachunkowości Grupy. Amortyzacja dotycząca tych aktywów trwałych rozpoczyna się w momencie rozpoczęcia ich użytkowania.</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Grupa stosuje następujące okresy amortyzacji:</w:t>
      </w:r>
    </w:p>
    <w:p w:rsidR="00815736" w:rsidRPr="0019063A" w:rsidRDefault="00847AD5" w:rsidP="00847AD5">
      <w:pPr>
        <w:ind w:left="426"/>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budynki</w:t>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t xml:space="preserve">  </w:t>
      </w:r>
      <w:r w:rsidR="00815736" w:rsidRPr="0019063A">
        <w:rPr>
          <w:rFonts w:ascii="Century Gothic" w:hAnsi="Century Gothic" w:cs="Tahoma"/>
        </w:rPr>
        <w:tab/>
        <w:t xml:space="preserve">          40-70 lat</w:t>
      </w:r>
    </w:p>
    <w:p w:rsidR="00815736" w:rsidRPr="0019063A" w:rsidRDefault="00847AD5" w:rsidP="00847AD5">
      <w:pPr>
        <w:ind w:left="426"/>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budowle</w:t>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t xml:space="preserve">        10-100 lat</w:t>
      </w:r>
    </w:p>
    <w:p w:rsidR="00815736" w:rsidRPr="0019063A" w:rsidRDefault="00847AD5" w:rsidP="00847AD5">
      <w:pPr>
        <w:ind w:left="426"/>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maszyny i urządzenia techniczne</w:t>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t>7-60 lat</w:t>
      </w:r>
    </w:p>
    <w:p w:rsidR="00815736" w:rsidRPr="0019063A" w:rsidRDefault="00847AD5" w:rsidP="00847AD5">
      <w:pPr>
        <w:ind w:left="426"/>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środki transportu</w:t>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t>3-20 lat</w:t>
      </w:r>
    </w:p>
    <w:p w:rsidR="00815736" w:rsidRPr="0019063A" w:rsidRDefault="00847AD5" w:rsidP="00847AD5">
      <w:pPr>
        <w:ind w:left="426"/>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sprzęt komputerowy</w:t>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Pr>
          <w:rFonts w:ascii="Century Gothic" w:hAnsi="Century Gothic" w:cs="Tahoma"/>
        </w:rPr>
        <w:tab/>
      </w:r>
      <w:r w:rsidR="00815736" w:rsidRPr="0019063A">
        <w:rPr>
          <w:rFonts w:ascii="Century Gothic" w:hAnsi="Century Gothic" w:cs="Tahoma"/>
        </w:rPr>
        <w:t>2-10 lat</w:t>
      </w:r>
    </w:p>
    <w:p w:rsidR="00815736" w:rsidRPr="0019063A" w:rsidRDefault="00847AD5" w:rsidP="00847AD5">
      <w:pPr>
        <w:ind w:left="426"/>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narzędzia, przyrządy</w:t>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sidRPr="0019063A">
        <w:rPr>
          <w:rFonts w:ascii="Century Gothic" w:hAnsi="Century Gothic" w:cs="Tahoma"/>
        </w:rPr>
        <w:tab/>
      </w:r>
      <w:r w:rsidR="00815736">
        <w:rPr>
          <w:rFonts w:ascii="Century Gothic" w:hAnsi="Century Gothic" w:cs="Tahoma"/>
        </w:rPr>
        <w:tab/>
      </w:r>
      <w:r w:rsidR="00815736" w:rsidRPr="0019063A">
        <w:rPr>
          <w:rFonts w:ascii="Century Gothic" w:hAnsi="Century Gothic" w:cs="Tahoma"/>
        </w:rPr>
        <w:t>2-25 lat</w:t>
      </w:r>
    </w:p>
    <w:p w:rsidR="00815736" w:rsidRDefault="00815736" w:rsidP="00815736">
      <w:pPr>
        <w:ind w:left="360"/>
        <w:jc w:val="both"/>
        <w:rPr>
          <w:rFonts w:ascii="Century Gothic" w:hAnsi="Century Gothic" w:cs="Tahoma"/>
        </w:rPr>
      </w:pPr>
    </w:p>
    <w:p w:rsidR="00815736" w:rsidRPr="00D17484" w:rsidRDefault="00815736" w:rsidP="00815736">
      <w:pPr>
        <w:numPr>
          <w:ilvl w:val="1"/>
          <w:numId w:val="8"/>
        </w:numPr>
        <w:tabs>
          <w:tab w:val="clear" w:pos="1216"/>
          <w:tab w:val="num" w:pos="1080"/>
        </w:tabs>
        <w:ind w:left="1080" w:hanging="360"/>
        <w:rPr>
          <w:rFonts w:ascii="Century Gothic" w:hAnsi="Century Gothic"/>
          <w:b/>
          <w:color w:val="0000FF"/>
        </w:rPr>
      </w:pPr>
      <w:r w:rsidRPr="00D17484">
        <w:rPr>
          <w:rFonts w:ascii="Century Gothic" w:hAnsi="Century Gothic"/>
          <w:b/>
          <w:color w:val="0000FF"/>
        </w:rPr>
        <w:t>Wartości niematerialne (MSR 38)</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 xml:space="preserve">Wartości niematerialne wyceniane są według ceny nabycia lub kosztu wytworzenia pomniejszone o umorzenie i ewentualnie o odpis z tytułu utraty wartości (MSR 38). Amortyzację nalicza się metodą liniową w przewidywanym okresie użytkowania tych aktywów. Szacunkowy okres użytkowania oraz amortyzacja podlegają weryfikacji na koniec każdego rocznego okresu sprawozdawczego, a skutki zmian tych szacunków odnoszone są do przyszłych okresów. </w:t>
      </w:r>
    </w:p>
    <w:p w:rsidR="00815736" w:rsidRDefault="00815736" w:rsidP="00815736">
      <w:pPr>
        <w:ind w:left="426"/>
        <w:jc w:val="both"/>
        <w:rPr>
          <w:rFonts w:ascii="Century Gothic" w:hAnsi="Century Gothic" w:cs="Tahoma"/>
        </w:rPr>
      </w:pPr>
      <w:r w:rsidRPr="0019063A">
        <w:rPr>
          <w:rFonts w:ascii="Century Gothic" w:hAnsi="Century Gothic" w:cs="Tahoma"/>
        </w:rPr>
        <w:t>Do wartości niematerialnych zaliczane są koszty zapłacone za nabycie prawa wieczystego użytkowania gruntu. Koszty te  rozliczane są na rachunek zysków i strat przez okres na jaki prawo zostało przyznane.</w:t>
      </w:r>
    </w:p>
    <w:p w:rsidR="0015746F" w:rsidRDefault="0015746F" w:rsidP="00815736">
      <w:pPr>
        <w:ind w:left="426"/>
        <w:jc w:val="both"/>
        <w:rPr>
          <w:rFonts w:ascii="Century Gothic" w:hAnsi="Century Gothic" w:cs="Tahoma"/>
        </w:rPr>
      </w:pPr>
    </w:p>
    <w:p w:rsidR="00815736" w:rsidRPr="00D17484" w:rsidRDefault="00815736" w:rsidP="00815736">
      <w:pPr>
        <w:pStyle w:val="Tekstblokowy"/>
        <w:numPr>
          <w:ilvl w:val="1"/>
          <w:numId w:val="8"/>
        </w:numPr>
        <w:tabs>
          <w:tab w:val="clear" w:pos="1216"/>
          <w:tab w:val="num" w:pos="1080"/>
        </w:tabs>
        <w:ind w:left="1080" w:hanging="360"/>
        <w:rPr>
          <w:rFonts w:ascii="Century Gothic" w:hAnsi="Century Gothic" w:cs="Tahoma"/>
          <w:b/>
          <w:bCs/>
          <w:color w:val="0000FF"/>
          <w:sz w:val="20"/>
        </w:rPr>
      </w:pPr>
      <w:r w:rsidRPr="00D17484">
        <w:rPr>
          <w:rFonts w:ascii="Century Gothic" w:hAnsi="Century Gothic" w:cs="Tahoma"/>
          <w:b/>
          <w:bCs/>
          <w:color w:val="0000FF"/>
          <w:sz w:val="20"/>
        </w:rPr>
        <w:t>Zapasy (MSR 2)</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 xml:space="preserve">Zapasy wykazuje się po cenie nabycia lub koszcie wytworzenia lub też po cenie sprzedaży netto, w zależności od tego, która z tych wartości jest niższa. </w:t>
      </w:r>
    </w:p>
    <w:p w:rsidR="00815736" w:rsidRPr="0019063A" w:rsidRDefault="00815736" w:rsidP="00815736">
      <w:pPr>
        <w:ind w:left="426"/>
        <w:jc w:val="both"/>
        <w:rPr>
          <w:rFonts w:ascii="Century Gothic" w:hAnsi="Century Gothic" w:cs="Tahoma"/>
        </w:rPr>
      </w:pPr>
    </w:p>
    <w:p w:rsidR="00815736" w:rsidRPr="00D17484" w:rsidRDefault="00815736" w:rsidP="00815736">
      <w:pPr>
        <w:pStyle w:val="Tytu"/>
        <w:numPr>
          <w:ilvl w:val="1"/>
          <w:numId w:val="8"/>
        </w:numPr>
        <w:tabs>
          <w:tab w:val="clear" w:pos="1216"/>
          <w:tab w:val="num" w:pos="1080"/>
        </w:tabs>
        <w:ind w:left="1080" w:hanging="360"/>
        <w:jc w:val="both"/>
        <w:rPr>
          <w:rFonts w:ascii="Century Gothic" w:hAnsi="Century Gothic" w:cs="Tahoma"/>
          <w:bCs/>
          <w:color w:val="0000FF"/>
          <w:sz w:val="20"/>
        </w:rPr>
      </w:pPr>
      <w:r w:rsidRPr="00D17484">
        <w:rPr>
          <w:rFonts w:ascii="Century Gothic" w:hAnsi="Century Gothic" w:cs="Tahoma"/>
          <w:bCs/>
          <w:color w:val="0000FF"/>
          <w:sz w:val="20"/>
        </w:rPr>
        <w:t>Aktywa trwałe przeznaczone do zbycia</w:t>
      </w:r>
    </w:p>
    <w:p w:rsidR="00815736" w:rsidRDefault="00815736" w:rsidP="00815736">
      <w:pPr>
        <w:ind w:left="426"/>
        <w:jc w:val="both"/>
        <w:rPr>
          <w:rFonts w:ascii="Century Gothic" w:hAnsi="Century Gothic" w:cs="Tahoma"/>
        </w:rPr>
      </w:pPr>
      <w:r w:rsidRPr="0019063A">
        <w:rPr>
          <w:rFonts w:ascii="Century Gothic" w:hAnsi="Century Gothic" w:cs="Tahoma"/>
        </w:rPr>
        <w:t>Aktywa trwałe i grupy do zbycia klasyfikuje się jako przeznaczone do sprzedaży, jeśli ich wartość bilansowa zostanie odzyskana raczej w wyniku transakcji sprzedaży niż w wyniku ich dalszego użytkowania. Warunek ten uznaje się za spełniony wyłącznie wówczas, gdy wystąpienie transakcji sprzedaży jest bardzo prawdopodobne, a składnik aktywów (lub grupa do zbycia) jest dostępny do natychmiastowej sprzedaży w swoim obecnym stanie. Klasyfikacja składnika aktywów jako przeznaczonego do zbycia zakłada zamiar kierownictwa spółki do dokonania transakcji sprzedaży w ciągu roku od momentu zmiany klasyfikacji. Aktywa trwałe (i grupy do zbycia) zaklasyfikowane jako przeznaczone do sprzedaży wycenia się po niższej spośród dwóch wartości: pierwotnej wartości bilansowej lub wartości godziwej, pomniejszonej o koszty związane ze sprzedażą. W czasie gdy dany składnik aktywów zaliczany jest do przeznaczonych do sprzedaży nie podlega on amortyzacji.</w:t>
      </w:r>
    </w:p>
    <w:p w:rsidR="0015746F" w:rsidRPr="0019063A" w:rsidRDefault="0015746F" w:rsidP="00815736">
      <w:pPr>
        <w:ind w:left="426"/>
        <w:jc w:val="both"/>
        <w:rPr>
          <w:rFonts w:ascii="Century Gothic" w:hAnsi="Century Gothic" w:cs="Tahoma"/>
        </w:rPr>
      </w:pPr>
    </w:p>
    <w:p w:rsidR="00815736" w:rsidRPr="0019063A" w:rsidRDefault="00815736" w:rsidP="00815736">
      <w:pPr>
        <w:ind w:left="426"/>
        <w:jc w:val="both"/>
        <w:rPr>
          <w:rFonts w:ascii="Century Gothic" w:hAnsi="Century Gothic" w:cs="Tahoma"/>
        </w:rPr>
      </w:pPr>
    </w:p>
    <w:p w:rsidR="00815736" w:rsidRDefault="00815736" w:rsidP="00815736">
      <w:pPr>
        <w:pStyle w:val="Tytu"/>
        <w:numPr>
          <w:ilvl w:val="1"/>
          <w:numId w:val="8"/>
        </w:numPr>
        <w:tabs>
          <w:tab w:val="clear" w:pos="1216"/>
          <w:tab w:val="num" w:pos="1080"/>
        </w:tabs>
        <w:ind w:left="1080" w:hanging="360"/>
        <w:jc w:val="left"/>
        <w:rPr>
          <w:rFonts w:ascii="Century Gothic" w:hAnsi="Century Gothic" w:cs="Tahoma"/>
          <w:bCs/>
          <w:color w:val="0000FF"/>
          <w:sz w:val="20"/>
        </w:rPr>
      </w:pPr>
      <w:r w:rsidRPr="00D17484">
        <w:rPr>
          <w:rFonts w:ascii="Century Gothic" w:hAnsi="Century Gothic" w:cs="Tahoma"/>
          <w:bCs/>
          <w:color w:val="0000FF"/>
          <w:sz w:val="20"/>
        </w:rPr>
        <w:lastRenderedPageBreak/>
        <w:t>Wartość firmy</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 xml:space="preserve">Wartość firmy powstająca przy konsolidacji wynika z wystąpienia na dzień nabycia, nadwyżki kosztu nabycia jednostki nad wartością godziwą możliwych do zidentyfikowania składników aktywów i pasywów jednostki zależnej na dzień nabycia. Wartość firmy jest wykazywana jako składnik aktywów i przynajmniej raz w roku podlega analizie pod kątem utraty wartości. Ewentualna utrata wartości rozpoznawana jest od razu w rachunku zysków i strat i nie podlega odwróceniu </w:t>
      </w:r>
      <w:r w:rsidRPr="0019063A">
        <w:rPr>
          <w:rFonts w:ascii="Century Gothic" w:hAnsi="Century Gothic" w:cs="Tahoma"/>
        </w:rPr>
        <w:br/>
        <w:t xml:space="preserve">w kolejnych okresach. Przy sprzedaży jednostki zależnej odpowiednia część wartości firmy uwzględniana jest przy wyliczaniu zysku bądź straty na sprzedaży. </w:t>
      </w:r>
    </w:p>
    <w:p w:rsidR="00815736" w:rsidRPr="0019063A" w:rsidRDefault="00815736" w:rsidP="00815736">
      <w:pPr>
        <w:jc w:val="both"/>
        <w:rPr>
          <w:rFonts w:ascii="Century Gothic" w:hAnsi="Century Gothic" w:cs="Tahoma"/>
        </w:rPr>
      </w:pPr>
    </w:p>
    <w:p w:rsidR="00815736" w:rsidRPr="00D17484" w:rsidRDefault="00815736" w:rsidP="00815736">
      <w:pPr>
        <w:pStyle w:val="Nagwek9"/>
        <w:numPr>
          <w:ilvl w:val="1"/>
          <w:numId w:val="8"/>
        </w:numPr>
        <w:tabs>
          <w:tab w:val="clear" w:pos="121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 xml:space="preserve">Należności </w:t>
      </w:r>
    </w:p>
    <w:p w:rsidR="00815736" w:rsidRPr="0019063A" w:rsidRDefault="00815736" w:rsidP="00815736">
      <w:pPr>
        <w:autoSpaceDE w:val="0"/>
        <w:autoSpaceDN w:val="0"/>
        <w:adjustRightInd w:val="0"/>
        <w:ind w:left="426"/>
        <w:jc w:val="both"/>
        <w:rPr>
          <w:rFonts w:ascii="Century Gothic" w:hAnsi="Century Gothic" w:cs="Tahoma"/>
        </w:rPr>
      </w:pPr>
      <w:r w:rsidRPr="00D17484">
        <w:rPr>
          <w:rFonts w:ascii="Century Gothic" w:hAnsi="Century Gothic" w:cs="Tahoma"/>
        </w:rPr>
        <w:t>Na dzień powstania należności wycenia się wg wartości godziwej. W późniejszym okresie</w:t>
      </w:r>
      <w:r w:rsidRPr="0019063A">
        <w:rPr>
          <w:rFonts w:ascii="Century Gothic" w:hAnsi="Century Gothic" w:cs="Tahoma"/>
        </w:rPr>
        <w:t xml:space="preserve"> należności wykazuje się według skorygowanych cen nabycia (metody zamortyzowanego kosztu) stosując metodę efektywnej stopy procentowej i pomniejsza o odpisy aktualizujące. </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Odpisów aktualizujących dokonuje się w oparciu o wiekowanie sald należności bądź na podstawie analizy danych historycznych oraz w sytuacji, gdy odzyskanie należności przestaje być prawdopodobne.</w:t>
      </w:r>
    </w:p>
    <w:p w:rsidR="00815736" w:rsidRPr="0019063A" w:rsidRDefault="00815736" w:rsidP="00815736">
      <w:pPr>
        <w:pStyle w:val="Nagwek9"/>
        <w:tabs>
          <w:tab w:val="left" w:pos="426"/>
        </w:tabs>
        <w:rPr>
          <w:rFonts w:ascii="Century Gothic" w:hAnsi="Century Gothic" w:cs="Tahoma"/>
          <w:sz w:val="20"/>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Środki pieniężne</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Środki pieniężne i ich ekwiwalenty obejmują środki pieniężne w kasie, na rachunkach bankowych oraz lokaty i krótkoterminowe papiery wartościowe z terminem zapadalności do trzech miesięcy od ich założenia, otrzymania, nabycia lub wystawienia.</w:t>
      </w:r>
    </w:p>
    <w:p w:rsidR="00815736" w:rsidRPr="0019063A" w:rsidRDefault="00815736" w:rsidP="00815736">
      <w:pPr>
        <w:pStyle w:val="Nagwek9"/>
        <w:tabs>
          <w:tab w:val="left" w:pos="426"/>
        </w:tabs>
        <w:rPr>
          <w:rFonts w:ascii="Century Gothic" w:hAnsi="Century Gothic" w:cs="Tahoma"/>
          <w:sz w:val="20"/>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Koszty finansowania zewnętrznego (MSR 23)</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Koszty finansowania zewnętrznego bezpośrednio związanego z nabyciem lub wytworzeniem składników majątku wymagających dłuższego czasu, aby mogły być zdatne do użytkowania lub odsprzedaży, dodaje się do kosztów wytworzenia takich aktywów aż do momentu, w którym aktywa te są zasadniczo gotowe do zamierzonego użytkowania lub odsprzedania. Przychody z inwestycji uzyskane w wyniku krótkoterminowego inwestowania pozyskanych środków zewnętrznych przed zainwestowaniem ich w omawiane aktywa pomniejszają wartość kosztów finansowania zewnętrznego podlegających kapitalizacji.</w:t>
      </w:r>
    </w:p>
    <w:p w:rsidR="00815736" w:rsidRDefault="00815736" w:rsidP="00815736">
      <w:pPr>
        <w:ind w:left="426"/>
        <w:jc w:val="both"/>
        <w:rPr>
          <w:rFonts w:ascii="Century Gothic" w:hAnsi="Century Gothic" w:cs="Tahoma"/>
        </w:rPr>
      </w:pPr>
      <w:r w:rsidRPr="0019063A">
        <w:rPr>
          <w:rFonts w:ascii="Century Gothic" w:hAnsi="Century Gothic" w:cs="Tahoma"/>
        </w:rPr>
        <w:t>Wszelkie pozostałe koszty finansowania zewnętrznego są odnoszone bezpośrednio w rachunek zysków i strat w okresie, w którym zostały poniesione.</w:t>
      </w:r>
    </w:p>
    <w:p w:rsidR="001E256E" w:rsidRPr="0019063A" w:rsidRDefault="001E256E" w:rsidP="00815736">
      <w:pPr>
        <w:ind w:left="426"/>
        <w:jc w:val="both"/>
        <w:rPr>
          <w:rFonts w:ascii="Century Gothic" w:hAnsi="Century Gothic" w:cs="Tahoma"/>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Dotacje państwowe</w:t>
      </w:r>
    </w:p>
    <w:p w:rsidR="00815736" w:rsidRPr="0019063A" w:rsidRDefault="00815736" w:rsidP="00815736">
      <w:pPr>
        <w:ind w:left="426"/>
        <w:jc w:val="both"/>
        <w:rPr>
          <w:rFonts w:ascii="Century Gothic" w:hAnsi="Century Gothic" w:cs="Tahoma"/>
        </w:rPr>
      </w:pPr>
      <w:r w:rsidRPr="0019063A">
        <w:rPr>
          <w:rFonts w:ascii="Century Gothic" w:hAnsi="Century Gothic" w:cs="Tahoma"/>
        </w:rPr>
        <w:t>Dotacji państwowych nie ujmuje się do chwili uzyskania uzasadnionej pewności, że Grupa spełni konieczne warunki i otrzyma takie dotacje.</w:t>
      </w:r>
    </w:p>
    <w:p w:rsidR="00815736" w:rsidRDefault="00815736" w:rsidP="00815736">
      <w:pPr>
        <w:ind w:left="426"/>
        <w:jc w:val="both"/>
        <w:rPr>
          <w:rFonts w:ascii="Century Gothic" w:hAnsi="Century Gothic" w:cs="Tahoma"/>
        </w:rPr>
      </w:pPr>
      <w:r w:rsidRPr="0019063A">
        <w:rPr>
          <w:rFonts w:ascii="Century Gothic" w:hAnsi="Century Gothic" w:cs="Tahoma"/>
        </w:rPr>
        <w:t>Dotacje do aktywów ujmuje się jako przychody przyszłych okresów, a następnie część dotacji przenoszona jest do przychodów każdego roku, tak aby zrównoważyć wyższy odpis amortyzacyjny oparty na wartości początkowej składnika aktywów trwałych.</w:t>
      </w:r>
    </w:p>
    <w:p w:rsidR="00815736" w:rsidRPr="0019063A" w:rsidRDefault="00815736" w:rsidP="00815736">
      <w:pPr>
        <w:ind w:left="426"/>
        <w:jc w:val="both"/>
        <w:rPr>
          <w:rFonts w:ascii="Century Gothic" w:hAnsi="Century Gothic" w:cs="Tahoma"/>
        </w:rPr>
      </w:pPr>
      <w:r w:rsidRPr="004E6DC6">
        <w:rPr>
          <w:rFonts w:ascii="Century Gothic" w:hAnsi="Century Gothic" w:cs="Tahoma"/>
        </w:rPr>
        <w:t>Dofinansowanie do aktywów z Zakładowego Funduszu Rehabilitacji Osób Niepełnosprawnych ujmuje się w kapitale zapasowym.</w:t>
      </w:r>
    </w:p>
    <w:p w:rsidR="00815736" w:rsidRPr="0019063A" w:rsidRDefault="00815736" w:rsidP="00815736">
      <w:pPr>
        <w:ind w:left="426"/>
        <w:jc w:val="both"/>
        <w:rPr>
          <w:rFonts w:ascii="Century Gothic" w:hAnsi="Century Gothic" w:cs="Tahoma"/>
        </w:rPr>
      </w:pPr>
    </w:p>
    <w:p w:rsidR="00815736" w:rsidRPr="00D17484" w:rsidRDefault="00815736" w:rsidP="00815736">
      <w:pPr>
        <w:pStyle w:val="Nagwek9"/>
        <w:numPr>
          <w:ilvl w:val="1"/>
          <w:numId w:val="8"/>
        </w:numPr>
        <w:tabs>
          <w:tab w:val="clear" w:pos="1216"/>
          <w:tab w:val="left" w:pos="284"/>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Zobowiązania</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Za zobowiązania uznaje się wynikający z przyszłych zdarzeń obowiązek wykonania świadczeń o wiarygodnie określonej wartości, które spowodują wykorzystanie już posiadanych lub przyszłych aktywów Spółki. Na dzień powstania, zobowiązania wycenia się wg wartości godziwej. W późniejszym okresie, zobowiązania wykazuje się według skorygowanych cen nabycia (metody zamortyzowanego kosztu) stosując metodę efektywnej stopy procentowej.</w:t>
      </w:r>
    </w:p>
    <w:p w:rsidR="00815736" w:rsidRPr="0019063A" w:rsidRDefault="00815736" w:rsidP="00815736">
      <w:pPr>
        <w:autoSpaceDE w:val="0"/>
        <w:autoSpaceDN w:val="0"/>
        <w:adjustRightInd w:val="0"/>
        <w:ind w:left="426"/>
        <w:jc w:val="both"/>
        <w:rPr>
          <w:rFonts w:ascii="Century Gothic" w:hAnsi="Century Gothic" w:cs="Tahoma"/>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Rezerwy (MSR 37)</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Rezerwy tworzone są wówczas, gdy na Grupie ciąży istniejący obowiązek wynikający ze zdarzeń przeszłych i gdy prawdopodobne jest, że wypełnienie tego obowiązku spowoduje konieczność wypływu środków, z którymi związane są korzyści ekonomiczne oraz można dokonać wiarygodnego oszacowania kwoty tego zobowiązania.</w:t>
      </w:r>
    </w:p>
    <w:p w:rsidR="00815736" w:rsidRPr="0019063A" w:rsidRDefault="00815736" w:rsidP="00815736">
      <w:pPr>
        <w:autoSpaceDE w:val="0"/>
        <w:autoSpaceDN w:val="0"/>
        <w:adjustRightInd w:val="0"/>
        <w:ind w:left="426"/>
        <w:jc w:val="both"/>
        <w:rPr>
          <w:rFonts w:ascii="Century Gothic" w:hAnsi="Century Gothic" w:cs="Tahoma"/>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Podatek dochodowy odroczony (MSR 12)</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Na obowiązkowe obciążenia wyniku składają się: podatek dochodowy i podatek odroczony.</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lastRenderedPageBreak/>
        <w:t>Na przejściowe różnice między wartością księgową aktywów i pasywów a ich wartością podatkową tworzone są rezerwy i ustalane aktywa z tytułu odroczonego podatku dochodowego od osób prawnych.</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Wartość składnika aktywów z tytułu podatku odroczonego podlega analizie na każdy dzień bilansowy, a w przypadku, gdy spodziewane przyszłe zyski podatkowe nie będą wystarczające dla realizacji składnika aktywów lub jego części następuje jego odpisanie.</w:t>
      </w:r>
    </w:p>
    <w:p w:rsidR="00815736"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W związku z działalnością spółki zależnej OZEN Plus Sp. z o.o. w Specjalnej Strefie Ekonomicznej w sprawozdaniach skonsolidowanych zostanie rozpoznane w przyszłości aktywo z tytułu możliwości skorzystania z ulgi podatkowej, jaka wynika z faktu funkcjonowania przedmiotowej inwestycji w Słupskiej Specjalnej Strefie Ekonomicznej Obszar w Wałczu.</w:t>
      </w:r>
    </w:p>
    <w:p w:rsidR="00815736" w:rsidRPr="0019063A" w:rsidRDefault="00815736" w:rsidP="00815736">
      <w:pPr>
        <w:autoSpaceDE w:val="0"/>
        <w:autoSpaceDN w:val="0"/>
        <w:adjustRightInd w:val="0"/>
        <w:ind w:left="426"/>
        <w:jc w:val="both"/>
        <w:rPr>
          <w:rFonts w:ascii="Century Gothic" w:hAnsi="Century Gothic" w:cs="Tahoma"/>
        </w:rPr>
      </w:pPr>
      <w:r w:rsidRPr="0019063A" w:rsidDel="00C8270B">
        <w:rPr>
          <w:rFonts w:ascii="Century Gothic" w:hAnsi="Century Gothic" w:cs="Tahoma"/>
        </w:rPr>
        <w:t xml:space="preserve"> </w:t>
      </w: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Pr>
          <w:rFonts w:ascii="Century Gothic" w:hAnsi="Century Gothic" w:cs="Tahoma"/>
          <w:color w:val="0000FF"/>
          <w:sz w:val="20"/>
        </w:rPr>
        <w:t xml:space="preserve">Udziały niekontrolujące </w:t>
      </w:r>
      <w:r w:rsidRPr="00D17484">
        <w:rPr>
          <w:rFonts w:ascii="Century Gothic" w:hAnsi="Century Gothic" w:cs="Tahoma"/>
          <w:color w:val="0000FF"/>
          <w:sz w:val="20"/>
        </w:rPr>
        <w:t>(MSR 27)</w:t>
      </w:r>
    </w:p>
    <w:p w:rsidR="00815736" w:rsidRPr="0019063A" w:rsidRDefault="00815736" w:rsidP="00815736">
      <w:pPr>
        <w:autoSpaceDE w:val="0"/>
        <w:autoSpaceDN w:val="0"/>
        <w:adjustRightInd w:val="0"/>
        <w:ind w:left="426"/>
        <w:jc w:val="both"/>
        <w:rPr>
          <w:rFonts w:ascii="Century Gothic" w:hAnsi="Century Gothic" w:cs="Tahoma"/>
        </w:rPr>
      </w:pPr>
      <w:r>
        <w:rPr>
          <w:rFonts w:ascii="Century Gothic" w:hAnsi="Century Gothic" w:cs="Tahoma"/>
        </w:rPr>
        <w:t xml:space="preserve">Udziały niekontrolujące </w:t>
      </w:r>
      <w:r w:rsidRPr="0019063A">
        <w:rPr>
          <w:rFonts w:ascii="Century Gothic" w:hAnsi="Century Gothic" w:cs="Tahoma"/>
        </w:rPr>
        <w:t xml:space="preserve">ustala się, jako wartość aktywów netto jednostek powiązanych, przypadających na dzień bilansowy akcjonariuszom spoza grupy kapitałowej. Wartość tę zmniejsza/zwiększa się o przypadające na </w:t>
      </w:r>
      <w:r>
        <w:rPr>
          <w:rFonts w:ascii="Century Gothic" w:hAnsi="Century Gothic" w:cs="Tahoma"/>
        </w:rPr>
        <w:t xml:space="preserve">te udziały </w:t>
      </w:r>
      <w:r w:rsidRPr="0019063A">
        <w:rPr>
          <w:rFonts w:ascii="Century Gothic" w:hAnsi="Century Gothic" w:cs="Tahoma"/>
        </w:rPr>
        <w:t>zwiększenia/zmniejszenia aktywów netto</w:t>
      </w:r>
      <w:r>
        <w:rPr>
          <w:rFonts w:ascii="Century Gothic" w:hAnsi="Century Gothic" w:cs="Tahoma"/>
        </w:rPr>
        <w:t>.</w:t>
      </w:r>
    </w:p>
    <w:p w:rsidR="00815736" w:rsidRPr="0019063A" w:rsidRDefault="00815736" w:rsidP="00815736">
      <w:pPr>
        <w:autoSpaceDE w:val="0"/>
        <w:autoSpaceDN w:val="0"/>
        <w:adjustRightInd w:val="0"/>
        <w:ind w:left="426"/>
        <w:jc w:val="both"/>
        <w:rPr>
          <w:rFonts w:ascii="Century Gothic" w:hAnsi="Century Gothic" w:cs="Tahoma"/>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Kapitały własne</w:t>
      </w:r>
    </w:p>
    <w:p w:rsidR="00815736" w:rsidRPr="0019063A" w:rsidRDefault="00815736" w:rsidP="00815736">
      <w:pPr>
        <w:pStyle w:val="Tekstpodstawowywcity2"/>
        <w:tabs>
          <w:tab w:val="left" w:pos="1418"/>
          <w:tab w:val="left" w:pos="4537"/>
        </w:tabs>
        <w:rPr>
          <w:rFonts w:ascii="Century Gothic" w:hAnsi="Century Gothic" w:cs="Tahoma"/>
          <w:sz w:val="20"/>
        </w:rPr>
      </w:pPr>
      <w:r w:rsidRPr="0019063A">
        <w:rPr>
          <w:rFonts w:ascii="Century Gothic" w:hAnsi="Century Gothic" w:cs="Tahoma"/>
          <w:sz w:val="20"/>
        </w:rPr>
        <w:t>Kapitał zakładowy wykazywany jest w wartości nominalnej wyemitowanych i zarejestrowanych akcji. Na dzień 3</w:t>
      </w:r>
      <w:r w:rsidR="007B631E">
        <w:rPr>
          <w:rFonts w:ascii="Century Gothic" w:hAnsi="Century Gothic" w:cs="Tahoma"/>
          <w:sz w:val="20"/>
        </w:rPr>
        <w:t xml:space="preserve">1 </w:t>
      </w:r>
      <w:r w:rsidR="003B6EFF">
        <w:rPr>
          <w:rFonts w:ascii="Century Gothic" w:hAnsi="Century Gothic" w:cs="Tahoma"/>
          <w:sz w:val="20"/>
        </w:rPr>
        <w:t>marca</w:t>
      </w:r>
      <w:r>
        <w:rPr>
          <w:rFonts w:ascii="Century Gothic" w:hAnsi="Century Gothic" w:cs="Tahoma"/>
          <w:sz w:val="20"/>
        </w:rPr>
        <w:t xml:space="preserve"> 201</w:t>
      </w:r>
      <w:r w:rsidR="003B6EFF">
        <w:rPr>
          <w:rFonts w:ascii="Century Gothic" w:hAnsi="Century Gothic" w:cs="Tahoma"/>
          <w:sz w:val="20"/>
        </w:rPr>
        <w:t>4</w:t>
      </w:r>
      <w:r w:rsidRPr="0019063A">
        <w:rPr>
          <w:rFonts w:ascii="Century Gothic" w:hAnsi="Century Gothic" w:cs="Tahoma"/>
          <w:sz w:val="20"/>
        </w:rPr>
        <w:t xml:space="preserve"> roku kapitał zakładowy w wysokości </w:t>
      </w:r>
      <w:r w:rsidR="006106E4">
        <w:rPr>
          <w:rFonts w:ascii="Century Gothic" w:hAnsi="Century Gothic" w:cs="Tahoma"/>
          <w:sz w:val="20"/>
        </w:rPr>
        <w:t>14.685 tys.</w:t>
      </w:r>
      <w:r w:rsidRPr="0019063A">
        <w:rPr>
          <w:rFonts w:ascii="Century Gothic" w:hAnsi="Century Gothic" w:cs="Tahoma"/>
          <w:sz w:val="20"/>
        </w:rPr>
        <w:t xml:space="preserve"> zł tworzyło 1</w:t>
      </w:r>
      <w:r w:rsidR="00FE3428">
        <w:rPr>
          <w:rFonts w:ascii="Century Gothic" w:hAnsi="Century Gothic" w:cs="Tahoma"/>
          <w:sz w:val="20"/>
        </w:rPr>
        <w:t>46</w:t>
      </w:r>
      <w:r w:rsidRPr="0019063A">
        <w:rPr>
          <w:rFonts w:ascii="Century Gothic" w:hAnsi="Century Gothic" w:cs="Tahoma"/>
          <w:sz w:val="20"/>
        </w:rPr>
        <w:t> </w:t>
      </w:r>
      <w:r w:rsidR="00FE3428">
        <w:rPr>
          <w:rFonts w:ascii="Century Gothic" w:hAnsi="Century Gothic" w:cs="Tahoma"/>
          <w:sz w:val="20"/>
        </w:rPr>
        <w:t>850</w:t>
      </w:r>
      <w:r w:rsidRPr="0019063A">
        <w:rPr>
          <w:rFonts w:ascii="Century Gothic" w:hAnsi="Century Gothic" w:cs="Tahoma"/>
          <w:sz w:val="20"/>
        </w:rPr>
        <w:t xml:space="preserve"> </w:t>
      </w:r>
      <w:r w:rsidR="00FE3428">
        <w:rPr>
          <w:rFonts w:ascii="Century Gothic" w:hAnsi="Century Gothic" w:cs="Tahoma"/>
          <w:sz w:val="20"/>
        </w:rPr>
        <w:t>643</w:t>
      </w:r>
      <w:r w:rsidRPr="0019063A">
        <w:rPr>
          <w:rFonts w:ascii="Century Gothic" w:hAnsi="Century Gothic" w:cs="Tahoma"/>
          <w:sz w:val="20"/>
        </w:rPr>
        <w:t xml:space="preserve"> akcji zwykłych na okaziciela o wartości nominalnej 0,10 zł każda.</w:t>
      </w:r>
    </w:p>
    <w:p w:rsidR="00815736" w:rsidRPr="0019063A" w:rsidRDefault="00815736" w:rsidP="00815736">
      <w:pPr>
        <w:pStyle w:val="Nagwek9"/>
        <w:tabs>
          <w:tab w:val="left" w:pos="426"/>
        </w:tabs>
        <w:rPr>
          <w:rFonts w:ascii="Century Gothic" w:hAnsi="Century Gothic" w:cs="Tahoma"/>
          <w:sz w:val="20"/>
        </w:rPr>
      </w:pPr>
    </w:p>
    <w:p w:rsidR="00815736" w:rsidRPr="00D17484"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D17484">
        <w:rPr>
          <w:rFonts w:ascii="Century Gothic" w:hAnsi="Century Gothic" w:cs="Tahoma"/>
          <w:color w:val="0000FF"/>
          <w:sz w:val="20"/>
        </w:rPr>
        <w:t>Przychody (MSR 18)</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Przychody są ujmowane w takiej wysokości, w jakiej jest prawdopodobne, że Grupa uzyska korzyści ekonomiczne związane z daną transakcją oraz gdy kwotę przychodów można wycenić w wiarygodny sposób. Przy ujmowaniu przychodów obowiązują następujące kryteria klasyfikacji:</w:t>
      </w:r>
    </w:p>
    <w:p w:rsidR="00815736"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 sprzedaż towarów i produktów – są one ujmowane, jeżeli znaczące ryzyko i korzyści wynikające z prawa własności do towarów i produktów zostały przekazane nabywcy oraz gdy kwotę przychodów można wycenić w wiarygodny sposób,</w:t>
      </w:r>
    </w:p>
    <w:p w:rsidR="00815736" w:rsidRPr="0019063A" w:rsidRDefault="00815736" w:rsidP="00815736">
      <w:pPr>
        <w:autoSpaceDE w:val="0"/>
        <w:autoSpaceDN w:val="0"/>
        <w:adjustRightInd w:val="0"/>
        <w:ind w:left="426"/>
        <w:jc w:val="both"/>
        <w:rPr>
          <w:rFonts w:ascii="Century Gothic" w:hAnsi="Century Gothic" w:cs="Tahoma"/>
        </w:rPr>
      </w:pPr>
      <w:r>
        <w:rPr>
          <w:rFonts w:ascii="Century Gothic" w:hAnsi="Century Gothic" w:cs="Tahoma"/>
        </w:rPr>
        <w:t xml:space="preserve">- świadczenie usług </w:t>
      </w:r>
      <w:r w:rsidRPr="0019063A">
        <w:rPr>
          <w:rFonts w:ascii="Century Gothic" w:hAnsi="Century Gothic" w:cs="Tahoma"/>
        </w:rPr>
        <w:t>–</w:t>
      </w:r>
      <w:r>
        <w:rPr>
          <w:rFonts w:ascii="Century Gothic" w:hAnsi="Century Gothic" w:cs="Tahoma"/>
        </w:rPr>
        <w:t xml:space="preserve"> przychody są ujmowane poprzez odniesienie do stopnia zaawansowania realizacji danej umowy, </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 przychody z inwestycji Funduszu – obejmują dywidendy ujmowane w momencie ustalenia praw akcjonariuszy do ich otrzymania oraz odsetki ujmowane sukcesywnie w miarę ich narastania do wartości bilansowej netto danego składnika aktywów.</w:t>
      </w:r>
    </w:p>
    <w:p w:rsidR="00815736" w:rsidRPr="0019063A" w:rsidRDefault="00815736" w:rsidP="00815736">
      <w:pPr>
        <w:autoSpaceDE w:val="0"/>
        <w:autoSpaceDN w:val="0"/>
        <w:adjustRightInd w:val="0"/>
        <w:ind w:left="426"/>
        <w:jc w:val="both"/>
        <w:rPr>
          <w:rFonts w:ascii="Century Gothic" w:hAnsi="Century Gothic" w:cs="Tahoma"/>
        </w:rPr>
      </w:pPr>
    </w:p>
    <w:p w:rsidR="00815736" w:rsidRPr="00874046" w:rsidRDefault="00815736" w:rsidP="00815736">
      <w:pPr>
        <w:pStyle w:val="Nagwek9"/>
        <w:numPr>
          <w:ilvl w:val="1"/>
          <w:numId w:val="8"/>
        </w:numPr>
        <w:tabs>
          <w:tab w:val="clear" w:pos="1216"/>
          <w:tab w:val="left" w:pos="426"/>
          <w:tab w:val="num" w:pos="1080"/>
        </w:tabs>
        <w:ind w:left="1080" w:hanging="360"/>
        <w:rPr>
          <w:rFonts w:ascii="Century Gothic" w:hAnsi="Century Gothic" w:cs="Tahoma"/>
          <w:color w:val="0000FF"/>
          <w:sz w:val="20"/>
        </w:rPr>
      </w:pPr>
      <w:r w:rsidRPr="00874046">
        <w:rPr>
          <w:rFonts w:ascii="Century Gothic" w:hAnsi="Century Gothic" w:cs="Tahoma"/>
          <w:color w:val="0000FF"/>
          <w:sz w:val="20"/>
        </w:rPr>
        <w:t>Rachunek przepływów pieniężnych</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Grupa sporządza przepływy metodą pośrednią stosując podział na działalność operacyjną, inwestycyjną i finansową, który przedstawia się następująco:</w:t>
      </w:r>
    </w:p>
    <w:p w:rsidR="00815736" w:rsidRPr="0019063A" w:rsidRDefault="00847AD5" w:rsidP="00847AD5">
      <w:pPr>
        <w:autoSpaceDE w:val="0"/>
        <w:autoSpaceDN w:val="0"/>
        <w:adjustRightInd w:val="0"/>
        <w:ind w:left="709" w:hanging="283"/>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 xml:space="preserve">do działalności operacyjnej Grupa zalicza transakcje i zdarzenia związane z podstawą działania grupy, </w:t>
      </w:r>
    </w:p>
    <w:p w:rsidR="00815736" w:rsidRPr="0019063A" w:rsidRDefault="00847AD5" w:rsidP="00847AD5">
      <w:pPr>
        <w:autoSpaceDE w:val="0"/>
        <w:autoSpaceDN w:val="0"/>
        <w:adjustRightInd w:val="0"/>
        <w:ind w:left="709" w:hanging="283"/>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do działalności inwestycyjnej Grupa zalicza wydatki poniesione na zakup (budowę) lub uzyskane ze sprzedaży przez Grupę aktywów trwałych</w:t>
      </w:r>
      <w:r w:rsidR="00815736">
        <w:rPr>
          <w:rFonts w:ascii="Century Gothic" w:hAnsi="Century Gothic" w:cs="Tahoma"/>
        </w:rPr>
        <w:t>,</w:t>
      </w:r>
      <w:r w:rsidR="00815736" w:rsidRPr="0019063A">
        <w:rPr>
          <w:rFonts w:ascii="Century Gothic" w:hAnsi="Century Gothic" w:cs="Tahoma"/>
        </w:rPr>
        <w:t xml:space="preserve"> </w:t>
      </w:r>
    </w:p>
    <w:p w:rsidR="00815736" w:rsidRPr="0019063A" w:rsidRDefault="00847AD5" w:rsidP="00847AD5">
      <w:pPr>
        <w:autoSpaceDE w:val="0"/>
        <w:autoSpaceDN w:val="0"/>
        <w:adjustRightInd w:val="0"/>
        <w:ind w:left="660" w:hanging="234"/>
        <w:jc w:val="both"/>
        <w:rPr>
          <w:rFonts w:ascii="Century Gothic" w:hAnsi="Century Gothic" w:cs="Tahoma"/>
        </w:rPr>
      </w:pPr>
      <w:r>
        <w:rPr>
          <w:rFonts w:ascii="Century Gothic" w:hAnsi="Century Gothic" w:cs="Tahoma"/>
        </w:rPr>
        <w:t>-</w:t>
      </w:r>
      <w:r>
        <w:rPr>
          <w:rFonts w:ascii="Century Gothic" w:hAnsi="Century Gothic" w:cs="Tahoma"/>
        </w:rPr>
        <w:tab/>
      </w:r>
      <w:r w:rsidR="00815736" w:rsidRPr="0019063A">
        <w:rPr>
          <w:rFonts w:ascii="Century Gothic" w:hAnsi="Century Gothic" w:cs="Tahoma"/>
        </w:rPr>
        <w:t xml:space="preserve">do działalności finansowej zalicza się głównie pozyskiwanie kapitału własnego </w:t>
      </w:r>
      <w:r w:rsidR="00815736" w:rsidRPr="0019063A">
        <w:rPr>
          <w:rFonts w:ascii="Century Gothic" w:hAnsi="Century Gothic" w:cs="Tahoma"/>
        </w:rPr>
        <w:br/>
        <w:t>i kapitałów obcych oraz ich zwrot i obsługę.</w:t>
      </w:r>
    </w:p>
    <w:p w:rsidR="00815736" w:rsidRPr="0019063A" w:rsidRDefault="00815736" w:rsidP="00815736">
      <w:pPr>
        <w:autoSpaceDE w:val="0"/>
        <w:autoSpaceDN w:val="0"/>
        <w:adjustRightInd w:val="0"/>
        <w:ind w:left="426"/>
        <w:jc w:val="both"/>
        <w:rPr>
          <w:rFonts w:ascii="Century Gothic" w:hAnsi="Century Gothic" w:cs="Tahoma"/>
        </w:rPr>
      </w:pPr>
    </w:p>
    <w:p w:rsidR="00815736" w:rsidRPr="00874046" w:rsidRDefault="00815736" w:rsidP="00815736">
      <w:pPr>
        <w:pStyle w:val="Nagwek9"/>
        <w:numPr>
          <w:ilvl w:val="1"/>
          <w:numId w:val="8"/>
        </w:numPr>
        <w:tabs>
          <w:tab w:val="clear" w:pos="1216"/>
          <w:tab w:val="left" w:pos="426"/>
          <w:tab w:val="num" w:pos="1080"/>
        </w:tabs>
        <w:ind w:left="1080"/>
        <w:rPr>
          <w:rFonts w:ascii="Century Gothic" w:hAnsi="Century Gothic" w:cs="Tahoma"/>
          <w:color w:val="0000FF"/>
          <w:sz w:val="20"/>
        </w:rPr>
      </w:pPr>
      <w:r w:rsidRPr="00874046">
        <w:rPr>
          <w:rFonts w:ascii="Century Gothic" w:hAnsi="Century Gothic" w:cs="Tahoma"/>
          <w:color w:val="0000FF"/>
          <w:sz w:val="20"/>
        </w:rPr>
        <w:t>Płatności realizowane w formie akcji</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Płatności w formie akcji rozliczane w instrumentach kapitałowych na rzecz Zarządu oraz pracowników wycenia się w wartości godziwej instrumentów kapitałowych na dzień ich przyznania. Do wyznaczania wartości uprawnień używa się technik symulacji Monte Carlo oraz wzorów analitycznych.</w:t>
      </w:r>
    </w:p>
    <w:p w:rsidR="00815736" w:rsidRPr="0019063A" w:rsidRDefault="00815736" w:rsidP="00815736">
      <w:pPr>
        <w:autoSpaceDE w:val="0"/>
        <w:autoSpaceDN w:val="0"/>
        <w:adjustRightInd w:val="0"/>
        <w:ind w:left="426"/>
        <w:jc w:val="both"/>
        <w:rPr>
          <w:rFonts w:ascii="Century Gothic" w:hAnsi="Century Gothic" w:cs="Tahoma"/>
        </w:rPr>
      </w:pPr>
      <w:r w:rsidRPr="0019063A">
        <w:rPr>
          <w:rFonts w:ascii="Century Gothic" w:hAnsi="Century Gothic" w:cs="Tahoma"/>
        </w:rPr>
        <w:t>Wartość godziwą płatności w formie akcji rozliczanych w instrumentach kapitałowych określoną w dniu ich przyznania odnosi się w koszty metodą liniową w okresie nabywania uprawnień, na podstawie oszacowań Spółki co do instrumentów kapitałowych, które ostatecznie zostaną nabyte. Na każdy dzień bilansowy Grupa weryfikuje oszacowania dotyczące liczby instrumentów kapitałowych przewidywanych do przyznania. Ewentualny wpływ weryfikacji pierwotnych oszacowań ujmuje się w rachunku zysków i strat przez pozostały okres przyznania.</w:t>
      </w:r>
    </w:p>
    <w:p w:rsidR="00815736" w:rsidRPr="0019063A" w:rsidRDefault="00815736" w:rsidP="00815736">
      <w:pPr>
        <w:autoSpaceDE w:val="0"/>
        <w:autoSpaceDN w:val="0"/>
        <w:adjustRightInd w:val="0"/>
        <w:jc w:val="both"/>
        <w:rPr>
          <w:rFonts w:ascii="Century Gothic" w:hAnsi="Century Gothic" w:cs="Tahoma"/>
        </w:rPr>
      </w:pPr>
    </w:p>
    <w:p w:rsidR="00815736" w:rsidRDefault="00815736" w:rsidP="00815736">
      <w:pPr>
        <w:pStyle w:val="Nagwek9"/>
        <w:numPr>
          <w:ilvl w:val="1"/>
          <w:numId w:val="8"/>
        </w:numPr>
        <w:tabs>
          <w:tab w:val="clear" w:pos="1216"/>
          <w:tab w:val="left" w:pos="426"/>
          <w:tab w:val="num" w:pos="1080"/>
        </w:tabs>
        <w:ind w:left="1080"/>
        <w:rPr>
          <w:rFonts w:ascii="Century Gothic" w:hAnsi="Century Gothic" w:cs="Tahoma"/>
          <w:color w:val="0000FF"/>
          <w:sz w:val="20"/>
        </w:rPr>
      </w:pPr>
      <w:r w:rsidRPr="00AF2298">
        <w:rPr>
          <w:rFonts w:ascii="Century Gothic" w:hAnsi="Century Gothic" w:cs="Tahoma"/>
          <w:color w:val="0000FF"/>
          <w:sz w:val="20"/>
        </w:rPr>
        <w:t>Kontrakty budowlane</w:t>
      </w:r>
    </w:p>
    <w:p w:rsidR="00815736" w:rsidRPr="00AF2298" w:rsidRDefault="00815736" w:rsidP="00815736">
      <w:pPr>
        <w:autoSpaceDE w:val="0"/>
        <w:autoSpaceDN w:val="0"/>
        <w:adjustRightInd w:val="0"/>
        <w:ind w:left="426"/>
        <w:jc w:val="both"/>
        <w:rPr>
          <w:rFonts w:ascii="Century Gothic" w:hAnsi="Century Gothic" w:cs="Tahoma"/>
        </w:rPr>
      </w:pPr>
      <w:r w:rsidRPr="00AF2298">
        <w:rPr>
          <w:rFonts w:ascii="Century Gothic" w:hAnsi="Century Gothic" w:cs="Tahoma"/>
        </w:rPr>
        <w:t xml:space="preserve">Grupa rozpoznaje przychody z tytułu wykonywanych kontraktów budowlanych zgodnie z metodą stopnia zaawansowania usługi. Stopień zaawansowania ocenia się poprzez obmiar wykonanych prac. </w:t>
      </w:r>
    </w:p>
    <w:p w:rsidR="00815736" w:rsidRPr="00AF2298" w:rsidRDefault="00815736" w:rsidP="00815736">
      <w:pPr>
        <w:autoSpaceDE w:val="0"/>
        <w:autoSpaceDN w:val="0"/>
        <w:adjustRightInd w:val="0"/>
        <w:ind w:left="426"/>
        <w:jc w:val="both"/>
        <w:rPr>
          <w:rFonts w:ascii="Century Gothic" w:hAnsi="Century Gothic" w:cs="Tahoma"/>
        </w:rPr>
      </w:pPr>
      <w:r w:rsidRPr="00AF2298">
        <w:rPr>
          <w:rFonts w:ascii="Century Gothic" w:hAnsi="Century Gothic" w:cs="Tahoma"/>
        </w:rPr>
        <w:lastRenderedPageBreak/>
        <w:t xml:space="preserve">W przypadku wystąpienia różnicy pomiędzy wartością zafakturowanych przychodów, a wartością przychodów obliczoną metodą stopnia zaawansowania na danym kontrakcie Spółka odpowiednio koryguje wartość przychodów ze sprzedaży, odnosząc różnicę na czynne rozliczenia międzyokresowe lub rozliczenia międzyokresowe przychodów. </w:t>
      </w:r>
    </w:p>
    <w:p w:rsidR="00815736" w:rsidRDefault="00815736" w:rsidP="00815736">
      <w:pPr>
        <w:autoSpaceDE w:val="0"/>
        <w:autoSpaceDN w:val="0"/>
        <w:adjustRightInd w:val="0"/>
        <w:ind w:left="426"/>
        <w:jc w:val="both"/>
        <w:rPr>
          <w:rFonts w:ascii="Century Gothic" w:hAnsi="Century Gothic" w:cs="Tahoma"/>
        </w:rPr>
      </w:pPr>
      <w:r w:rsidRPr="00AF2298">
        <w:rPr>
          <w:rFonts w:ascii="Century Gothic" w:hAnsi="Century Gothic" w:cs="Tahoma"/>
        </w:rPr>
        <w:t>W przypadku, kiedy istnieje prawdopodobieństwo, iż łączne koszty związane z realizacją kontraktu przekroczą łączne przychody, przewidywana strata (nadwyżka kosztów nad przychodami) jest ujmowana w rozliczeniach międzyokresowych biernych jako rezerwa na straty na kontrakcie i obciąża koszty operacyjne.</w:t>
      </w:r>
    </w:p>
    <w:p w:rsidR="00815736" w:rsidRDefault="00815736" w:rsidP="00815736">
      <w:pPr>
        <w:autoSpaceDE w:val="0"/>
        <w:autoSpaceDN w:val="0"/>
        <w:adjustRightInd w:val="0"/>
        <w:ind w:left="426"/>
        <w:jc w:val="both"/>
        <w:rPr>
          <w:rFonts w:ascii="Century Gothic" w:hAnsi="Century Gothic" w:cs="Tahoma"/>
        </w:rPr>
      </w:pPr>
    </w:p>
    <w:p w:rsidR="00815736" w:rsidRDefault="00815736" w:rsidP="00815736">
      <w:pPr>
        <w:pStyle w:val="Nagwek9"/>
        <w:numPr>
          <w:ilvl w:val="1"/>
          <w:numId w:val="8"/>
        </w:numPr>
        <w:tabs>
          <w:tab w:val="clear" w:pos="1216"/>
          <w:tab w:val="left" w:pos="426"/>
          <w:tab w:val="num" w:pos="1080"/>
        </w:tabs>
        <w:ind w:left="1080"/>
        <w:rPr>
          <w:rFonts w:ascii="Century Gothic" w:hAnsi="Century Gothic" w:cs="Tahoma"/>
          <w:color w:val="0000FF"/>
          <w:sz w:val="20"/>
        </w:rPr>
      </w:pPr>
      <w:r w:rsidRPr="00AF2298">
        <w:rPr>
          <w:rFonts w:ascii="Century Gothic" w:hAnsi="Century Gothic" w:cs="Tahoma"/>
          <w:color w:val="0000FF"/>
          <w:sz w:val="20"/>
        </w:rPr>
        <w:t>Ujęcie i wycena świadectw pochodzenia energii</w:t>
      </w:r>
    </w:p>
    <w:p w:rsidR="00815736" w:rsidRPr="00AF2298" w:rsidRDefault="00815736" w:rsidP="00815736">
      <w:pPr>
        <w:autoSpaceDE w:val="0"/>
        <w:autoSpaceDN w:val="0"/>
        <w:adjustRightInd w:val="0"/>
        <w:ind w:left="426"/>
        <w:jc w:val="both"/>
        <w:rPr>
          <w:rFonts w:ascii="Century Gothic" w:hAnsi="Century Gothic" w:cs="Tahoma"/>
        </w:rPr>
      </w:pPr>
      <w:r w:rsidRPr="00AF2298">
        <w:rPr>
          <w:rFonts w:ascii="Century Gothic" w:hAnsi="Century Gothic" w:cs="Tahoma"/>
        </w:rPr>
        <w:t>Prawa majątkowe wynikające ze świadectw pochodzenia energii elektrycznej wytworzonej</w:t>
      </w:r>
    </w:p>
    <w:p w:rsidR="00815736" w:rsidRPr="00AF2298" w:rsidRDefault="00815736" w:rsidP="00815736">
      <w:pPr>
        <w:autoSpaceDE w:val="0"/>
        <w:autoSpaceDN w:val="0"/>
        <w:adjustRightInd w:val="0"/>
        <w:ind w:left="426"/>
        <w:jc w:val="both"/>
        <w:rPr>
          <w:rFonts w:ascii="Century Gothic" w:hAnsi="Century Gothic" w:cs="Tahoma"/>
        </w:rPr>
      </w:pPr>
      <w:r w:rsidRPr="00AF2298">
        <w:rPr>
          <w:rFonts w:ascii="Century Gothic" w:hAnsi="Century Gothic" w:cs="Tahoma"/>
        </w:rPr>
        <w:t xml:space="preserve">z odnawialnych źródeł energii ujmuje się w księgach rachunkowych i wykazuje w sprawozdaniu finansowym jako wyodrębniony składnik aktywów, w/w prawa kwalifikuje się i zalicza do towarów. Prawa majątkowe ujmuje się w księgach rachunkowych w miesiącu produkcji energii elektrycznej z odnawialnych źródeł energii i wycenia się je jako iloczyn ilości wyprodukowanych praw i jednostkowej ceny rynkowej prawa majątkowego wynikającego ze świadectwa pochodzenia z miesiąca produkcji. </w:t>
      </w:r>
      <w:r>
        <w:rPr>
          <w:rFonts w:ascii="Century Gothic" w:hAnsi="Century Gothic" w:cs="Tahoma"/>
        </w:rPr>
        <w:t xml:space="preserve">W przypadku gdy sprzedaż świadectw odbywa się na podstawie podpisanych umów, cenę rynkową stanowi cena wynikająca z umowy. </w:t>
      </w:r>
      <w:r w:rsidRPr="00AF2298">
        <w:rPr>
          <w:rFonts w:ascii="Century Gothic" w:hAnsi="Century Gothic" w:cs="Tahoma"/>
        </w:rPr>
        <w:t>Drugostronne ujęcie przyznanych praw majątkowych ze świadectwa pochodzenia następuje przez uznanie przychodu ze sprzedaży,</w:t>
      </w:r>
    </w:p>
    <w:p w:rsidR="006C6C3A" w:rsidRDefault="00815736" w:rsidP="00815736">
      <w:pPr>
        <w:autoSpaceDE w:val="0"/>
        <w:autoSpaceDN w:val="0"/>
        <w:adjustRightInd w:val="0"/>
        <w:ind w:left="426"/>
        <w:jc w:val="both"/>
        <w:rPr>
          <w:rFonts w:ascii="Century Gothic" w:hAnsi="Century Gothic" w:cs="Tahoma"/>
        </w:rPr>
      </w:pPr>
      <w:r w:rsidRPr="00AF2298">
        <w:rPr>
          <w:rFonts w:ascii="Century Gothic" w:hAnsi="Century Gothic" w:cs="Tahoma"/>
        </w:rPr>
        <w:t>Wartość rozchodów praw majątkowych wynikających ze świadectw poc</w:t>
      </w:r>
      <w:r>
        <w:rPr>
          <w:rFonts w:ascii="Century Gothic" w:hAnsi="Century Gothic" w:cs="Tahoma"/>
        </w:rPr>
        <w:t>hodzenia ustala się metodą FIFO.</w:t>
      </w:r>
    </w:p>
    <w:p w:rsidR="00815736" w:rsidRDefault="00815736" w:rsidP="00815736">
      <w:pPr>
        <w:autoSpaceDE w:val="0"/>
        <w:autoSpaceDN w:val="0"/>
        <w:adjustRightInd w:val="0"/>
        <w:jc w:val="both"/>
        <w:rPr>
          <w:rFonts w:ascii="Century Gothic" w:hAnsi="Century Gothic" w:cs="Tahoma"/>
        </w:rPr>
      </w:pPr>
    </w:p>
    <w:p w:rsidR="00392A7A" w:rsidRPr="00874046" w:rsidRDefault="00392A7A" w:rsidP="003A18AB">
      <w:pPr>
        <w:pStyle w:val="Nagwek2"/>
        <w:numPr>
          <w:ilvl w:val="0"/>
          <w:numId w:val="8"/>
        </w:numPr>
        <w:ind w:left="502"/>
        <w:jc w:val="both"/>
        <w:rPr>
          <w:rFonts w:ascii="Century Gothic" w:hAnsi="Century Gothic"/>
          <w:bCs/>
          <w:i w:val="0"/>
          <w:color w:val="0000FF"/>
          <w:sz w:val="20"/>
        </w:rPr>
      </w:pPr>
      <w:bookmarkStart w:id="27" w:name="_Toc292971713"/>
      <w:bookmarkStart w:id="28" w:name="_Toc225761435"/>
      <w:bookmarkStart w:id="29" w:name="_Toc260311318"/>
      <w:bookmarkStart w:id="30" w:name="_Toc387945900"/>
      <w:bookmarkEnd w:id="27"/>
      <w:r w:rsidRPr="00874046">
        <w:rPr>
          <w:rFonts w:ascii="Century Gothic" w:hAnsi="Century Gothic"/>
          <w:bCs/>
          <w:i w:val="0"/>
          <w:color w:val="0000FF"/>
          <w:sz w:val="20"/>
        </w:rPr>
        <w:t>ZARZĄDZANIE RYZYKIEM FINANSOWYM I KAPITAŁOWYM</w:t>
      </w:r>
      <w:bookmarkEnd w:id="28"/>
      <w:bookmarkEnd w:id="29"/>
      <w:bookmarkEnd w:id="30"/>
    </w:p>
    <w:p w:rsidR="00BF28B4" w:rsidRPr="0019063A" w:rsidRDefault="00BF28B4" w:rsidP="00392A7A">
      <w:pPr>
        <w:pStyle w:val="Tekstblokowy"/>
        <w:ind w:left="0"/>
        <w:rPr>
          <w:rFonts w:ascii="Century Gothic" w:hAnsi="Century Gothic" w:cs="Tahoma"/>
          <w:bCs/>
          <w:color w:val="auto"/>
          <w:sz w:val="20"/>
        </w:rPr>
      </w:pPr>
    </w:p>
    <w:p w:rsidR="00815736" w:rsidRPr="00772AAD" w:rsidRDefault="00815736" w:rsidP="00815736">
      <w:pPr>
        <w:pStyle w:val="Tekstblokowy"/>
        <w:numPr>
          <w:ilvl w:val="1"/>
          <w:numId w:val="39"/>
        </w:numPr>
        <w:rPr>
          <w:rFonts w:ascii="Century Gothic" w:hAnsi="Century Gothic" w:cs="Tahoma"/>
          <w:b/>
          <w:bCs/>
          <w:color w:val="0000FF"/>
          <w:sz w:val="20"/>
        </w:rPr>
      </w:pPr>
      <w:r w:rsidRPr="00772AAD">
        <w:rPr>
          <w:rFonts w:ascii="Century Gothic" w:hAnsi="Century Gothic" w:cs="Tahoma"/>
          <w:b/>
          <w:bCs/>
          <w:color w:val="0000FF"/>
          <w:sz w:val="20"/>
        </w:rPr>
        <w:t xml:space="preserve">Ryzyko finansowe </w:t>
      </w:r>
    </w:p>
    <w:p w:rsidR="00815736" w:rsidRPr="0019063A" w:rsidRDefault="00815736" w:rsidP="00815736">
      <w:pPr>
        <w:pStyle w:val="Tekstblokowy"/>
        <w:rPr>
          <w:rFonts w:ascii="Century Gothic" w:hAnsi="Century Gothic" w:cs="Tahoma"/>
          <w:bCs/>
          <w:color w:val="auto"/>
          <w:sz w:val="20"/>
        </w:rPr>
      </w:pPr>
    </w:p>
    <w:p w:rsidR="00815736" w:rsidRPr="0019063A" w:rsidRDefault="00815736" w:rsidP="00815736">
      <w:pPr>
        <w:pStyle w:val="Tekstblokowy"/>
        <w:rPr>
          <w:rFonts w:ascii="Century Gothic" w:hAnsi="Century Gothic" w:cs="Tahoma"/>
          <w:bCs/>
          <w:color w:val="auto"/>
          <w:sz w:val="20"/>
        </w:rPr>
      </w:pPr>
      <w:r w:rsidRPr="0019063A">
        <w:rPr>
          <w:rFonts w:ascii="Century Gothic" w:hAnsi="Century Gothic" w:cs="Tahoma"/>
          <w:bCs/>
          <w:color w:val="auto"/>
          <w:sz w:val="20"/>
        </w:rPr>
        <w:t xml:space="preserve">Działalność </w:t>
      </w:r>
      <w:r>
        <w:rPr>
          <w:rFonts w:ascii="Century Gothic" w:hAnsi="Century Gothic" w:cs="Tahoma"/>
          <w:bCs/>
          <w:color w:val="auto"/>
          <w:sz w:val="20"/>
        </w:rPr>
        <w:t>spółki</w:t>
      </w:r>
      <w:r w:rsidRPr="0019063A">
        <w:rPr>
          <w:rFonts w:ascii="Century Gothic" w:hAnsi="Century Gothic" w:cs="Tahoma"/>
          <w:bCs/>
          <w:color w:val="auto"/>
          <w:sz w:val="20"/>
        </w:rPr>
        <w:t xml:space="preserve"> narażona jest na różne rodzaje ryzyka finansowego a w szczególności:</w:t>
      </w:r>
    </w:p>
    <w:p w:rsidR="00815736" w:rsidRPr="0019063A" w:rsidRDefault="00815736" w:rsidP="00815736">
      <w:pPr>
        <w:pStyle w:val="Tekstblokowy"/>
        <w:rPr>
          <w:rFonts w:ascii="Century Gothic" w:hAnsi="Century Gothic" w:cs="Tahoma"/>
          <w:bCs/>
          <w:color w:val="auto"/>
          <w:sz w:val="20"/>
        </w:rPr>
      </w:pPr>
      <w:r w:rsidRPr="0019063A">
        <w:rPr>
          <w:rFonts w:ascii="Century Gothic" w:hAnsi="Century Gothic" w:cs="Tahoma"/>
          <w:bCs/>
          <w:color w:val="auto"/>
          <w:sz w:val="20"/>
        </w:rPr>
        <w:t>A.     ryzyko zmiany stóp procentowych;</w:t>
      </w:r>
    </w:p>
    <w:p w:rsidR="00815736" w:rsidRPr="0019063A" w:rsidRDefault="00815736" w:rsidP="00815736">
      <w:pPr>
        <w:pStyle w:val="Tekstblokowy"/>
        <w:ind w:hanging="426"/>
        <w:rPr>
          <w:rFonts w:ascii="Century Gothic" w:hAnsi="Century Gothic" w:cs="Tahoma"/>
          <w:bCs/>
          <w:color w:val="auto"/>
          <w:sz w:val="20"/>
        </w:rPr>
      </w:pPr>
      <w:r w:rsidRPr="0019063A">
        <w:rPr>
          <w:rFonts w:ascii="Century Gothic" w:hAnsi="Century Gothic" w:cs="Tahoma"/>
          <w:bCs/>
          <w:color w:val="auto"/>
          <w:sz w:val="20"/>
        </w:rPr>
        <w:tab/>
        <w:t>B.      ryzyko kredytowe;</w:t>
      </w:r>
    </w:p>
    <w:p w:rsidR="00815736" w:rsidRPr="0019063A" w:rsidRDefault="00815736" w:rsidP="00815736">
      <w:pPr>
        <w:pStyle w:val="Tekstblokowy"/>
        <w:rPr>
          <w:rFonts w:ascii="Century Gothic" w:hAnsi="Century Gothic" w:cs="Tahoma"/>
          <w:bCs/>
          <w:color w:val="auto"/>
          <w:sz w:val="20"/>
        </w:rPr>
      </w:pPr>
      <w:r w:rsidRPr="0019063A">
        <w:rPr>
          <w:rFonts w:ascii="Century Gothic" w:hAnsi="Century Gothic" w:cs="Tahoma"/>
          <w:bCs/>
          <w:color w:val="auto"/>
          <w:sz w:val="20"/>
        </w:rPr>
        <w:t>C.</w:t>
      </w:r>
      <w:r w:rsidRPr="0019063A">
        <w:rPr>
          <w:rFonts w:ascii="Century Gothic" w:hAnsi="Century Gothic" w:cs="Tahoma"/>
          <w:bCs/>
          <w:color w:val="auto"/>
          <w:sz w:val="20"/>
        </w:rPr>
        <w:tab/>
        <w:t xml:space="preserve">    ryzyko kursowe;</w:t>
      </w:r>
      <w:r w:rsidRPr="0019063A">
        <w:rPr>
          <w:rFonts w:ascii="Century Gothic" w:hAnsi="Century Gothic" w:cs="Tahoma"/>
          <w:bCs/>
          <w:color w:val="auto"/>
          <w:sz w:val="20"/>
        </w:rPr>
        <w:tab/>
      </w:r>
    </w:p>
    <w:p w:rsidR="00815736" w:rsidRPr="0019063A" w:rsidRDefault="00815736" w:rsidP="00815736">
      <w:pPr>
        <w:pStyle w:val="Tekstblokowy"/>
        <w:ind w:hanging="426"/>
        <w:rPr>
          <w:rFonts w:ascii="Century Gothic" w:hAnsi="Century Gothic" w:cs="Tahoma"/>
          <w:bCs/>
          <w:color w:val="auto"/>
          <w:sz w:val="20"/>
        </w:rPr>
      </w:pPr>
      <w:r w:rsidRPr="0019063A">
        <w:rPr>
          <w:rFonts w:ascii="Century Gothic" w:hAnsi="Century Gothic" w:cs="Tahoma"/>
          <w:bCs/>
          <w:color w:val="auto"/>
          <w:sz w:val="20"/>
        </w:rPr>
        <w:tab/>
        <w:t>D.     ryzyko utraty płynności</w:t>
      </w:r>
      <w:r>
        <w:rPr>
          <w:rFonts w:ascii="Century Gothic" w:hAnsi="Century Gothic" w:cs="Tahoma"/>
          <w:bCs/>
          <w:color w:val="auto"/>
          <w:sz w:val="20"/>
        </w:rPr>
        <w:t>.</w:t>
      </w:r>
    </w:p>
    <w:p w:rsidR="00096C8F" w:rsidRDefault="00096C8F" w:rsidP="00815736">
      <w:pPr>
        <w:pStyle w:val="Tekstblokowy"/>
        <w:rPr>
          <w:rFonts w:ascii="Century Gothic" w:hAnsi="Century Gothic" w:cs="Tahoma"/>
          <w:b/>
          <w:bCs/>
          <w:color w:val="0000FF"/>
          <w:sz w:val="20"/>
          <w:u w:val="single"/>
        </w:rPr>
      </w:pPr>
    </w:p>
    <w:p w:rsidR="00815736" w:rsidRPr="00772AAD" w:rsidRDefault="00815736" w:rsidP="00815736">
      <w:pPr>
        <w:pStyle w:val="Tekstblokowy"/>
        <w:rPr>
          <w:rFonts w:ascii="Century Gothic" w:hAnsi="Century Gothic" w:cs="Tahoma"/>
          <w:b/>
          <w:bCs/>
          <w:color w:val="0000FF"/>
          <w:sz w:val="20"/>
          <w:u w:val="single"/>
        </w:rPr>
      </w:pPr>
      <w:r w:rsidRPr="00772AAD">
        <w:rPr>
          <w:rFonts w:ascii="Century Gothic" w:hAnsi="Century Gothic" w:cs="Tahoma"/>
          <w:b/>
          <w:bCs/>
          <w:color w:val="0000FF"/>
          <w:sz w:val="20"/>
          <w:u w:val="single"/>
        </w:rPr>
        <w:t>A. Ryzyko zmian stóp procentowych</w:t>
      </w:r>
    </w:p>
    <w:p w:rsidR="00815736" w:rsidRDefault="00815736" w:rsidP="00815736">
      <w:pPr>
        <w:pStyle w:val="Tekstblokowy"/>
        <w:rPr>
          <w:rFonts w:ascii="Century Gothic" w:hAnsi="Century Gothic" w:cs="Tahoma"/>
          <w:bCs/>
          <w:color w:val="auto"/>
          <w:sz w:val="20"/>
        </w:rPr>
      </w:pPr>
    </w:p>
    <w:p w:rsidR="00815736" w:rsidRDefault="00815736" w:rsidP="00815736">
      <w:pPr>
        <w:pStyle w:val="Tekstblokowy"/>
        <w:rPr>
          <w:rFonts w:ascii="Century Gothic" w:hAnsi="Century Gothic" w:cs="Tahoma"/>
          <w:bCs/>
          <w:color w:val="auto"/>
          <w:sz w:val="20"/>
        </w:rPr>
      </w:pPr>
      <w:r>
        <w:rPr>
          <w:rFonts w:ascii="Century Gothic" w:hAnsi="Century Gothic" w:cs="Tahoma"/>
          <w:bCs/>
          <w:color w:val="auto"/>
          <w:sz w:val="20"/>
        </w:rPr>
        <w:t xml:space="preserve">Dla </w:t>
      </w:r>
      <w:r w:rsidRPr="00FC35A8">
        <w:rPr>
          <w:rFonts w:ascii="Century Gothic" w:hAnsi="Century Gothic" w:cs="Tahoma"/>
          <w:bCs/>
          <w:color w:val="auto"/>
          <w:sz w:val="20"/>
        </w:rPr>
        <w:t>posiadan</w:t>
      </w:r>
      <w:r>
        <w:rPr>
          <w:rFonts w:ascii="Century Gothic" w:hAnsi="Century Gothic" w:cs="Tahoma"/>
          <w:bCs/>
          <w:color w:val="auto"/>
          <w:sz w:val="20"/>
        </w:rPr>
        <w:t>ego</w:t>
      </w:r>
      <w:r w:rsidRPr="00FC35A8">
        <w:rPr>
          <w:rFonts w:ascii="Century Gothic" w:hAnsi="Century Gothic" w:cs="Tahoma"/>
          <w:bCs/>
          <w:color w:val="auto"/>
          <w:sz w:val="20"/>
        </w:rPr>
        <w:t xml:space="preserve"> zadłużenia finansowego, dla którego odsetki liczone są na bazie zmiennej stopy procentowej</w:t>
      </w:r>
      <w:r>
        <w:rPr>
          <w:rFonts w:ascii="Century Gothic" w:hAnsi="Century Gothic" w:cs="Tahoma"/>
          <w:bCs/>
          <w:color w:val="auto"/>
          <w:sz w:val="20"/>
        </w:rPr>
        <w:t>,</w:t>
      </w:r>
      <w:r w:rsidRPr="00FC35A8">
        <w:rPr>
          <w:rFonts w:ascii="Century Gothic" w:hAnsi="Century Gothic" w:cs="Tahoma"/>
          <w:bCs/>
          <w:color w:val="auto"/>
          <w:sz w:val="20"/>
        </w:rPr>
        <w:t xml:space="preserve"> występuje ryzyko wzrostu tych stóp w stosunku do poziomu </w:t>
      </w:r>
      <w:r w:rsidRPr="00FC35A8">
        <w:rPr>
          <w:rFonts w:ascii="Century Gothic" w:hAnsi="Century Gothic" w:cs="Tahoma"/>
          <w:bCs/>
          <w:color w:val="auto"/>
          <w:sz w:val="20"/>
        </w:rPr>
        <w:br/>
      </w:r>
      <w:r>
        <w:rPr>
          <w:rFonts w:ascii="Century Gothic" w:hAnsi="Century Gothic" w:cs="Tahoma"/>
          <w:bCs/>
          <w:color w:val="auto"/>
          <w:sz w:val="20"/>
        </w:rPr>
        <w:t>z dnia</w:t>
      </w:r>
      <w:r w:rsidRPr="001A78A6">
        <w:rPr>
          <w:rFonts w:ascii="Century Gothic" w:hAnsi="Century Gothic" w:cs="Tahoma"/>
          <w:bCs/>
          <w:color w:val="auto"/>
          <w:sz w:val="20"/>
        </w:rPr>
        <w:t xml:space="preserve"> zawarcia umowy. </w:t>
      </w:r>
      <w:r>
        <w:rPr>
          <w:rFonts w:ascii="Century Gothic" w:hAnsi="Century Gothic" w:cs="Tahoma"/>
          <w:bCs/>
          <w:color w:val="auto"/>
          <w:sz w:val="20"/>
        </w:rPr>
        <w:t>Z kolei dla zobowiązań finansowych oprocentowanych wg stałej stopy procentowej ryzyko wiąże się ze spadkiem rynkowych stóp procentowych.</w:t>
      </w:r>
    </w:p>
    <w:p w:rsidR="00815736" w:rsidRDefault="00815736" w:rsidP="00815736">
      <w:pPr>
        <w:pStyle w:val="Tekstblokowy"/>
        <w:rPr>
          <w:rFonts w:ascii="Century Gothic" w:hAnsi="Century Gothic"/>
          <w:color w:val="auto"/>
          <w:sz w:val="20"/>
        </w:rPr>
      </w:pPr>
    </w:p>
    <w:p w:rsidR="00815736" w:rsidRDefault="00815736" w:rsidP="00815736">
      <w:pPr>
        <w:pStyle w:val="Tekstblokowy"/>
        <w:rPr>
          <w:rFonts w:ascii="Century Gothic" w:hAnsi="Century Gothic"/>
          <w:color w:val="auto"/>
          <w:sz w:val="20"/>
        </w:rPr>
      </w:pPr>
      <w:r>
        <w:rPr>
          <w:rFonts w:ascii="Century Gothic" w:hAnsi="Century Gothic"/>
          <w:color w:val="auto"/>
          <w:sz w:val="20"/>
        </w:rPr>
        <w:t>Zmiana oprocentowania o +/- 1 punkt procentowy w przypadku zobowiązań spółki wpłynęłaby na wynik następująco:</w:t>
      </w:r>
    </w:p>
    <w:p w:rsidR="00665AF4" w:rsidRDefault="00665AF4" w:rsidP="00815736">
      <w:pPr>
        <w:pStyle w:val="Tekstblokowy"/>
        <w:rPr>
          <w:rFonts w:ascii="Century Gothic" w:hAnsi="Century Gothic"/>
          <w:color w:val="auto"/>
          <w:sz w:val="20"/>
        </w:rPr>
      </w:pPr>
    </w:p>
    <w:p w:rsidR="00815736" w:rsidRPr="00FF7948" w:rsidRDefault="00665AF4" w:rsidP="00815736">
      <w:pPr>
        <w:pStyle w:val="Tekstblokowy"/>
      </w:pPr>
      <w:r w:rsidRPr="00665AF4">
        <w:rPr>
          <w:noProof/>
        </w:rPr>
        <w:drawing>
          <wp:inline distT="0" distB="0" distL="0" distR="0">
            <wp:extent cx="5382883" cy="2501154"/>
            <wp:effectExtent l="0" t="0" r="889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2820" cy="2501125"/>
                    </a:xfrm>
                    <a:prstGeom prst="rect">
                      <a:avLst/>
                    </a:prstGeom>
                    <a:noFill/>
                    <a:ln>
                      <a:noFill/>
                    </a:ln>
                  </pic:spPr>
                </pic:pic>
              </a:graphicData>
            </a:graphic>
          </wp:inline>
        </w:drawing>
      </w:r>
    </w:p>
    <w:p w:rsidR="00815736" w:rsidRPr="003C0D28" w:rsidRDefault="00815736" w:rsidP="00815736">
      <w:pPr>
        <w:pStyle w:val="Tekstblokowy"/>
        <w:rPr>
          <w:color w:val="auto"/>
        </w:rPr>
      </w:pPr>
    </w:p>
    <w:p w:rsidR="00815736" w:rsidRPr="00772AAD" w:rsidRDefault="00815736" w:rsidP="00815736">
      <w:pPr>
        <w:pStyle w:val="Tekstblokowy"/>
        <w:rPr>
          <w:rFonts w:ascii="Century Gothic" w:hAnsi="Century Gothic" w:cs="Tahoma"/>
          <w:b/>
          <w:bCs/>
          <w:color w:val="0000FF"/>
          <w:sz w:val="20"/>
          <w:u w:val="single"/>
        </w:rPr>
      </w:pPr>
      <w:r w:rsidRPr="00772AAD">
        <w:rPr>
          <w:rFonts w:ascii="Century Gothic" w:hAnsi="Century Gothic" w:cs="Tahoma"/>
          <w:b/>
          <w:bCs/>
          <w:color w:val="0000FF"/>
          <w:sz w:val="20"/>
          <w:u w:val="single"/>
        </w:rPr>
        <w:t>B. Ryzyko kredytowe</w:t>
      </w:r>
    </w:p>
    <w:p w:rsidR="00815736" w:rsidRDefault="00815736" w:rsidP="00815736">
      <w:pPr>
        <w:pStyle w:val="Tekstblokowy"/>
        <w:rPr>
          <w:rFonts w:ascii="Century Gothic" w:hAnsi="Century Gothic" w:cs="Tahoma"/>
          <w:bCs/>
          <w:color w:val="auto"/>
          <w:sz w:val="20"/>
        </w:rPr>
      </w:pPr>
    </w:p>
    <w:p w:rsidR="00815736" w:rsidRDefault="00815736" w:rsidP="00815736">
      <w:pPr>
        <w:pStyle w:val="Tekstblokowy"/>
        <w:rPr>
          <w:rFonts w:ascii="Century Gothic" w:hAnsi="Century Gothic" w:cs="Tahoma"/>
          <w:bCs/>
          <w:color w:val="auto"/>
          <w:sz w:val="20"/>
        </w:rPr>
      </w:pPr>
      <w:r>
        <w:rPr>
          <w:rFonts w:ascii="Century Gothic" w:hAnsi="Century Gothic" w:cs="Tahoma"/>
          <w:bCs/>
          <w:color w:val="auto"/>
          <w:sz w:val="20"/>
        </w:rPr>
        <w:t xml:space="preserve">Ryzyko kredytowe Grupy związane jest przede wszystkim z należnościami z dostaw i usług. </w:t>
      </w:r>
      <w:r w:rsidRPr="001A78A6">
        <w:rPr>
          <w:rFonts w:ascii="Century Gothic" w:hAnsi="Century Gothic" w:cs="Tahoma"/>
          <w:bCs/>
          <w:color w:val="auto"/>
          <w:sz w:val="20"/>
        </w:rPr>
        <w:t>Na</w:t>
      </w:r>
      <w:r>
        <w:rPr>
          <w:rFonts w:ascii="Century Gothic" w:hAnsi="Century Gothic" w:cs="Tahoma"/>
          <w:bCs/>
          <w:color w:val="auto"/>
          <w:sz w:val="20"/>
        </w:rPr>
        <w:t>leżności te poddawane są ciągłemu</w:t>
      </w:r>
      <w:r w:rsidRPr="001A78A6">
        <w:rPr>
          <w:rFonts w:ascii="Century Gothic" w:hAnsi="Century Gothic" w:cs="Tahoma"/>
          <w:bCs/>
          <w:color w:val="auto"/>
          <w:sz w:val="20"/>
        </w:rPr>
        <w:t xml:space="preserve"> monitoringowi</w:t>
      </w:r>
      <w:r>
        <w:rPr>
          <w:rFonts w:ascii="Century Gothic" w:hAnsi="Century Gothic" w:cs="Tahoma"/>
          <w:bCs/>
          <w:color w:val="auto"/>
          <w:sz w:val="20"/>
        </w:rPr>
        <w:t>. Analizowana jest struktura wiekowa należności oraz kondycja finansowa dłużników.</w:t>
      </w:r>
    </w:p>
    <w:p w:rsidR="00665AF4" w:rsidRDefault="00665AF4" w:rsidP="00815736">
      <w:pPr>
        <w:pStyle w:val="Tekstblokowy"/>
        <w:rPr>
          <w:rFonts w:ascii="Century Gothic" w:hAnsi="Century Gothic" w:cs="Tahoma"/>
          <w:bCs/>
          <w:color w:val="auto"/>
          <w:sz w:val="20"/>
        </w:rPr>
      </w:pPr>
    </w:p>
    <w:p w:rsidR="00815736" w:rsidRPr="00FF7948" w:rsidRDefault="00815736" w:rsidP="00815736">
      <w:pPr>
        <w:pStyle w:val="Tekstblokowy"/>
      </w:pPr>
      <w:r w:rsidRPr="0019063A">
        <w:rPr>
          <w:color w:val="auto"/>
          <w:sz w:val="20"/>
        </w:rPr>
        <w:t xml:space="preserve">    </w:t>
      </w:r>
      <w:r w:rsidR="00665AF4" w:rsidRPr="00665AF4">
        <w:rPr>
          <w:noProof/>
        </w:rPr>
        <w:drawing>
          <wp:inline distT="0" distB="0" distL="0" distR="0">
            <wp:extent cx="5046345" cy="2130425"/>
            <wp:effectExtent l="0" t="0" r="1905" b="317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345" cy="2130425"/>
                    </a:xfrm>
                    <a:prstGeom prst="rect">
                      <a:avLst/>
                    </a:prstGeom>
                    <a:noFill/>
                    <a:ln>
                      <a:noFill/>
                    </a:ln>
                  </pic:spPr>
                </pic:pic>
              </a:graphicData>
            </a:graphic>
          </wp:inline>
        </w:drawing>
      </w:r>
    </w:p>
    <w:p w:rsidR="00815736" w:rsidRDefault="00815736" w:rsidP="00815736">
      <w:pPr>
        <w:pStyle w:val="Tekstblokowy"/>
      </w:pPr>
    </w:p>
    <w:p w:rsidR="00815736" w:rsidRPr="003C0D28" w:rsidRDefault="00815736" w:rsidP="00815736">
      <w:pPr>
        <w:pStyle w:val="Tekstblokowy"/>
        <w:rPr>
          <w:color w:val="auto"/>
          <w:sz w:val="20"/>
        </w:rPr>
      </w:pPr>
    </w:p>
    <w:p w:rsidR="00815736" w:rsidRPr="00F448E1" w:rsidRDefault="00815736" w:rsidP="00815736">
      <w:pPr>
        <w:pStyle w:val="Tekstblokowy"/>
        <w:rPr>
          <w:rFonts w:ascii="Century Gothic" w:hAnsi="Century Gothic" w:cs="Tahoma"/>
          <w:b/>
          <w:bCs/>
          <w:color w:val="0000FF"/>
          <w:sz w:val="20"/>
        </w:rPr>
      </w:pPr>
      <w:r w:rsidRPr="00F448E1">
        <w:rPr>
          <w:rFonts w:ascii="Century Gothic" w:hAnsi="Century Gothic" w:cs="Tahoma"/>
          <w:b/>
          <w:bCs/>
          <w:color w:val="0000FF"/>
          <w:sz w:val="20"/>
          <w:u w:val="single"/>
        </w:rPr>
        <w:t>C. Ryzyko kursowe</w:t>
      </w:r>
    </w:p>
    <w:p w:rsidR="00815736" w:rsidRDefault="00815736" w:rsidP="00815736">
      <w:pPr>
        <w:pStyle w:val="Tekstblokowy"/>
        <w:rPr>
          <w:rFonts w:ascii="Century Gothic" w:hAnsi="Century Gothic" w:cs="Tahoma"/>
          <w:bCs/>
          <w:color w:val="auto"/>
          <w:sz w:val="20"/>
        </w:rPr>
      </w:pPr>
    </w:p>
    <w:p w:rsidR="00815736" w:rsidRDefault="00815736" w:rsidP="00815736">
      <w:pPr>
        <w:pStyle w:val="Tekstblokowy"/>
        <w:rPr>
          <w:rFonts w:ascii="Century Gothic" w:hAnsi="Century Gothic" w:cs="Tahoma"/>
          <w:bCs/>
          <w:color w:val="auto"/>
          <w:sz w:val="20"/>
        </w:rPr>
      </w:pPr>
      <w:r>
        <w:rPr>
          <w:rFonts w:ascii="Century Gothic" w:hAnsi="Century Gothic" w:cs="Tahoma"/>
          <w:bCs/>
          <w:color w:val="auto"/>
          <w:sz w:val="20"/>
        </w:rPr>
        <w:t>Umocnienie złotego wobec walut obcych stanowi ryzyko kursowe prowadzenia działalności operacyjnej spółek celowych, handlujących z krajami Europy zachodniej w walucie kontrahenta. Z kolei osłabienie złotego stanowi ryzyko w odniesieniu do zobowiązań denominowanych w walucie obcej, głównie pożyczek od instytucji finansowych.</w:t>
      </w:r>
    </w:p>
    <w:p w:rsidR="00815736" w:rsidRDefault="00815736" w:rsidP="00815736">
      <w:pPr>
        <w:pStyle w:val="Tekstblokowy"/>
        <w:rPr>
          <w:rFonts w:ascii="Century Gothic" w:hAnsi="Century Gothic" w:cs="Tahoma"/>
          <w:bCs/>
          <w:color w:val="auto"/>
          <w:sz w:val="20"/>
        </w:rPr>
      </w:pPr>
      <w:r>
        <w:rPr>
          <w:rFonts w:ascii="Century Gothic" w:hAnsi="Century Gothic" w:cs="Tahoma"/>
          <w:bCs/>
          <w:color w:val="auto"/>
          <w:sz w:val="20"/>
        </w:rPr>
        <w:t>Poniższa tabela przedstawia wrażliwość wyniku finansowego brutto w związku z potencjalną zmianą wartości godziwej należności i zobowiązań pieniężnych, wyrażonych w walucie innej niż waluta funkcjonalna, na racjonalnie możliwe wahania kursów walut przy założeniu niezmienności innych warunków.</w:t>
      </w:r>
    </w:p>
    <w:p w:rsidR="00665AF4" w:rsidRDefault="00665AF4" w:rsidP="00815736">
      <w:pPr>
        <w:pStyle w:val="Tekstblokowy"/>
        <w:rPr>
          <w:rFonts w:ascii="Century Gothic" w:hAnsi="Century Gothic" w:cs="Tahoma"/>
          <w:bCs/>
          <w:color w:val="auto"/>
          <w:sz w:val="20"/>
        </w:rPr>
      </w:pPr>
    </w:p>
    <w:p w:rsidR="00815736" w:rsidRDefault="00F01711" w:rsidP="00815736">
      <w:pPr>
        <w:pStyle w:val="Tekstblokowy"/>
      </w:pPr>
      <w:r w:rsidRPr="00F01711">
        <w:rPr>
          <w:noProof/>
        </w:rPr>
        <w:drawing>
          <wp:inline distT="0" distB="0" distL="0" distR="0">
            <wp:extent cx="4942936" cy="1444877"/>
            <wp:effectExtent l="0" t="0" r="0" b="317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2896" cy="1444865"/>
                    </a:xfrm>
                    <a:prstGeom prst="rect">
                      <a:avLst/>
                    </a:prstGeom>
                    <a:noFill/>
                    <a:ln>
                      <a:noFill/>
                    </a:ln>
                  </pic:spPr>
                </pic:pic>
              </a:graphicData>
            </a:graphic>
          </wp:inline>
        </w:drawing>
      </w:r>
    </w:p>
    <w:p w:rsidR="0015746F" w:rsidRPr="00FF7948" w:rsidRDefault="0015746F" w:rsidP="00815736">
      <w:pPr>
        <w:pStyle w:val="Tekstblokowy"/>
      </w:pPr>
    </w:p>
    <w:p w:rsidR="00096C8F" w:rsidRDefault="00096C8F" w:rsidP="00815736">
      <w:pPr>
        <w:pStyle w:val="Tekstblokowy"/>
        <w:rPr>
          <w:rFonts w:ascii="Century Gothic" w:hAnsi="Century Gothic" w:cs="Tahoma"/>
          <w:b/>
          <w:bCs/>
          <w:color w:val="0000FF"/>
          <w:sz w:val="20"/>
          <w:u w:val="single"/>
        </w:rPr>
      </w:pPr>
    </w:p>
    <w:p w:rsidR="00815736" w:rsidRPr="00F448E1" w:rsidRDefault="00815736" w:rsidP="00815736">
      <w:pPr>
        <w:pStyle w:val="Tekstblokowy"/>
        <w:rPr>
          <w:rFonts w:ascii="Century Gothic" w:hAnsi="Century Gothic" w:cs="Tahoma"/>
          <w:b/>
          <w:bCs/>
          <w:color w:val="0000FF"/>
          <w:sz w:val="20"/>
          <w:u w:val="single"/>
        </w:rPr>
      </w:pPr>
      <w:r w:rsidRPr="00F448E1">
        <w:rPr>
          <w:rFonts w:ascii="Century Gothic" w:hAnsi="Century Gothic" w:cs="Tahoma"/>
          <w:b/>
          <w:bCs/>
          <w:color w:val="0000FF"/>
          <w:sz w:val="20"/>
          <w:u w:val="single"/>
        </w:rPr>
        <w:t>D. Ryzyko utraty płynności</w:t>
      </w:r>
    </w:p>
    <w:p w:rsidR="00815736" w:rsidRDefault="00815736" w:rsidP="00815736">
      <w:pPr>
        <w:pStyle w:val="Tekstblokowy"/>
        <w:rPr>
          <w:rFonts w:ascii="Century Gothic" w:hAnsi="Century Gothic" w:cs="Tahoma"/>
          <w:bCs/>
          <w:color w:val="auto"/>
          <w:sz w:val="20"/>
        </w:rPr>
      </w:pPr>
    </w:p>
    <w:p w:rsidR="00815736" w:rsidRPr="00FC35A8" w:rsidRDefault="00815736" w:rsidP="00815736">
      <w:pPr>
        <w:pStyle w:val="Tekstblokowy"/>
        <w:rPr>
          <w:rFonts w:ascii="Century Gothic" w:hAnsi="Century Gothic" w:cs="Tahoma"/>
          <w:bCs/>
          <w:color w:val="auto"/>
          <w:sz w:val="20"/>
        </w:rPr>
      </w:pPr>
      <w:r>
        <w:rPr>
          <w:rFonts w:ascii="Century Gothic" w:hAnsi="Century Gothic" w:cs="Tahoma"/>
          <w:bCs/>
          <w:color w:val="auto"/>
          <w:sz w:val="20"/>
        </w:rPr>
        <w:t>Ryzyko utraty płynności w s</w:t>
      </w:r>
      <w:r w:rsidRPr="00FC35A8">
        <w:rPr>
          <w:rFonts w:ascii="Century Gothic" w:hAnsi="Century Gothic" w:cs="Tahoma"/>
          <w:bCs/>
          <w:color w:val="auto"/>
          <w:sz w:val="20"/>
        </w:rPr>
        <w:t>półk</w:t>
      </w:r>
      <w:r>
        <w:rPr>
          <w:rFonts w:ascii="Century Gothic" w:hAnsi="Century Gothic" w:cs="Tahoma"/>
          <w:bCs/>
          <w:color w:val="auto"/>
          <w:sz w:val="20"/>
        </w:rPr>
        <w:t>ach</w:t>
      </w:r>
      <w:r w:rsidRPr="00FC35A8">
        <w:rPr>
          <w:rFonts w:ascii="Century Gothic" w:hAnsi="Century Gothic" w:cs="Tahoma"/>
          <w:bCs/>
          <w:color w:val="auto"/>
          <w:sz w:val="20"/>
        </w:rPr>
        <w:t xml:space="preserve"> </w:t>
      </w:r>
      <w:r>
        <w:rPr>
          <w:rFonts w:ascii="Century Gothic" w:hAnsi="Century Gothic" w:cs="Tahoma"/>
          <w:bCs/>
          <w:color w:val="auto"/>
          <w:sz w:val="20"/>
        </w:rPr>
        <w:t>Grupy</w:t>
      </w:r>
      <w:r w:rsidRPr="00FC35A8">
        <w:rPr>
          <w:rFonts w:ascii="Century Gothic" w:hAnsi="Century Gothic" w:cs="Tahoma"/>
          <w:bCs/>
          <w:color w:val="auto"/>
          <w:sz w:val="20"/>
        </w:rPr>
        <w:t xml:space="preserve"> wynika z </w:t>
      </w:r>
      <w:r>
        <w:rPr>
          <w:rFonts w:ascii="Century Gothic" w:hAnsi="Century Gothic" w:cs="Tahoma"/>
          <w:bCs/>
          <w:color w:val="auto"/>
          <w:sz w:val="20"/>
        </w:rPr>
        <w:t xml:space="preserve">wczesnego etapu prowadzenia działalności operacyjnej i poziomu wpływów z tej działalności nie pozwalającego na regulowanie zobowiązań bez wsparcia zewnętrznego. Krótki okres prowadzonej działalności operacyjnej lub, w odniesieniu do niektórych spółek Grupy, etap inwestycyjny stanowią </w:t>
      </w:r>
      <w:r w:rsidRPr="00FC35A8">
        <w:rPr>
          <w:rFonts w:ascii="Century Gothic" w:hAnsi="Century Gothic" w:cs="Tahoma"/>
          <w:bCs/>
          <w:color w:val="auto"/>
          <w:sz w:val="20"/>
        </w:rPr>
        <w:t xml:space="preserve">ograniczenia dostępu do kapitału z rynków finansowych, co może skutkować brakiem możliwości pozyskania nowego finansowania lub refinansowania swojego zadłużenia. Ryzyko to uzależnione jest </w:t>
      </w:r>
      <w:r>
        <w:rPr>
          <w:rFonts w:ascii="Century Gothic" w:hAnsi="Century Gothic" w:cs="Tahoma"/>
          <w:bCs/>
          <w:color w:val="auto"/>
          <w:sz w:val="20"/>
        </w:rPr>
        <w:br/>
      </w:r>
      <w:r w:rsidRPr="00FC35A8">
        <w:rPr>
          <w:rFonts w:ascii="Century Gothic" w:hAnsi="Century Gothic" w:cs="Tahoma"/>
          <w:bCs/>
          <w:color w:val="auto"/>
          <w:sz w:val="20"/>
        </w:rPr>
        <w:t xml:space="preserve">w przeważającej mierze od oceny zdolności kredytowej Spółki, spółek </w:t>
      </w:r>
      <w:r>
        <w:rPr>
          <w:rFonts w:ascii="Century Gothic" w:hAnsi="Century Gothic" w:cs="Tahoma"/>
          <w:bCs/>
          <w:color w:val="auto"/>
          <w:sz w:val="20"/>
        </w:rPr>
        <w:t>zależnych</w:t>
      </w:r>
      <w:r w:rsidRPr="00FC35A8">
        <w:rPr>
          <w:rFonts w:ascii="Century Gothic" w:hAnsi="Century Gothic" w:cs="Tahoma"/>
          <w:bCs/>
          <w:color w:val="auto"/>
          <w:sz w:val="20"/>
        </w:rPr>
        <w:t xml:space="preserve">, warunków rynkowych </w:t>
      </w:r>
      <w:r>
        <w:rPr>
          <w:rFonts w:ascii="Century Gothic" w:hAnsi="Century Gothic" w:cs="Tahoma"/>
          <w:bCs/>
          <w:color w:val="auto"/>
          <w:sz w:val="20"/>
        </w:rPr>
        <w:t>dotyczących pozyskania</w:t>
      </w:r>
      <w:r w:rsidRPr="00FC35A8">
        <w:rPr>
          <w:rFonts w:ascii="Century Gothic" w:hAnsi="Century Gothic" w:cs="Tahoma"/>
          <w:bCs/>
          <w:color w:val="auto"/>
          <w:sz w:val="20"/>
        </w:rPr>
        <w:t xml:space="preserve"> długu oraz skłonności do ryzyka na rynkach finansowych. </w:t>
      </w:r>
    </w:p>
    <w:p w:rsidR="00815736" w:rsidRDefault="00815736" w:rsidP="00815736">
      <w:pPr>
        <w:pStyle w:val="Tekstblokowy"/>
        <w:rPr>
          <w:rFonts w:ascii="Century Gothic" w:hAnsi="Century Gothic" w:cs="Tahoma"/>
          <w:bCs/>
          <w:color w:val="auto"/>
          <w:sz w:val="20"/>
        </w:rPr>
      </w:pPr>
      <w:r w:rsidRPr="00FC35A8">
        <w:rPr>
          <w:rFonts w:ascii="Century Gothic" w:hAnsi="Century Gothic" w:cs="Tahoma"/>
          <w:bCs/>
          <w:color w:val="auto"/>
          <w:sz w:val="20"/>
        </w:rPr>
        <w:t>W ocenie Zarządu Spółki element ten jest monitorowany</w:t>
      </w:r>
      <w:r>
        <w:rPr>
          <w:rFonts w:ascii="Century Gothic" w:hAnsi="Century Gothic" w:cs="Tahoma"/>
          <w:bCs/>
          <w:color w:val="auto"/>
          <w:sz w:val="20"/>
        </w:rPr>
        <w:t xml:space="preserve"> i uważany za wyjątkowo istotny</w:t>
      </w:r>
      <w:r w:rsidRPr="00FC35A8">
        <w:rPr>
          <w:rFonts w:ascii="Century Gothic" w:hAnsi="Century Gothic" w:cs="Tahoma"/>
          <w:bCs/>
          <w:color w:val="auto"/>
          <w:sz w:val="20"/>
        </w:rPr>
        <w:t xml:space="preserve"> </w:t>
      </w:r>
      <w:r>
        <w:rPr>
          <w:rFonts w:ascii="Century Gothic" w:hAnsi="Century Gothic" w:cs="Tahoma"/>
          <w:bCs/>
          <w:color w:val="auto"/>
          <w:sz w:val="20"/>
        </w:rPr>
        <w:br/>
      </w:r>
      <w:r w:rsidRPr="00FC35A8">
        <w:rPr>
          <w:rFonts w:ascii="Century Gothic" w:hAnsi="Century Gothic" w:cs="Tahoma"/>
          <w:bCs/>
          <w:color w:val="auto"/>
          <w:sz w:val="20"/>
        </w:rPr>
        <w:t>w ramach funkcjonowania Spółek.</w:t>
      </w:r>
    </w:p>
    <w:p w:rsidR="00815736" w:rsidRDefault="00815736" w:rsidP="00815736">
      <w:pPr>
        <w:pStyle w:val="Tekstblokowy"/>
        <w:rPr>
          <w:rFonts w:ascii="Century Gothic" w:hAnsi="Century Gothic" w:cs="Tahoma"/>
          <w:bCs/>
          <w:color w:val="auto"/>
          <w:sz w:val="20"/>
        </w:rPr>
      </w:pPr>
    </w:p>
    <w:p w:rsidR="0015746F" w:rsidRDefault="0015746F" w:rsidP="00815736">
      <w:pPr>
        <w:pStyle w:val="Tekstblokowy"/>
        <w:rPr>
          <w:rFonts w:ascii="Century Gothic" w:hAnsi="Century Gothic" w:cs="Tahoma"/>
          <w:bCs/>
          <w:color w:val="auto"/>
          <w:sz w:val="20"/>
        </w:rPr>
      </w:pPr>
    </w:p>
    <w:p w:rsidR="0015746F" w:rsidRDefault="0015746F" w:rsidP="00815736">
      <w:pPr>
        <w:pStyle w:val="Tekstblokowy"/>
        <w:rPr>
          <w:rFonts w:ascii="Century Gothic" w:hAnsi="Century Gothic" w:cs="Tahoma"/>
          <w:bCs/>
          <w:color w:val="auto"/>
          <w:sz w:val="20"/>
        </w:rPr>
      </w:pPr>
    </w:p>
    <w:p w:rsidR="00815736" w:rsidRDefault="00815736" w:rsidP="00815736">
      <w:pPr>
        <w:pStyle w:val="Tekstblokowy"/>
        <w:rPr>
          <w:rFonts w:ascii="Century Gothic" w:hAnsi="Century Gothic" w:cs="Tahoma"/>
          <w:bCs/>
          <w:color w:val="auto"/>
          <w:sz w:val="20"/>
        </w:rPr>
      </w:pPr>
      <w:r>
        <w:rPr>
          <w:rFonts w:ascii="Century Gothic" w:hAnsi="Century Gothic" w:cs="Tahoma"/>
          <w:bCs/>
          <w:color w:val="auto"/>
          <w:sz w:val="20"/>
        </w:rPr>
        <w:lastRenderedPageBreak/>
        <w:t>Analiza wymagalności zobowiązań finansowych:</w:t>
      </w:r>
    </w:p>
    <w:p w:rsidR="00815736" w:rsidRDefault="00AD6DDF" w:rsidP="00815736">
      <w:pPr>
        <w:pStyle w:val="Tekstblokowy"/>
      </w:pPr>
      <w:r w:rsidRPr="00AD6DDF">
        <w:drawing>
          <wp:inline distT="0" distB="0" distL="0" distR="0">
            <wp:extent cx="5719313" cy="28436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449" cy="2843668"/>
                    </a:xfrm>
                    <a:prstGeom prst="rect">
                      <a:avLst/>
                    </a:prstGeom>
                    <a:noFill/>
                    <a:ln>
                      <a:noFill/>
                    </a:ln>
                  </pic:spPr>
                </pic:pic>
              </a:graphicData>
            </a:graphic>
          </wp:inline>
        </w:drawing>
      </w:r>
    </w:p>
    <w:p w:rsidR="001E256E" w:rsidRPr="003725C2" w:rsidRDefault="001E256E" w:rsidP="00815736">
      <w:pPr>
        <w:pStyle w:val="Tekstblokowy"/>
      </w:pPr>
    </w:p>
    <w:p w:rsidR="00815736" w:rsidRDefault="00815736" w:rsidP="00815736">
      <w:pPr>
        <w:pStyle w:val="Tekstblokowy"/>
      </w:pPr>
    </w:p>
    <w:p w:rsidR="00815736" w:rsidRDefault="00815736" w:rsidP="00815736">
      <w:pPr>
        <w:pStyle w:val="Tekstblokowy"/>
        <w:numPr>
          <w:ilvl w:val="1"/>
          <w:numId w:val="39"/>
        </w:numPr>
        <w:rPr>
          <w:rFonts w:ascii="Century Gothic" w:hAnsi="Century Gothic" w:cs="Tahoma"/>
          <w:b/>
          <w:bCs/>
          <w:color w:val="0000FF"/>
          <w:sz w:val="20"/>
        </w:rPr>
      </w:pPr>
      <w:r w:rsidRPr="00F448E1">
        <w:rPr>
          <w:rFonts w:ascii="Century Gothic" w:hAnsi="Century Gothic" w:cs="Tahoma"/>
          <w:b/>
          <w:bCs/>
          <w:color w:val="0000FF"/>
          <w:sz w:val="20"/>
        </w:rPr>
        <w:t>Ryzyko kapitałowe</w:t>
      </w:r>
    </w:p>
    <w:p w:rsidR="00815736" w:rsidRPr="00F448E1" w:rsidRDefault="00815736" w:rsidP="00815736">
      <w:pPr>
        <w:pStyle w:val="Tekstblokowy"/>
        <w:rPr>
          <w:rFonts w:ascii="Century Gothic" w:hAnsi="Century Gothic" w:cs="Tahoma"/>
          <w:b/>
          <w:bCs/>
          <w:color w:val="0000FF"/>
          <w:sz w:val="20"/>
        </w:rPr>
      </w:pPr>
    </w:p>
    <w:p w:rsidR="00815736" w:rsidRPr="00FC35A8" w:rsidRDefault="00815736" w:rsidP="00815736">
      <w:pPr>
        <w:pStyle w:val="typowy"/>
        <w:ind w:left="426"/>
        <w:rPr>
          <w:rFonts w:ascii="Century Gothic" w:hAnsi="Century Gothic"/>
          <w:sz w:val="20"/>
          <w:szCs w:val="20"/>
        </w:rPr>
      </w:pPr>
      <w:r w:rsidRPr="00FC35A8">
        <w:rPr>
          <w:rFonts w:ascii="Century Gothic" w:hAnsi="Century Gothic"/>
          <w:sz w:val="20"/>
          <w:szCs w:val="20"/>
        </w:rPr>
        <w:t xml:space="preserve">Na </w:t>
      </w:r>
      <w:r>
        <w:rPr>
          <w:rFonts w:ascii="Century Gothic" w:hAnsi="Century Gothic"/>
          <w:sz w:val="20"/>
          <w:szCs w:val="20"/>
        </w:rPr>
        <w:t>jednostce dominującej</w:t>
      </w:r>
      <w:r w:rsidRPr="00FC35A8">
        <w:rPr>
          <w:rFonts w:ascii="Century Gothic" w:hAnsi="Century Gothic"/>
          <w:sz w:val="20"/>
          <w:szCs w:val="20"/>
        </w:rPr>
        <w:t xml:space="preserve"> nie ciążą żadne zewnętrzne ograniczenia, związane z zarządzaniem kapitałem poza standardowymi wymogami odnośnie minimalnego poziomu kapitału</w:t>
      </w:r>
      <w:r>
        <w:rPr>
          <w:rFonts w:ascii="Century Gothic" w:hAnsi="Century Gothic"/>
          <w:sz w:val="20"/>
          <w:szCs w:val="20"/>
        </w:rPr>
        <w:t xml:space="preserve"> zakładowego określonego przez K</w:t>
      </w:r>
      <w:r w:rsidRPr="00FC35A8">
        <w:rPr>
          <w:rFonts w:ascii="Century Gothic" w:hAnsi="Century Gothic"/>
          <w:sz w:val="20"/>
          <w:szCs w:val="20"/>
        </w:rPr>
        <w:t xml:space="preserve">odeks </w:t>
      </w:r>
      <w:r>
        <w:rPr>
          <w:rFonts w:ascii="Century Gothic" w:hAnsi="Century Gothic"/>
          <w:sz w:val="20"/>
          <w:szCs w:val="20"/>
        </w:rPr>
        <w:t>Spółek H</w:t>
      </w:r>
      <w:r w:rsidRPr="00FC35A8">
        <w:rPr>
          <w:rFonts w:ascii="Century Gothic" w:hAnsi="Century Gothic"/>
          <w:sz w:val="20"/>
          <w:szCs w:val="20"/>
        </w:rPr>
        <w:t>andlowych. Poziom minimaln</w:t>
      </w:r>
      <w:r>
        <w:rPr>
          <w:rFonts w:ascii="Century Gothic" w:hAnsi="Century Gothic"/>
          <w:sz w:val="20"/>
          <w:szCs w:val="20"/>
        </w:rPr>
        <w:t>y kapitału akcyjnego jest</w:t>
      </w:r>
      <w:r w:rsidRPr="00FC35A8">
        <w:rPr>
          <w:rFonts w:ascii="Century Gothic" w:hAnsi="Century Gothic"/>
          <w:sz w:val="20"/>
          <w:szCs w:val="20"/>
        </w:rPr>
        <w:t xml:space="preserve"> zachowany.</w:t>
      </w:r>
    </w:p>
    <w:p w:rsidR="00815736" w:rsidRPr="00FC35A8" w:rsidRDefault="00815736" w:rsidP="00815736">
      <w:pPr>
        <w:pStyle w:val="typowy"/>
        <w:ind w:left="426"/>
        <w:rPr>
          <w:rFonts w:ascii="Century Gothic" w:hAnsi="Century Gothic"/>
          <w:sz w:val="20"/>
          <w:szCs w:val="20"/>
        </w:rPr>
      </w:pPr>
      <w:r w:rsidRPr="00FC35A8">
        <w:rPr>
          <w:rFonts w:ascii="Century Gothic" w:hAnsi="Century Gothic"/>
          <w:sz w:val="20"/>
          <w:szCs w:val="20"/>
        </w:rPr>
        <w:t xml:space="preserve">Celem </w:t>
      </w:r>
      <w:proofErr w:type="spellStart"/>
      <w:r w:rsidR="00835D4B">
        <w:rPr>
          <w:rFonts w:ascii="Century Gothic" w:hAnsi="Century Gothic"/>
          <w:sz w:val="20"/>
          <w:szCs w:val="20"/>
        </w:rPr>
        <w:t>Skystone</w:t>
      </w:r>
      <w:proofErr w:type="spellEnd"/>
      <w:r w:rsidR="00835D4B">
        <w:rPr>
          <w:rFonts w:ascii="Century Gothic" w:hAnsi="Century Gothic"/>
          <w:sz w:val="20"/>
          <w:szCs w:val="20"/>
        </w:rPr>
        <w:t xml:space="preserve"> Capital</w:t>
      </w:r>
      <w:r>
        <w:rPr>
          <w:rFonts w:ascii="Century Gothic" w:hAnsi="Century Gothic"/>
          <w:sz w:val="20"/>
          <w:szCs w:val="20"/>
        </w:rPr>
        <w:t xml:space="preserve"> </w:t>
      </w:r>
      <w:r w:rsidRPr="00FC35A8">
        <w:rPr>
          <w:rFonts w:ascii="Century Gothic" w:hAnsi="Century Gothic"/>
          <w:sz w:val="20"/>
          <w:szCs w:val="20"/>
        </w:rPr>
        <w:t xml:space="preserve">w zarządzaniu ryzykiem kapitałowym jest ochrona zdolności </w:t>
      </w:r>
      <w:proofErr w:type="spellStart"/>
      <w:r w:rsidR="00835D4B">
        <w:rPr>
          <w:rFonts w:ascii="Century Gothic" w:hAnsi="Century Gothic"/>
          <w:sz w:val="20"/>
          <w:szCs w:val="20"/>
        </w:rPr>
        <w:t>Skystone</w:t>
      </w:r>
      <w:proofErr w:type="spellEnd"/>
      <w:r w:rsidR="00835D4B">
        <w:rPr>
          <w:rFonts w:ascii="Century Gothic" w:hAnsi="Century Gothic"/>
          <w:sz w:val="20"/>
          <w:szCs w:val="20"/>
        </w:rPr>
        <w:t xml:space="preserve"> Capital</w:t>
      </w:r>
      <w:r w:rsidRPr="00FC35A8">
        <w:rPr>
          <w:rFonts w:ascii="Century Gothic" w:hAnsi="Century Gothic"/>
          <w:sz w:val="20"/>
          <w:szCs w:val="20"/>
        </w:rPr>
        <w:t xml:space="preserve"> do kontynuowania działalności, tak, aby możliwe było realizowanie zwrotu dla akcjonariuszy oraz korzyści dla innych zainteresowanych stron. Ponadto istotnym elementem zarządzania ryzykiem kapitałowym jest optymalizacja struktury kapitału w celu obniżenia jego kosztu.</w:t>
      </w:r>
    </w:p>
    <w:p w:rsidR="00815736" w:rsidRDefault="00835D4B" w:rsidP="00815736">
      <w:pPr>
        <w:pStyle w:val="typowy"/>
        <w:ind w:left="426"/>
        <w:rPr>
          <w:rFonts w:ascii="Century Gothic" w:hAnsi="Century Gothic"/>
          <w:sz w:val="20"/>
          <w:szCs w:val="20"/>
        </w:rPr>
      </w:pPr>
      <w:proofErr w:type="spellStart"/>
      <w:r>
        <w:rPr>
          <w:rFonts w:ascii="Century Gothic" w:hAnsi="Century Gothic"/>
          <w:sz w:val="20"/>
          <w:szCs w:val="20"/>
        </w:rPr>
        <w:t>Skystone</w:t>
      </w:r>
      <w:proofErr w:type="spellEnd"/>
      <w:r>
        <w:rPr>
          <w:rFonts w:ascii="Century Gothic" w:hAnsi="Century Gothic"/>
          <w:sz w:val="20"/>
          <w:szCs w:val="20"/>
        </w:rPr>
        <w:t xml:space="preserve"> Capital</w:t>
      </w:r>
      <w:r w:rsidR="00815736" w:rsidRPr="00FC35A8">
        <w:rPr>
          <w:rFonts w:ascii="Century Gothic" w:hAnsi="Century Gothic"/>
          <w:sz w:val="20"/>
          <w:szCs w:val="20"/>
        </w:rPr>
        <w:t xml:space="preserve"> monitoruje kapitał¸ przy pomocy wskaźnika zadłużenia, który oblicza się, jako stosunek zadłużenia netto (kredyty, pożyczki, zobowiązania z tytułu leasingu finansowego, zobowiązania handlowe oraz pozostałe zobowiązania pomniejszone o środki pieniężne i ich ekwiwalenty) do łącznej wartości kapitału</w:t>
      </w:r>
      <w:r w:rsidR="00815736">
        <w:rPr>
          <w:rFonts w:ascii="Century Gothic" w:hAnsi="Century Gothic"/>
          <w:sz w:val="20"/>
          <w:szCs w:val="20"/>
        </w:rPr>
        <w:t xml:space="preserve"> (rozumianego jako suma kapitału własnego i zadłużenia netto).</w:t>
      </w:r>
      <w:r w:rsidR="00815736" w:rsidRPr="00FC35A8">
        <w:rPr>
          <w:rFonts w:ascii="Century Gothic" w:hAnsi="Century Gothic"/>
          <w:sz w:val="20"/>
          <w:szCs w:val="20"/>
        </w:rPr>
        <w:t xml:space="preserve"> </w:t>
      </w:r>
    </w:p>
    <w:p w:rsidR="00D270A4" w:rsidRDefault="00D270A4" w:rsidP="00815736">
      <w:pPr>
        <w:pStyle w:val="typowy"/>
        <w:ind w:left="426"/>
        <w:rPr>
          <w:rFonts w:ascii="Century Gothic" w:hAnsi="Century Gothic"/>
          <w:color w:val="0000FF"/>
          <w:sz w:val="20"/>
          <w:szCs w:val="20"/>
        </w:rPr>
      </w:pPr>
    </w:p>
    <w:p w:rsidR="00815736" w:rsidRDefault="00815736" w:rsidP="00815736">
      <w:pPr>
        <w:pStyle w:val="typowy"/>
        <w:ind w:left="426"/>
      </w:pPr>
      <w:r w:rsidRPr="00DA38E2">
        <w:t xml:space="preserve"> </w:t>
      </w:r>
      <w:r w:rsidR="00E62754" w:rsidRPr="00E62754">
        <w:drawing>
          <wp:inline distT="0" distB="0" distL="0" distR="0">
            <wp:extent cx="5046345" cy="1638935"/>
            <wp:effectExtent l="0" t="0" r="190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345" cy="1638935"/>
                    </a:xfrm>
                    <a:prstGeom prst="rect">
                      <a:avLst/>
                    </a:prstGeom>
                    <a:noFill/>
                    <a:ln>
                      <a:noFill/>
                    </a:ln>
                  </pic:spPr>
                </pic:pic>
              </a:graphicData>
            </a:graphic>
          </wp:inline>
        </w:drawing>
      </w:r>
    </w:p>
    <w:p w:rsidR="001E256E" w:rsidRDefault="001E256E" w:rsidP="00815736">
      <w:pPr>
        <w:pStyle w:val="typowy"/>
        <w:ind w:left="426"/>
        <w:rPr>
          <w:szCs w:val="20"/>
        </w:rPr>
      </w:pPr>
    </w:p>
    <w:p w:rsidR="00F01711" w:rsidRDefault="00F01711" w:rsidP="00815736">
      <w:pPr>
        <w:pStyle w:val="typowy"/>
        <w:ind w:left="426"/>
        <w:rPr>
          <w:szCs w:val="20"/>
        </w:rPr>
      </w:pPr>
    </w:p>
    <w:p w:rsidR="00F01711" w:rsidRDefault="00F01711" w:rsidP="00815736">
      <w:pPr>
        <w:pStyle w:val="typowy"/>
        <w:ind w:left="426"/>
        <w:rPr>
          <w:szCs w:val="20"/>
        </w:rPr>
      </w:pPr>
    </w:p>
    <w:p w:rsidR="00F01711" w:rsidRDefault="00F01711" w:rsidP="00815736">
      <w:pPr>
        <w:pStyle w:val="typowy"/>
        <w:ind w:left="426"/>
        <w:rPr>
          <w:szCs w:val="20"/>
        </w:rPr>
      </w:pPr>
    </w:p>
    <w:p w:rsidR="00F01711" w:rsidRDefault="00F01711" w:rsidP="00815736">
      <w:pPr>
        <w:pStyle w:val="typowy"/>
        <w:ind w:left="426"/>
        <w:rPr>
          <w:szCs w:val="20"/>
        </w:rPr>
      </w:pPr>
    </w:p>
    <w:p w:rsidR="00F01711" w:rsidRDefault="00F01711" w:rsidP="00815736">
      <w:pPr>
        <w:pStyle w:val="typowy"/>
        <w:ind w:left="426"/>
        <w:rPr>
          <w:szCs w:val="20"/>
        </w:rPr>
      </w:pPr>
    </w:p>
    <w:p w:rsidR="00F01711" w:rsidRPr="00FF7948" w:rsidRDefault="00F01711" w:rsidP="00815736">
      <w:pPr>
        <w:pStyle w:val="typowy"/>
        <w:ind w:left="426"/>
        <w:rPr>
          <w:szCs w:val="20"/>
        </w:rPr>
      </w:pPr>
    </w:p>
    <w:p w:rsidR="00185FE8" w:rsidRDefault="00185FE8" w:rsidP="003A18AB">
      <w:pPr>
        <w:pStyle w:val="Nagwek2"/>
        <w:numPr>
          <w:ilvl w:val="0"/>
          <w:numId w:val="8"/>
        </w:numPr>
        <w:jc w:val="both"/>
        <w:rPr>
          <w:rFonts w:ascii="Century Gothic" w:hAnsi="Century Gothic"/>
          <w:bCs/>
          <w:i w:val="0"/>
          <w:color w:val="0000FF"/>
          <w:sz w:val="20"/>
        </w:rPr>
      </w:pPr>
      <w:bookmarkStart w:id="31" w:name="_Toc213653948"/>
      <w:bookmarkStart w:id="32" w:name="_Toc228763226"/>
      <w:bookmarkStart w:id="33" w:name="_Toc334177952"/>
      <w:bookmarkStart w:id="34" w:name="_Toc387945901"/>
      <w:r w:rsidRPr="00CD7301">
        <w:rPr>
          <w:rFonts w:ascii="Century Gothic" w:hAnsi="Century Gothic"/>
          <w:bCs/>
          <w:i w:val="0"/>
          <w:color w:val="0000FF"/>
          <w:sz w:val="20"/>
        </w:rPr>
        <w:lastRenderedPageBreak/>
        <w:t>RZECZOWE AKTYWA TRWAŁE</w:t>
      </w:r>
      <w:bookmarkEnd w:id="31"/>
      <w:bookmarkEnd w:id="32"/>
      <w:bookmarkEnd w:id="33"/>
      <w:bookmarkEnd w:id="34"/>
    </w:p>
    <w:p w:rsidR="00B36BE0" w:rsidRPr="00B36BE0" w:rsidRDefault="00B36BE0" w:rsidP="00B36BE0"/>
    <w:p w:rsidR="00CC78C5" w:rsidRDefault="00CC78C5" w:rsidP="00185FE8">
      <w:pPr>
        <w:pStyle w:val="Tekstblokowy"/>
        <w:ind w:left="0"/>
        <w:rPr>
          <w:sz w:val="20"/>
        </w:rPr>
      </w:pPr>
    </w:p>
    <w:p w:rsidR="004A4FAF" w:rsidRDefault="004A4FAF" w:rsidP="00185FE8">
      <w:pPr>
        <w:pStyle w:val="Tekstblokowy"/>
        <w:ind w:left="0" w:firstLine="436"/>
      </w:pPr>
      <w:r w:rsidRPr="004A4FAF">
        <w:rPr>
          <w:noProof/>
        </w:rPr>
        <w:drawing>
          <wp:inline distT="0" distB="0" distL="0" distR="0">
            <wp:extent cx="5357004" cy="2550694"/>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141" cy="2550759"/>
                    </a:xfrm>
                    <a:prstGeom prst="rect">
                      <a:avLst/>
                    </a:prstGeom>
                    <a:noFill/>
                    <a:ln>
                      <a:noFill/>
                    </a:ln>
                  </pic:spPr>
                </pic:pic>
              </a:graphicData>
            </a:graphic>
          </wp:inline>
        </w:drawing>
      </w:r>
    </w:p>
    <w:p w:rsidR="004A4FAF" w:rsidRDefault="004A4FAF" w:rsidP="00185FE8">
      <w:pPr>
        <w:pStyle w:val="Tekstblokowy"/>
        <w:ind w:left="0" w:firstLine="436"/>
      </w:pPr>
    </w:p>
    <w:p w:rsidR="00E038F5" w:rsidRPr="00FF7948" w:rsidRDefault="00E038F5" w:rsidP="00185FE8">
      <w:pPr>
        <w:pStyle w:val="Tekstblokowy"/>
        <w:ind w:left="0" w:firstLine="436"/>
      </w:pPr>
    </w:p>
    <w:p w:rsidR="003513DF" w:rsidRDefault="003513DF" w:rsidP="00185FE8">
      <w:pPr>
        <w:pStyle w:val="Tekstblokowy"/>
        <w:ind w:left="0" w:firstLine="436"/>
      </w:pPr>
    </w:p>
    <w:p w:rsidR="003E37FD" w:rsidRDefault="004A4FAF" w:rsidP="003E37FD">
      <w:pPr>
        <w:pStyle w:val="Tekstblokowy"/>
      </w:pPr>
      <w:r w:rsidRPr="004A4FAF">
        <w:rPr>
          <w:noProof/>
        </w:rPr>
        <w:drawing>
          <wp:inline distT="0" distB="0" distL="0" distR="0" wp14:anchorId="252FF065" wp14:editId="3B262723">
            <wp:extent cx="5658091" cy="2743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454" cy="2742891"/>
                    </a:xfrm>
                    <a:prstGeom prst="rect">
                      <a:avLst/>
                    </a:prstGeom>
                    <a:noFill/>
                    <a:ln>
                      <a:noFill/>
                    </a:ln>
                  </pic:spPr>
                </pic:pic>
              </a:graphicData>
            </a:graphic>
          </wp:inline>
        </w:drawing>
      </w:r>
    </w:p>
    <w:p w:rsidR="004A4FAF" w:rsidRPr="0003405B" w:rsidRDefault="004A4FAF" w:rsidP="003E37FD">
      <w:pPr>
        <w:pStyle w:val="Tekstblokowy"/>
      </w:pPr>
    </w:p>
    <w:p w:rsidR="006C6C3A" w:rsidRDefault="006C6C3A" w:rsidP="003E37FD">
      <w:pPr>
        <w:pStyle w:val="Tekstblokowy"/>
      </w:pPr>
    </w:p>
    <w:p w:rsidR="0015746F" w:rsidRDefault="0015746F" w:rsidP="003E37FD">
      <w:pPr>
        <w:pStyle w:val="Tekstblokowy"/>
      </w:pPr>
    </w:p>
    <w:p w:rsidR="00185FE8" w:rsidRPr="0003405B" w:rsidRDefault="00185FE8" w:rsidP="003E37FD">
      <w:pPr>
        <w:pStyle w:val="Tekstblokowy"/>
      </w:pPr>
      <w:r w:rsidRPr="00240986" w:rsidDel="00240986">
        <w:t xml:space="preserve"> </w:t>
      </w:r>
      <w:r w:rsidR="004A4FAF" w:rsidRPr="004A4FAF">
        <w:rPr>
          <w:noProof/>
        </w:rPr>
        <w:drawing>
          <wp:inline distT="0" distB="0" distL="0" distR="0" wp14:anchorId="6561634A" wp14:editId="642B010C">
            <wp:extent cx="5658929" cy="212209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8273" cy="2121852"/>
                    </a:xfrm>
                    <a:prstGeom prst="rect">
                      <a:avLst/>
                    </a:prstGeom>
                    <a:noFill/>
                    <a:ln>
                      <a:noFill/>
                    </a:ln>
                  </pic:spPr>
                </pic:pic>
              </a:graphicData>
            </a:graphic>
          </wp:inline>
        </w:drawing>
      </w:r>
    </w:p>
    <w:p w:rsidR="00185FE8" w:rsidRDefault="00185FE8" w:rsidP="003A18AB">
      <w:pPr>
        <w:pStyle w:val="Nagwek2"/>
        <w:numPr>
          <w:ilvl w:val="0"/>
          <w:numId w:val="8"/>
        </w:numPr>
        <w:jc w:val="both"/>
        <w:rPr>
          <w:rFonts w:ascii="Century Gothic" w:hAnsi="Century Gothic"/>
          <w:bCs/>
          <w:i w:val="0"/>
          <w:color w:val="0000FF"/>
          <w:sz w:val="20"/>
        </w:rPr>
      </w:pPr>
      <w:bookmarkStart w:id="35" w:name="_Toc213653949"/>
      <w:bookmarkStart w:id="36" w:name="_Toc228763227"/>
      <w:bookmarkStart w:id="37" w:name="_Toc334177953"/>
      <w:bookmarkStart w:id="38" w:name="_Toc387945902"/>
      <w:r w:rsidRPr="00CD7301">
        <w:rPr>
          <w:rFonts w:ascii="Century Gothic" w:hAnsi="Century Gothic"/>
          <w:bCs/>
          <w:i w:val="0"/>
          <w:color w:val="0000FF"/>
          <w:sz w:val="20"/>
        </w:rPr>
        <w:lastRenderedPageBreak/>
        <w:t>WARTOŚCI NIEMATERIALNE</w:t>
      </w:r>
      <w:bookmarkEnd w:id="35"/>
      <w:bookmarkEnd w:id="36"/>
      <w:bookmarkEnd w:id="37"/>
      <w:bookmarkEnd w:id="38"/>
    </w:p>
    <w:p w:rsidR="0015746F" w:rsidRPr="0015746F" w:rsidRDefault="0015746F" w:rsidP="0015746F"/>
    <w:p w:rsidR="00185FE8" w:rsidRDefault="00185FE8" w:rsidP="00185FE8">
      <w:pPr>
        <w:pStyle w:val="Tekstblokowy"/>
        <w:ind w:hanging="426"/>
        <w:rPr>
          <w:rFonts w:ascii="Century Gothic" w:hAnsi="Century Gothic" w:cs="Tahoma"/>
          <w:b/>
          <w:bCs/>
          <w:color w:val="auto"/>
          <w:sz w:val="20"/>
        </w:rPr>
      </w:pPr>
    </w:p>
    <w:p w:rsidR="00185FE8" w:rsidRDefault="00185FE8" w:rsidP="00185FE8">
      <w:pPr>
        <w:pStyle w:val="Tekstblokowy"/>
        <w:ind w:hanging="426"/>
      </w:pPr>
      <w:r>
        <w:tab/>
      </w:r>
      <w:r w:rsidR="004A4FAF" w:rsidRPr="004A4FAF">
        <w:rPr>
          <w:noProof/>
        </w:rPr>
        <w:drawing>
          <wp:inline distT="0" distB="0" distL="0" distR="0">
            <wp:extent cx="5374256" cy="290492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290" cy="2904941"/>
                    </a:xfrm>
                    <a:prstGeom prst="rect">
                      <a:avLst/>
                    </a:prstGeom>
                    <a:noFill/>
                    <a:ln>
                      <a:noFill/>
                    </a:ln>
                  </pic:spPr>
                </pic:pic>
              </a:graphicData>
            </a:graphic>
          </wp:inline>
        </w:drawing>
      </w:r>
    </w:p>
    <w:p w:rsidR="0015746F" w:rsidRDefault="0015746F" w:rsidP="00185FE8">
      <w:pPr>
        <w:pStyle w:val="Tekstblokowy"/>
        <w:ind w:hanging="426"/>
      </w:pPr>
    </w:p>
    <w:p w:rsidR="00A1452B" w:rsidRDefault="00A1452B" w:rsidP="00185FE8">
      <w:pPr>
        <w:pStyle w:val="Tekstblokowy"/>
        <w:ind w:hanging="426"/>
      </w:pPr>
    </w:p>
    <w:p w:rsidR="0015746F" w:rsidRPr="0003405B" w:rsidRDefault="0015746F" w:rsidP="00185FE8">
      <w:pPr>
        <w:pStyle w:val="Tekstblokowy"/>
        <w:ind w:hanging="426"/>
      </w:pPr>
    </w:p>
    <w:p w:rsidR="00185FE8" w:rsidRPr="0003405B" w:rsidRDefault="00A711ED" w:rsidP="00185FE8">
      <w:pPr>
        <w:pStyle w:val="Tekstblokowy"/>
      </w:pPr>
      <w:r w:rsidRPr="00A711ED">
        <w:rPr>
          <w:noProof/>
        </w:rPr>
        <w:drawing>
          <wp:inline distT="0" distB="0" distL="0" distR="0" wp14:anchorId="5E3AA44D" wp14:editId="0ABE1364">
            <wp:extent cx="5614009" cy="2536166"/>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771" cy="2540576"/>
                    </a:xfrm>
                    <a:prstGeom prst="rect">
                      <a:avLst/>
                    </a:prstGeom>
                    <a:noFill/>
                    <a:ln>
                      <a:noFill/>
                    </a:ln>
                  </pic:spPr>
                </pic:pic>
              </a:graphicData>
            </a:graphic>
          </wp:inline>
        </w:drawing>
      </w:r>
    </w:p>
    <w:p w:rsidR="006C6C3A" w:rsidRDefault="006C6C3A" w:rsidP="00185FE8">
      <w:pPr>
        <w:pStyle w:val="Tekstblokowy"/>
      </w:pPr>
    </w:p>
    <w:p w:rsidR="006C6C3A" w:rsidRDefault="006C6C3A" w:rsidP="00185FE8">
      <w:pPr>
        <w:pStyle w:val="Tekstblokowy"/>
      </w:pPr>
    </w:p>
    <w:p w:rsidR="0015746F" w:rsidRPr="003C4155" w:rsidRDefault="0015746F" w:rsidP="00185FE8">
      <w:pPr>
        <w:pStyle w:val="Tekstblokowy"/>
      </w:pPr>
    </w:p>
    <w:p w:rsidR="00185FE8" w:rsidRDefault="00A711ED" w:rsidP="003E37FD">
      <w:pPr>
        <w:pStyle w:val="Tekstblokowy"/>
        <w:ind w:left="852" w:hanging="426"/>
      </w:pPr>
      <w:r w:rsidRPr="00A711ED">
        <w:rPr>
          <w:noProof/>
        </w:rPr>
        <w:drawing>
          <wp:inline distT="0" distB="0" distL="0" distR="0" wp14:anchorId="1E2B387C" wp14:editId="7B22A46A">
            <wp:extent cx="5603710" cy="19064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521" cy="1907394"/>
                    </a:xfrm>
                    <a:prstGeom prst="rect">
                      <a:avLst/>
                    </a:prstGeom>
                    <a:noFill/>
                    <a:ln>
                      <a:noFill/>
                    </a:ln>
                  </pic:spPr>
                </pic:pic>
              </a:graphicData>
            </a:graphic>
          </wp:inline>
        </w:drawing>
      </w:r>
    </w:p>
    <w:p w:rsidR="00A711ED" w:rsidRPr="0003405B" w:rsidRDefault="00A711ED" w:rsidP="003E37FD">
      <w:pPr>
        <w:pStyle w:val="Tekstblokowy"/>
        <w:ind w:left="852" w:hanging="426"/>
      </w:pPr>
    </w:p>
    <w:p w:rsidR="00392A7A" w:rsidRPr="00B233C1" w:rsidRDefault="00392A7A" w:rsidP="003A18AB">
      <w:pPr>
        <w:pStyle w:val="Nagwek2"/>
        <w:numPr>
          <w:ilvl w:val="0"/>
          <w:numId w:val="8"/>
        </w:numPr>
        <w:ind w:left="502"/>
        <w:jc w:val="both"/>
        <w:rPr>
          <w:rFonts w:ascii="Century Gothic" w:hAnsi="Century Gothic"/>
          <w:bCs/>
          <w:i w:val="0"/>
          <w:color w:val="0000FF"/>
          <w:sz w:val="20"/>
        </w:rPr>
      </w:pPr>
      <w:bookmarkStart w:id="39" w:name="_Toc292971715"/>
      <w:bookmarkStart w:id="40" w:name="_Toc227656298"/>
      <w:bookmarkStart w:id="41" w:name="_Toc228763231"/>
      <w:bookmarkStart w:id="42" w:name="_Toc387945903"/>
      <w:bookmarkEnd w:id="39"/>
      <w:r w:rsidRPr="00B233C1">
        <w:rPr>
          <w:rFonts w:ascii="Century Gothic" w:hAnsi="Century Gothic"/>
          <w:bCs/>
          <w:i w:val="0"/>
          <w:color w:val="0000FF"/>
          <w:sz w:val="20"/>
        </w:rPr>
        <w:lastRenderedPageBreak/>
        <w:t>INSTRUMENTY FINANSOWE</w:t>
      </w:r>
      <w:bookmarkEnd w:id="40"/>
      <w:bookmarkEnd w:id="41"/>
      <w:bookmarkEnd w:id="42"/>
    </w:p>
    <w:p w:rsidR="0015746F" w:rsidRDefault="0015746F" w:rsidP="00392A7A">
      <w:pPr>
        <w:ind w:left="426"/>
        <w:rPr>
          <w:rFonts w:ascii="Century Gothic" w:hAnsi="Century Gothic" w:cs="Tahoma"/>
        </w:rPr>
      </w:pPr>
    </w:p>
    <w:p w:rsidR="003513DF" w:rsidRDefault="00CC78C5" w:rsidP="00392A7A">
      <w:pPr>
        <w:ind w:left="426"/>
      </w:pPr>
      <w:r w:rsidRPr="0019063A">
        <w:rPr>
          <w:rFonts w:ascii="Century Gothic" w:hAnsi="Century Gothic" w:cs="Tahoma"/>
        </w:rPr>
        <w:t>Na dzień 3</w:t>
      </w:r>
      <w:r w:rsidR="007B631E">
        <w:rPr>
          <w:rFonts w:ascii="Century Gothic" w:hAnsi="Century Gothic" w:cs="Tahoma"/>
        </w:rPr>
        <w:t xml:space="preserve">1 </w:t>
      </w:r>
      <w:r w:rsidR="003B6EFF">
        <w:rPr>
          <w:rFonts w:ascii="Century Gothic" w:hAnsi="Century Gothic" w:cs="Tahoma"/>
        </w:rPr>
        <w:t>marca</w:t>
      </w:r>
      <w:r w:rsidRPr="0019063A">
        <w:rPr>
          <w:rFonts w:ascii="Century Gothic" w:hAnsi="Century Gothic" w:cs="Tahoma"/>
        </w:rPr>
        <w:t xml:space="preserve"> 20</w:t>
      </w:r>
      <w:r>
        <w:rPr>
          <w:rFonts w:ascii="Century Gothic" w:hAnsi="Century Gothic" w:cs="Tahoma"/>
        </w:rPr>
        <w:t>1</w:t>
      </w:r>
      <w:r w:rsidR="003B6EFF">
        <w:rPr>
          <w:rFonts w:ascii="Century Gothic" w:hAnsi="Century Gothic" w:cs="Tahoma"/>
        </w:rPr>
        <w:t>4</w:t>
      </w:r>
      <w:r w:rsidRPr="0019063A">
        <w:rPr>
          <w:rFonts w:ascii="Century Gothic" w:hAnsi="Century Gothic" w:cs="Tahoma"/>
        </w:rPr>
        <w:t xml:space="preserve"> r. Grupa posiadała następujące </w:t>
      </w:r>
      <w:r>
        <w:rPr>
          <w:rFonts w:ascii="Century Gothic" w:hAnsi="Century Gothic" w:cs="Tahoma"/>
        </w:rPr>
        <w:t>instrumenty</w:t>
      </w:r>
      <w:r w:rsidRPr="0019063A">
        <w:rPr>
          <w:rFonts w:ascii="Century Gothic" w:hAnsi="Century Gothic" w:cs="Tahoma"/>
        </w:rPr>
        <w:t xml:space="preserve"> finansowe zgodnie </w:t>
      </w:r>
      <w:r w:rsidRPr="0019063A">
        <w:rPr>
          <w:rFonts w:ascii="Century Gothic" w:hAnsi="Century Gothic" w:cs="Tahoma"/>
        </w:rPr>
        <w:br/>
        <w:t>z MSR 39:</w:t>
      </w:r>
    </w:p>
    <w:p w:rsidR="00392A7A" w:rsidRPr="0003405B" w:rsidRDefault="00F01711" w:rsidP="00392A7A">
      <w:pPr>
        <w:autoSpaceDE w:val="0"/>
        <w:autoSpaceDN w:val="0"/>
        <w:adjustRightInd w:val="0"/>
        <w:ind w:firstLine="426"/>
        <w:jc w:val="both"/>
      </w:pPr>
      <w:r w:rsidRPr="00F01711">
        <w:rPr>
          <w:noProof/>
        </w:rPr>
        <w:drawing>
          <wp:inline distT="0" distB="0" distL="0" distR="0">
            <wp:extent cx="5313680" cy="914400"/>
            <wp:effectExtent l="0" t="0" r="127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3680" cy="914400"/>
                    </a:xfrm>
                    <a:prstGeom prst="rect">
                      <a:avLst/>
                    </a:prstGeom>
                    <a:noFill/>
                    <a:ln>
                      <a:noFill/>
                    </a:ln>
                  </pic:spPr>
                </pic:pic>
              </a:graphicData>
            </a:graphic>
          </wp:inline>
        </w:drawing>
      </w:r>
    </w:p>
    <w:p w:rsidR="0015746F" w:rsidRDefault="0015746F" w:rsidP="00CC78C5">
      <w:pPr>
        <w:autoSpaceDE w:val="0"/>
        <w:autoSpaceDN w:val="0"/>
        <w:adjustRightInd w:val="0"/>
        <w:ind w:firstLine="426"/>
        <w:jc w:val="both"/>
        <w:rPr>
          <w:rFonts w:ascii="Century Gothic" w:hAnsi="Century Gothic" w:cs="Tahoma"/>
        </w:rPr>
      </w:pPr>
    </w:p>
    <w:p w:rsidR="0015746F" w:rsidRDefault="00CC78C5" w:rsidP="00CC78C5">
      <w:pPr>
        <w:autoSpaceDE w:val="0"/>
        <w:autoSpaceDN w:val="0"/>
        <w:adjustRightInd w:val="0"/>
        <w:ind w:firstLine="426"/>
        <w:jc w:val="both"/>
        <w:rPr>
          <w:rFonts w:ascii="Century Gothic" w:hAnsi="Century Gothic" w:cs="Tahoma"/>
        </w:rPr>
      </w:pPr>
      <w:r w:rsidRPr="00CD7301">
        <w:rPr>
          <w:rFonts w:ascii="Century Gothic" w:hAnsi="Century Gothic" w:cs="Tahoma"/>
        </w:rPr>
        <w:t>oraz zobowiązania finansowe zgodnie z MSR 39:</w:t>
      </w:r>
    </w:p>
    <w:p w:rsidR="00392A7A" w:rsidRPr="0003405B" w:rsidRDefault="00642A9F" w:rsidP="00392A7A">
      <w:pPr>
        <w:autoSpaceDE w:val="0"/>
        <w:autoSpaceDN w:val="0"/>
        <w:adjustRightInd w:val="0"/>
        <w:ind w:left="426"/>
        <w:jc w:val="both"/>
      </w:pPr>
      <w:r w:rsidRPr="00642A9F">
        <w:rPr>
          <w:noProof/>
        </w:rPr>
        <w:drawing>
          <wp:inline distT="0" distB="0" distL="0" distR="0">
            <wp:extent cx="5313680" cy="1440815"/>
            <wp:effectExtent l="0" t="0" r="127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3680" cy="1440815"/>
                    </a:xfrm>
                    <a:prstGeom prst="rect">
                      <a:avLst/>
                    </a:prstGeom>
                    <a:noFill/>
                    <a:ln>
                      <a:noFill/>
                    </a:ln>
                  </pic:spPr>
                </pic:pic>
              </a:graphicData>
            </a:graphic>
          </wp:inline>
        </w:drawing>
      </w:r>
    </w:p>
    <w:p w:rsidR="003C471B" w:rsidRDefault="003C471B" w:rsidP="00392A7A">
      <w:pPr>
        <w:autoSpaceDE w:val="0"/>
        <w:autoSpaceDN w:val="0"/>
        <w:adjustRightInd w:val="0"/>
        <w:ind w:left="426"/>
        <w:jc w:val="both"/>
        <w:rPr>
          <w:rFonts w:ascii="Century Gothic" w:hAnsi="Century Gothic" w:cs="Tahoma"/>
        </w:rPr>
      </w:pPr>
    </w:p>
    <w:p w:rsidR="00392A7A" w:rsidRDefault="00392A7A" w:rsidP="00392A7A">
      <w:pPr>
        <w:autoSpaceDE w:val="0"/>
        <w:autoSpaceDN w:val="0"/>
        <w:adjustRightInd w:val="0"/>
        <w:ind w:left="426"/>
        <w:jc w:val="both"/>
        <w:rPr>
          <w:rFonts w:ascii="Century Gothic" w:hAnsi="Century Gothic" w:cs="Tahoma"/>
        </w:rPr>
      </w:pPr>
      <w:r w:rsidRPr="0019063A">
        <w:rPr>
          <w:rFonts w:ascii="Century Gothic" w:hAnsi="Century Gothic" w:cs="Tahoma"/>
        </w:rPr>
        <w:t>Zdaniem Zarządu Spółki dominującej wartość bilansowa ww. instrumentów finansowych na</w:t>
      </w:r>
      <w:r>
        <w:rPr>
          <w:rFonts w:ascii="Century Gothic" w:hAnsi="Century Gothic" w:cs="Tahoma"/>
        </w:rPr>
        <w:br/>
      </w:r>
      <w:r w:rsidRPr="0019063A">
        <w:rPr>
          <w:rFonts w:ascii="Century Gothic" w:hAnsi="Century Gothic" w:cs="Tahoma"/>
        </w:rPr>
        <w:t>3</w:t>
      </w:r>
      <w:r w:rsidR="007B631E">
        <w:rPr>
          <w:rFonts w:ascii="Century Gothic" w:hAnsi="Century Gothic" w:cs="Tahoma"/>
        </w:rPr>
        <w:t xml:space="preserve">1 </w:t>
      </w:r>
      <w:r w:rsidR="003B6EFF">
        <w:rPr>
          <w:rFonts w:ascii="Century Gothic" w:hAnsi="Century Gothic" w:cs="Tahoma"/>
        </w:rPr>
        <w:t>marca</w:t>
      </w:r>
      <w:r w:rsidRPr="0019063A">
        <w:rPr>
          <w:rFonts w:ascii="Century Gothic" w:hAnsi="Century Gothic" w:cs="Tahoma"/>
        </w:rPr>
        <w:t xml:space="preserve"> 20</w:t>
      </w:r>
      <w:r>
        <w:rPr>
          <w:rFonts w:ascii="Century Gothic" w:hAnsi="Century Gothic" w:cs="Tahoma"/>
        </w:rPr>
        <w:t>1</w:t>
      </w:r>
      <w:r w:rsidR="003B6EFF">
        <w:rPr>
          <w:rFonts w:ascii="Century Gothic" w:hAnsi="Century Gothic" w:cs="Tahoma"/>
        </w:rPr>
        <w:t>4</w:t>
      </w:r>
      <w:r w:rsidRPr="0019063A">
        <w:rPr>
          <w:rFonts w:ascii="Century Gothic" w:hAnsi="Century Gothic" w:cs="Tahoma"/>
        </w:rPr>
        <w:t xml:space="preserve"> r. nie odbiegała istotnie od ich wartości godziwej.</w:t>
      </w:r>
    </w:p>
    <w:p w:rsidR="00BF28B4" w:rsidRDefault="00BF28B4" w:rsidP="00392A7A">
      <w:pPr>
        <w:autoSpaceDE w:val="0"/>
        <w:autoSpaceDN w:val="0"/>
        <w:adjustRightInd w:val="0"/>
        <w:ind w:left="426"/>
        <w:jc w:val="both"/>
        <w:rPr>
          <w:rFonts w:ascii="Century Gothic" w:hAnsi="Century Gothic" w:cs="Tahoma"/>
        </w:rPr>
      </w:pPr>
    </w:p>
    <w:p w:rsidR="00A84324" w:rsidRDefault="00A84324" w:rsidP="003A18AB">
      <w:pPr>
        <w:pStyle w:val="Nagwek2"/>
        <w:numPr>
          <w:ilvl w:val="0"/>
          <w:numId w:val="8"/>
        </w:numPr>
        <w:jc w:val="both"/>
        <w:rPr>
          <w:rFonts w:ascii="Century Gothic" w:hAnsi="Century Gothic"/>
          <w:bCs/>
          <w:i w:val="0"/>
          <w:color w:val="0000FF"/>
          <w:sz w:val="20"/>
        </w:rPr>
      </w:pPr>
      <w:bookmarkStart w:id="43" w:name="_Toc387945904"/>
      <w:r w:rsidRPr="00B233C1">
        <w:rPr>
          <w:rFonts w:ascii="Century Gothic" w:hAnsi="Century Gothic"/>
          <w:bCs/>
          <w:i w:val="0"/>
          <w:color w:val="0000FF"/>
          <w:sz w:val="20"/>
        </w:rPr>
        <w:t>EMISJA, WYKUP I SPŁATA DŁUŻNYCH I KAPITAŁOWYCH PAPIERÓW WARTOŚCIOWYCH</w:t>
      </w:r>
      <w:bookmarkEnd w:id="43"/>
    </w:p>
    <w:p w:rsidR="003E37FD" w:rsidRPr="00096C8F" w:rsidRDefault="003E37FD" w:rsidP="003E37FD"/>
    <w:p w:rsidR="006E7A63" w:rsidRDefault="006E7A63" w:rsidP="006E7A63">
      <w:pPr>
        <w:ind w:left="426"/>
        <w:jc w:val="both"/>
        <w:rPr>
          <w:rFonts w:ascii="Century Gothic" w:hAnsi="Century Gothic" w:cs="Tahoma"/>
        </w:rPr>
      </w:pPr>
      <w:r>
        <w:rPr>
          <w:rFonts w:ascii="Century Gothic" w:hAnsi="Century Gothic" w:cs="Tahoma"/>
        </w:rPr>
        <w:t>W dniu 2 lipca 2013 r. spółka dokonała przydziału 231.956 obligacji serii J o łącznej wartości nominalnej 23.195.600 zł. Obligacje zostały wyemitowane na okres 2 lat. W dniu 4 lutego 2014 r. obligacje serii J zostały zarejestrowane w Krajowym Depozycie Papierów Wartościowych i oznaczone kodem ISIN PLNFI1000178. W dniach 27 grudnia 2013 r. oraz 28 marca 2014 r. przypadały terminy wypłaty odsetek od obligacji serii J odpowiednio za pierwszy i drugi okres odsetkowy. W ww. terminach Spółka nie dysponowała środkami, które umożliwiałyby jej wypłatę odsetek, wskutek czego odsetki od obligacji serii J nie zostały spłacone. Do dnia publikacji niniejszego raportu część odsetek od obligacji serii J została rozliczona w drodze porozumień z obligatariuszami. Do dnia publikacji niniejszego raportu Spółka dokonała przedterminowego wykupu 11.111 sztuk obligacji serii J, w związku z czym aktualnie posiada zobowiązania z tytułu 220.845 obligacji serii J.</w:t>
      </w:r>
    </w:p>
    <w:p w:rsidR="006E7A63" w:rsidRDefault="006E7A63" w:rsidP="006E7A63">
      <w:pPr>
        <w:ind w:left="426"/>
        <w:jc w:val="both"/>
        <w:rPr>
          <w:rFonts w:ascii="Century Gothic" w:hAnsi="Century Gothic" w:cs="Tahoma"/>
        </w:rPr>
      </w:pPr>
    </w:p>
    <w:p w:rsidR="00A0204C" w:rsidRDefault="006E7A63" w:rsidP="006E7A63">
      <w:pPr>
        <w:ind w:left="426"/>
        <w:jc w:val="both"/>
        <w:rPr>
          <w:rFonts w:ascii="Century Gothic" w:hAnsi="Century Gothic" w:cs="Tahoma"/>
        </w:rPr>
      </w:pPr>
      <w:r>
        <w:rPr>
          <w:rFonts w:ascii="Century Gothic" w:hAnsi="Century Gothic" w:cs="Tahoma"/>
        </w:rPr>
        <w:t>W grudniu 2011 r. Spółka wyemitowała 5.025 dwuletnich obligacji serii E, oznaczonych kodem ISIN PLNFI1000095, o łącznej wartości nominalnej 5.025.000 zł. Część obligacji serii E w liczbie 1.463 była przedmiotem przedterminowego wykupu w dniu 2 lipca 2013 r. Termin wykupu pozostałej części obligacji serii E, tj. 3.562 sztuk, wraz z odsetkami za ostatni okres odsetkowy, przypadał na 18 grudnia 2013 roku. W związku z brakiem środków Spółka w tym terminie nie wykupiła obligacji serii E. Na koniec okresu sprawozdawczego nadal pozostawały do wykupienia 3.562 obligacje serii E. W kwietniu br. Spółka rozpoczęła proces wykupu obligacji serii E.</w:t>
      </w:r>
    </w:p>
    <w:p w:rsidR="00004326" w:rsidRPr="00004326" w:rsidRDefault="00004326" w:rsidP="00004326">
      <w:pPr>
        <w:ind w:left="426"/>
        <w:jc w:val="both"/>
        <w:rPr>
          <w:rFonts w:ascii="Century Gothic" w:hAnsi="Century Gothic" w:cs="Tahoma"/>
        </w:rPr>
      </w:pPr>
    </w:p>
    <w:p w:rsidR="00392A7A" w:rsidRPr="00B233C1" w:rsidRDefault="00392A7A" w:rsidP="003A18AB">
      <w:pPr>
        <w:pStyle w:val="Nagwek2"/>
        <w:numPr>
          <w:ilvl w:val="0"/>
          <w:numId w:val="8"/>
        </w:numPr>
        <w:ind w:left="502"/>
        <w:jc w:val="both"/>
        <w:rPr>
          <w:rFonts w:ascii="Century Gothic" w:hAnsi="Century Gothic"/>
          <w:bCs/>
          <w:i w:val="0"/>
          <w:color w:val="0000FF"/>
          <w:sz w:val="20"/>
        </w:rPr>
      </w:pPr>
      <w:bookmarkStart w:id="44" w:name="_Toc387945905"/>
      <w:r w:rsidRPr="00B233C1">
        <w:rPr>
          <w:rFonts w:ascii="Century Gothic" w:hAnsi="Century Gothic"/>
          <w:bCs/>
          <w:i w:val="0"/>
          <w:color w:val="0000FF"/>
          <w:sz w:val="20"/>
        </w:rPr>
        <w:t>INFORMACJA O KURSIE EURO</w:t>
      </w:r>
      <w:bookmarkEnd w:id="44"/>
    </w:p>
    <w:p w:rsidR="00392A7A" w:rsidRPr="009479F2" w:rsidRDefault="00392A7A" w:rsidP="00392A7A">
      <w:pPr>
        <w:rPr>
          <w:rFonts w:ascii="Century Gothic" w:hAnsi="Century Gothic" w:cs="Tahoma"/>
          <w:b/>
        </w:rPr>
      </w:pPr>
    </w:p>
    <w:p w:rsidR="00392A7A" w:rsidRPr="00125C49" w:rsidRDefault="00392A7A" w:rsidP="00392A7A">
      <w:pPr>
        <w:pStyle w:val="Tekstpodstawowy3"/>
        <w:ind w:left="426"/>
        <w:rPr>
          <w:rFonts w:ascii="Century Gothic" w:hAnsi="Century Gothic" w:cs="Tahoma"/>
          <w:color w:val="auto"/>
          <w:sz w:val="20"/>
        </w:rPr>
      </w:pPr>
      <w:r w:rsidRPr="00125C49">
        <w:rPr>
          <w:rFonts w:ascii="Century Gothic" w:hAnsi="Century Gothic" w:cs="Tahoma"/>
          <w:color w:val="auto"/>
          <w:sz w:val="20"/>
        </w:rPr>
        <w:t>Wybrane dane finansowe zawarte w niniejszym raporcie zostały przeliczone na EURO według następujących zasad:</w:t>
      </w:r>
    </w:p>
    <w:p w:rsidR="00392A7A" w:rsidRPr="00125C49" w:rsidRDefault="00392A7A" w:rsidP="00392A7A">
      <w:pPr>
        <w:pStyle w:val="Tekstpodstawowy3"/>
        <w:ind w:left="426"/>
        <w:rPr>
          <w:rFonts w:ascii="Century Gothic" w:hAnsi="Century Gothic" w:cs="Tahoma"/>
          <w:color w:val="auto"/>
          <w:sz w:val="20"/>
        </w:rPr>
      </w:pPr>
    </w:p>
    <w:p w:rsidR="00392A7A" w:rsidRPr="00BD624C" w:rsidRDefault="00392A7A" w:rsidP="00392A7A">
      <w:pPr>
        <w:tabs>
          <w:tab w:val="left" w:pos="-567"/>
        </w:tabs>
        <w:spacing w:line="233" w:lineRule="auto"/>
        <w:ind w:left="426"/>
        <w:jc w:val="both"/>
        <w:rPr>
          <w:rFonts w:ascii="Century Gothic" w:hAnsi="Century Gothic" w:cs="Tahoma"/>
        </w:rPr>
      </w:pPr>
      <w:r w:rsidRPr="00125C49">
        <w:rPr>
          <w:rFonts w:ascii="Century Gothic" w:hAnsi="Century Gothic" w:cs="Tahoma"/>
        </w:rPr>
        <w:t xml:space="preserve">Poszczególne pozycje aktywów i pasywów – według </w:t>
      </w:r>
      <w:r w:rsidRPr="003732C6">
        <w:rPr>
          <w:rFonts w:ascii="Century Gothic" w:hAnsi="Century Gothic" w:cs="Tahoma"/>
        </w:rPr>
        <w:t xml:space="preserve">średniego kursu ogłoszonego na ostatni dzień każdego okresu sprawozdawczego przez Narodowy </w:t>
      </w:r>
      <w:r w:rsidRPr="00BD624C">
        <w:rPr>
          <w:rFonts w:ascii="Century Gothic" w:hAnsi="Century Gothic" w:cs="Tahoma"/>
        </w:rPr>
        <w:t>Bank Polski:</w:t>
      </w:r>
    </w:p>
    <w:p w:rsidR="003E37FD" w:rsidRDefault="003E37FD" w:rsidP="00392A7A">
      <w:pPr>
        <w:tabs>
          <w:tab w:val="left" w:pos="-567"/>
        </w:tabs>
        <w:spacing w:line="233" w:lineRule="auto"/>
        <w:ind w:left="426"/>
        <w:jc w:val="both"/>
        <w:rPr>
          <w:rFonts w:ascii="Century Gothic" w:hAnsi="Century Gothic" w:cs="Tahoma"/>
        </w:rPr>
      </w:pPr>
    </w:p>
    <w:p w:rsidR="00392A7A" w:rsidRPr="006701AA" w:rsidRDefault="00392A7A" w:rsidP="00392A7A">
      <w:pPr>
        <w:tabs>
          <w:tab w:val="left" w:pos="-567"/>
        </w:tabs>
        <w:spacing w:line="233" w:lineRule="auto"/>
        <w:ind w:left="426"/>
        <w:jc w:val="both"/>
        <w:rPr>
          <w:rFonts w:ascii="Century Gothic" w:hAnsi="Century Gothic" w:cs="Tahoma"/>
        </w:rPr>
      </w:pPr>
      <w:r w:rsidRPr="00F01711">
        <w:rPr>
          <w:rFonts w:ascii="Century Gothic" w:hAnsi="Century Gothic" w:cs="Tahoma"/>
        </w:rPr>
        <w:t>na dzień 3</w:t>
      </w:r>
      <w:r w:rsidR="007B631E" w:rsidRPr="00F01711">
        <w:rPr>
          <w:rFonts w:ascii="Century Gothic" w:hAnsi="Century Gothic" w:cs="Tahoma"/>
        </w:rPr>
        <w:t xml:space="preserve">1 </w:t>
      </w:r>
      <w:r w:rsidR="003B6EFF" w:rsidRPr="00F01711">
        <w:rPr>
          <w:rFonts w:ascii="Century Gothic" w:hAnsi="Century Gothic" w:cs="Tahoma"/>
        </w:rPr>
        <w:t>marca</w:t>
      </w:r>
      <w:r w:rsidR="00835D4B" w:rsidRPr="00F01711">
        <w:rPr>
          <w:rFonts w:ascii="Century Gothic" w:hAnsi="Century Gothic" w:cs="Tahoma"/>
        </w:rPr>
        <w:t xml:space="preserve"> </w:t>
      </w:r>
      <w:r w:rsidRPr="00F01711">
        <w:rPr>
          <w:rFonts w:ascii="Century Gothic" w:hAnsi="Century Gothic" w:cs="Tahoma"/>
        </w:rPr>
        <w:t>201</w:t>
      </w:r>
      <w:r w:rsidR="003B6EFF" w:rsidRPr="00F01711">
        <w:rPr>
          <w:rFonts w:ascii="Century Gothic" w:hAnsi="Century Gothic" w:cs="Tahoma"/>
        </w:rPr>
        <w:t>4</w:t>
      </w:r>
      <w:r w:rsidRPr="00F01711">
        <w:rPr>
          <w:rFonts w:ascii="Century Gothic" w:hAnsi="Century Gothic" w:cs="Tahoma"/>
        </w:rPr>
        <w:t xml:space="preserve">r. </w:t>
      </w:r>
      <w:r w:rsidRPr="00F01711">
        <w:rPr>
          <w:rFonts w:ascii="Century Gothic" w:hAnsi="Century Gothic" w:cs="Tahoma"/>
        </w:rPr>
        <w:tab/>
      </w:r>
      <w:r w:rsidRPr="00F01711">
        <w:rPr>
          <w:rFonts w:ascii="Century Gothic" w:hAnsi="Century Gothic" w:cs="Tahoma"/>
        </w:rPr>
        <w:tab/>
      </w:r>
      <w:r w:rsidRPr="00F01711">
        <w:rPr>
          <w:rFonts w:ascii="Century Gothic" w:hAnsi="Century Gothic" w:cs="Tahoma"/>
        </w:rPr>
        <w:tab/>
      </w:r>
      <w:r w:rsidRPr="00F01711">
        <w:rPr>
          <w:rFonts w:ascii="Century Gothic" w:hAnsi="Century Gothic" w:cs="Tahoma"/>
        </w:rPr>
        <w:tab/>
        <w:t>-</w:t>
      </w:r>
      <w:r w:rsidRPr="00F01711">
        <w:rPr>
          <w:rFonts w:ascii="Century Gothic" w:hAnsi="Century Gothic" w:cs="Tahoma"/>
        </w:rPr>
        <w:tab/>
        <w:t>4,</w:t>
      </w:r>
      <w:r w:rsidR="006701AA" w:rsidRPr="00F01711">
        <w:rPr>
          <w:rFonts w:ascii="Century Gothic" w:hAnsi="Century Gothic" w:cs="Tahoma"/>
        </w:rPr>
        <w:t>1</w:t>
      </w:r>
      <w:r w:rsidR="00F01711" w:rsidRPr="00F01711">
        <w:rPr>
          <w:rFonts w:ascii="Century Gothic" w:hAnsi="Century Gothic" w:cs="Tahoma"/>
        </w:rPr>
        <w:t>713</w:t>
      </w:r>
    </w:p>
    <w:p w:rsidR="004B5138" w:rsidRPr="006701AA" w:rsidRDefault="004B5138" w:rsidP="004B5138">
      <w:pPr>
        <w:tabs>
          <w:tab w:val="left" w:pos="-567"/>
        </w:tabs>
        <w:spacing w:line="233" w:lineRule="auto"/>
        <w:ind w:left="426"/>
        <w:jc w:val="both"/>
        <w:rPr>
          <w:rFonts w:ascii="Century Gothic" w:hAnsi="Century Gothic" w:cs="Tahoma"/>
        </w:rPr>
      </w:pPr>
      <w:r w:rsidRPr="006701AA">
        <w:rPr>
          <w:rFonts w:ascii="Century Gothic" w:hAnsi="Century Gothic" w:cs="Tahoma"/>
        </w:rPr>
        <w:lastRenderedPageBreak/>
        <w:t>na dzień 3</w:t>
      </w:r>
      <w:r w:rsidR="007B631E" w:rsidRPr="006701AA">
        <w:rPr>
          <w:rFonts w:ascii="Century Gothic" w:hAnsi="Century Gothic" w:cs="Tahoma"/>
        </w:rPr>
        <w:t>1 grudnia</w:t>
      </w:r>
      <w:r w:rsidRPr="006701AA">
        <w:rPr>
          <w:rFonts w:ascii="Century Gothic" w:hAnsi="Century Gothic" w:cs="Tahoma"/>
        </w:rPr>
        <w:t xml:space="preserve"> 201</w:t>
      </w:r>
      <w:r w:rsidR="003B6EFF">
        <w:rPr>
          <w:rFonts w:ascii="Century Gothic" w:hAnsi="Century Gothic" w:cs="Tahoma"/>
        </w:rPr>
        <w:t>3</w:t>
      </w:r>
      <w:r w:rsidRPr="006701AA">
        <w:rPr>
          <w:rFonts w:ascii="Century Gothic" w:hAnsi="Century Gothic" w:cs="Tahoma"/>
        </w:rPr>
        <w:t xml:space="preserve">r. </w:t>
      </w:r>
      <w:r w:rsidRPr="006701AA">
        <w:rPr>
          <w:rFonts w:ascii="Century Gothic" w:hAnsi="Century Gothic" w:cs="Tahoma"/>
        </w:rPr>
        <w:tab/>
      </w:r>
      <w:r w:rsidRPr="006701AA">
        <w:rPr>
          <w:rFonts w:ascii="Century Gothic" w:hAnsi="Century Gothic" w:cs="Tahoma"/>
        </w:rPr>
        <w:tab/>
      </w:r>
      <w:r w:rsidRPr="006701AA">
        <w:rPr>
          <w:rFonts w:ascii="Century Gothic" w:hAnsi="Century Gothic" w:cs="Tahoma"/>
        </w:rPr>
        <w:tab/>
      </w:r>
      <w:r w:rsidRPr="006701AA">
        <w:rPr>
          <w:rFonts w:ascii="Century Gothic" w:hAnsi="Century Gothic" w:cs="Tahoma"/>
        </w:rPr>
        <w:tab/>
        <w:t>-</w:t>
      </w:r>
      <w:r w:rsidRPr="006701AA">
        <w:rPr>
          <w:rFonts w:ascii="Century Gothic" w:hAnsi="Century Gothic" w:cs="Tahoma"/>
        </w:rPr>
        <w:tab/>
        <w:t>4,</w:t>
      </w:r>
      <w:r w:rsidR="003B6EFF">
        <w:rPr>
          <w:rFonts w:ascii="Century Gothic" w:hAnsi="Century Gothic" w:cs="Tahoma"/>
        </w:rPr>
        <w:t>1472</w:t>
      </w:r>
    </w:p>
    <w:p w:rsidR="00392A7A" w:rsidRPr="006701AA" w:rsidRDefault="00392A7A" w:rsidP="00392A7A">
      <w:pPr>
        <w:tabs>
          <w:tab w:val="left" w:pos="-567"/>
        </w:tabs>
        <w:spacing w:line="233" w:lineRule="auto"/>
        <w:ind w:left="426"/>
        <w:jc w:val="both"/>
        <w:rPr>
          <w:rFonts w:ascii="Century Gothic" w:hAnsi="Century Gothic" w:cs="Tahoma"/>
        </w:rPr>
      </w:pPr>
    </w:p>
    <w:p w:rsidR="00392A7A" w:rsidRPr="006701AA" w:rsidRDefault="00392A7A" w:rsidP="00392A7A">
      <w:pPr>
        <w:tabs>
          <w:tab w:val="left" w:pos="-567"/>
        </w:tabs>
        <w:spacing w:line="233" w:lineRule="auto"/>
        <w:ind w:left="426"/>
        <w:jc w:val="both"/>
        <w:rPr>
          <w:rFonts w:ascii="Century Gothic" w:hAnsi="Century Gothic" w:cs="Tahoma"/>
        </w:rPr>
      </w:pPr>
      <w:r w:rsidRPr="006701AA">
        <w:rPr>
          <w:rFonts w:ascii="Century Gothic" w:hAnsi="Century Gothic" w:cs="Tahoma"/>
        </w:rPr>
        <w:t>Poszczególne pozycje rachunku zysków i strat oraz rachunku przepływów środków pieniężnych – według kursu stanowiącego średnią arytmetyczną średnich kursów ustalonych przez Narodowy Bank Polski na ostatni dzień każdego zakończonego miesiąca każdego okresu sprawozdawczego.</w:t>
      </w:r>
    </w:p>
    <w:p w:rsidR="003E37FD" w:rsidRPr="006701AA" w:rsidRDefault="003E37FD" w:rsidP="00392A7A">
      <w:pPr>
        <w:ind w:left="426"/>
        <w:jc w:val="both"/>
        <w:rPr>
          <w:rFonts w:ascii="Century Gothic" w:hAnsi="Century Gothic" w:cs="Tahoma"/>
        </w:rPr>
      </w:pPr>
    </w:p>
    <w:p w:rsidR="00392A7A" w:rsidRPr="006701AA" w:rsidRDefault="00392A7A" w:rsidP="00392A7A">
      <w:pPr>
        <w:ind w:left="426"/>
        <w:jc w:val="both"/>
        <w:rPr>
          <w:rFonts w:ascii="Century Gothic" w:hAnsi="Century Gothic" w:cs="Tahoma"/>
        </w:rPr>
      </w:pPr>
      <w:r w:rsidRPr="00665AF4">
        <w:rPr>
          <w:rFonts w:ascii="Century Gothic" w:hAnsi="Century Gothic" w:cs="Tahoma"/>
        </w:rPr>
        <w:t xml:space="preserve">za okres od 1 stycznia do </w:t>
      </w:r>
      <w:r w:rsidR="007B631E" w:rsidRPr="00665AF4">
        <w:rPr>
          <w:rFonts w:ascii="Century Gothic" w:hAnsi="Century Gothic" w:cs="Tahoma"/>
        </w:rPr>
        <w:t xml:space="preserve">31 </w:t>
      </w:r>
      <w:r w:rsidR="003B6EFF" w:rsidRPr="00665AF4">
        <w:rPr>
          <w:rFonts w:ascii="Century Gothic" w:hAnsi="Century Gothic" w:cs="Tahoma"/>
        </w:rPr>
        <w:t>marca</w:t>
      </w:r>
      <w:r w:rsidR="007B631E" w:rsidRPr="00665AF4">
        <w:rPr>
          <w:rFonts w:ascii="Century Gothic" w:hAnsi="Century Gothic" w:cs="Tahoma"/>
        </w:rPr>
        <w:t xml:space="preserve"> </w:t>
      </w:r>
      <w:r w:rsidR="004B5138" w:rsidRPr="00665AF4">
        <w:rPr>
          <w:rFonts w:ascii="Century Gothic" w:hAnsi="Century Gothic" w:cs="Tahoma"/>
        </w:rPr>
        <w:t>201</w:t>
      </w:r>
      <w:r w:rsidR="003B6EFF" w:rsidRPr="00665AF4">
        <w:rPr>
          <w:rFonts w:ascii="Century Gothic" w:hAnsi="Century Gothic" w:cs="Tahoma"/>
        </w:rPr>
        <w:t>4</w:t>
      </w:r>
      <w:r w:rsidRPr="00665AF4">
        <w:rPr>
          <w:rFonts w:ascii="Century Gothic" w:hAnsi="Century Gothic" w:cs="Tahoma"/>
        </w:rPr>
        <w:t xml:space="preserve">r. </w:t>
      </w:r>
      <w:r w:rsidRPr="00665AF4">
        <w:rPr>
          <w:rFonts w:ascii="Century Gothic" w:hAnsi="Century Gothic" w:cs="Tahoma"/>
        </w:rPr>
        <w:tab/>
      </w:r>
      <w:r w:rsidRPr="00665AF4">
        <w:rPr>
          <w:rFonts w:ascii="Century Gothic" w:hAnsi="Century Gothic" w:cs="Tahoma"/>
        </w:rPr>
        <w:tab/>
        <w:t>-</w:t>
      </w:r>
      <w:r w:rsidRPr="00665AF4">
        <w:rPr>
          <w:rFonts w:ascii="Century Gothic" w:hAnsi="Century Gothic" w:cs="Tahoma"/>
        </w:rPr>
        <w:tab/>
        <w:t>4,</w:t>
      </w:r>
      <w:r w:rsidR="00665AF4" w:rsidRPr="00665AF4">
        <w:rPr>
          <w:rFonts w:ascii="Century Gothic" w:hAnsi="Century Gothic" w:cs="Tahoma"/>
        </w:rPr>
        <w:t>1894</w:t>
      </w:r>
    </w:p>
    <w:p w:rsidR="00392A7A" w:rsidRPr="006701AA" w:rsidRDefault="00392A7A" w:rsidP="00392A7A">
      <w:pPr>
        <w:ind w:left="426"/>
        <w:jc w:val="both"/>
        <w:rPr>
          <w:rFonts w:ascii="Century Gothic" w:hAnsi="Century Gothic" w:cs="Tahoma"/>
        </w:rPr>
      </w:pPr>
      <w:r w:rsidRPr="006701AA">
        <w:rPr>
          <w:rFonts w:ascii="Century Gothic" w:hAnsi="Century Gothic" w:cs="Tahoma"/>
        </w:rPr>
        <w:t xml:space="preserve">za okres od 1 stycznia do </w:t>
      </w:r>
      <w:r w:rsidR="007B631E" w:rsidRPr="006701AA">
        <w:rPr>
          <w:rFonts w:ascii="Century Gothic" w:hAnsi="Century Gothic" w:cs="Tahoma"/>
        </w:rPr>
        <w:t xml:space="preserve">31 </w:t>
      </w:r>
      <w:r w:rsidR="003B6EFF">
        <w:rPr>
          <w:rFonts w:ascii="Century Gothic" w:hAnsi="Century Gothic" w:cs="Tahoma"/>
        </w:rPr>
        <w:t>marca</w:t>
      </w:r>
      <w:r w:rsidR="007B631E" w:rsidRPr="006701AA">
        <w:rPr>
          <w:rFonts w:ascii="Century Gothic" w:hAnsi="Century Gothic" w:cs="Tahoma"/>
        </w:rPr>
        <w:t xml:space="preserve"> </w:t>
      </w:r>
      <w:r w:rsidRPr="006701AA">
        <w:rPr>
          <w:rFonts w:ascii="Century Gothic" w:hAnsi="Century Gothic" w:cs="Tahoma"/>
        </w:rPr>
        <w:t>201</w:t>
      </w:r>
      <w:r w:rsidR="003B6EFF">
        <w:rPr>
          <w:rFonts w:ascii="Century Gothic" w:hAnsi="Century Gothic" w:cs="Tahoma"/>
        </w:rPr>
        <w:t>3</w:t>
      </w:r>
      <w:r w:rsidRPr="006701AA">
        <w:rPr>
          <w:rFonts w:ascii="Century Gothic" w:hAnsi="Century Gothic" w:cs="Tahoma"/>
        </w:rPr>
        <w:t xml:space="preserve">r. </w:t>
      </w:r>
      <w:r w:rsidRPr="006701AA">
        <w:rPr>
          <w:rFonts w:ascii="Century Gothic" w:hAnsi="Century Gothic" w:cs="Tahoma"/>
        </w:rPr>
        <w:tab/>
      </w:r>
      <w:r w:rsidRPr="006701AA">
        <w:rPr>
          <w:rFonts w:ascii="Century Gothic" w:hAnsi="Century Gothic" w:cs="Tahoma"/>
        </w:rPr>
        <w:tab/>
        <w:t>-</w:t>
      </w:r>
      <w:r w:rsidRPr="006701AA">
        <w:rPr>
          <w:rFonts w:ascii="Century Gothic" w:hAnsi="Century Gothic" w:cs="Tahoma"/>
        </w:rPr>
        <w:tab/>
      </w:r>
      <w:r w:rsidR="00185FE8" w:rsidRPr="006701AA">
        <w:rPr>
          <w:rFonts w:ascii="Century Gothic" w:hAnsi="Century Gothic" w:cs="Tahoma"/>
        </w:rPr>
        <w:t>4</w:t>
      </w:r>
      <w:r w:rsidRPr="006701AA">
        <w:rPr>
          <w:rFonts w:ascii="Century Gothic" w:hAnsi="Century Gothic" w:cs="Tahoma"/>
        </w:rPr>
        <w:t>,</w:t>
      </w:r>
      <w:r w:rsidR="001B0943" w:rsidRPr="006701AA">
        <w:rPr>
          <w:rFonts w:ascii="Century Gothic" w:hAnsi="Century Gothic" w:cs="Tahoma"/>
        </w:rPr>
        <w:t>1</w:t>
      </w:r>
      <w:r w:rsidR="006701AA" w:rsidRPr="006701AA">
        <w:rPr>
          <w:rFonts w:ascii="Century Gothic" w:hAnsi="Century Gothic" w:cs="Tahoma"/>
        </w:rPr>
        <w:t>73</w:t>
      </w:r>
      <w:r w:rsidR="003B6EFF">
        <w:rPr>
          <w:rFonts w:ascii="Century Gothic" w:hAnsi="Century Gothic" w:cs="Tahoma"/>
        </w:rPr>
        <w:t>8</w:t>
      </w:r>
    </w:p>
    <w:p w:rsidR="00392A7A" w:rsidRDefault="00392A7A" w:rsidP="00392A7A">
      <w:pPr>
        <w:ind w:left="426"/>
        <w:jc w:val="both"/>
        <w:rPr>
          <w:rFonts w:ascii="Century Gothic" w:hAnsi="Century Gothic" w:cs="Tahoma"/>
        </w:rPr>
      </w:pPr>
    </w:p>
    <w:p w:rsidR="00392A7A" w:rsidRDefault="00392A7A" w:rsidP="00974CD0">
      <w:pPr>
        <w:pStyle w:val="Nagwek2"/>
        <w:numPr>
          <w:ilvl w:val="0"/>
          <w:numId w:val="8"/>
        </w:numPr>
        <w:jc w:val="both"/>
        <w:rPr>
          <w:rFonts w:ascii="Century Gothic" w:hAnsi="Century Gothic"/>
          <w:bCs/>
          <w:i w:val="0"/>
          <w:color w:val="0000FF"/>
          <w:sz w:val="20"/>
        </w:rPr>
      </w:pPr>
      <w:bookmarkStart w:id="45" w:name="_Toc292971718"/>
      <w:bookmarkStart w:id="46" w:name="_Toc387945906"/>
      <w:bookmarkEnd w:id="45"/>
      <w:r w:rsidRPr="00125C49">
        <w:rPr>
          <w:rFonts w:ascii="Century Gothic" w:hAnsi="Century Gothic"/>
          <w:bCs/>
          <w:i w:val="0"/>
          <w:color w:val="0000FF"/>
          <w:sz w:val="20"/>
        </w:rPr>
        <w:t>INFORMACJE DOTYCZĄCE SEGMENTÓW DZIAŁALNOŚCI</w:t>
      </w:r>
      <w:bookmarkEnd w:id="46"/>
    </w:p>
    <w:p w:rsidR="003E37FD" w:rsidRPr="003E37FD" w:rsidRDefault="003E37FD" w:rsidP="003E37FD"/>
    <w:p w:rsidR="00392A7A" w:rsidRDefault="00392A7A" w:rsidP="00392A7A">
      <w:pPr>
        <w:pStyle w:val="Nagwek"/>
        <w:tabs>
          <w:tab w:val="clear" w:pos="4536"/>
          <w:tab w:val="clear" w:pos="9072"/>
        </w:tabs>
        <w:ind w:left="426"/>
        <w:jc w:val="both"/>
        <w:rPr>
          <w:rFonts w:ascii="Century Gothic" w:hAnsi="Century Gothic" w:cs="Tahoma"/>
        </w:rPr>
      </w:pPr>
      <w:r w:rsidRPr="009479F2">
        <w:rPr>
          <w:rFonts w:ascii="Century Gothic" w:hAnsi="Century Gothic" w:cs="Tahoma"/>
        </w:rPr>
        <w:t xml:space="preserve">Grupa w okresie sprawozdawczym identyfikowała </w:t>
      </w:r>
      <w:r>
        <w:rPr>
          <w:rFonts w:ascii="Century Gothic" w:hAnsi="Century Gothic" w:cs="Tahoma"/>
        </w:rPr>
        <w:t xml:space="preserve">następujące </w:t>
      </w:r>
      <w:r w:rsidRPr="009479F2">
        <w:rPr>
          <w:rFonts w:ascii="Century Gothic" w:hAnsi="Century Gothic" w:cs="Tahoma"/>
        </w:rPr>
        <w:t>segm</w:t>
      </w:r>
      <w:r>
        <w:rPr>
          <w:rFonts w:ascii="Century Gothic" w:hAnsi="Century Gothic" w:cs="Tahoma"/>
        </w:rPr>
        <w:t xml:space="preserve">enty sprawozdawcze: </w:t>
      </w:r>
    </w:p>
    <w:p w:rsidR="00392A7A" w:rsidRDefault="00392A7A" w:rsidP="008B2472">
      <w:pPr>
        <w:pStyle w:val="Nagwek"/>
        <w:numPr>
          <w:ilvl w:val="0"/>
          <w:numId w:val="15"/>
        </w:numPr>
        <w:tabs>
          <w:tab w:val="clear" w:pos="4536"/>
          <w:tab w:val="clear" w:pos="9072"/>
        </w:tabs>
        <w:jc w:val="both"/>
        <w:rPr>
          <w:rFonts w:ascii="Century Gothic" w:hAnsi="Century Gothic" w:cs="Tahoma"/>
        </w:rPr>
      </w:pPr>
      <w:r w:rsidRPr="009479F2">
        <w:rPr>
          <w:rFonts w:ascii="Century Gothic" w:hAnsi="Century Gothic" w:cs="Tahoma"/>
        </w:rPr>
        <w:t xml:space="preserve">działalność prowadzoną przez spółkę zależną OZEN Plus Sp. z o. o., </w:t>
      </w:r>
    </w:p>
    <w:p w:rsidR="00392A7A" w:rsidRDefault="00392A7A" w:rsidP="008B2472">
      <w:pPr>
        <w:pStyle w:val="Nagwek"/>
        <w:numPr>
          <w:ilvl w:val="0"/>
          <w:numId w:val="15"/>
        </w:numPr>
        <w:tabs>
          <w:tab w:val="clear" w:pos="4536"/>
          <w:tab w:val="clear" w:pos="9072"/>
        </w:tabs>
        <w:jc w:val="both"/>
        <w:rPr>
          <w:rFonts w:ascii="Century Gothic" w:hAnsi="Century Gothic" w:cs="Tahoma"/>
        </w:rPr>
      </w:pPr>
      <w:r w:rsidRPr="009479F2">
        <w:rPr>
          <w:rFonts w:ascii="Century Gothic" w:hAnsi="Century Gothic" w:cs="Tahoma"/>
        </w:rPr>
        <w:t xml:space="preserve">działalność prowadzoną w zakresie elektrowni wodnych (Elektrownie Wodne ZENERIS Sp. z o. o., Elektrownie Wodne </w:t>
      </w:r>
      <w:smartTag w:uri="urn:schemas-microsoft-com:office:smarttags" w:element="PersonName">
        <w:smartTagPr>
          <w:attr w:name="ProductID" w:val="Zeneris PLUS"/>
        </w:smartTagPr>
        <w:r w:rsidRPr="009479F2">
          <w:rPr>
            <w:rFonts w:ascii="Century Gothic" w:hAnsi="Century Gothic" w:cs="Tahoma"/>
          </w:rPr>
          <w:t>ZENERIS Plus</w:t>
        </w:r>
      </w:smartTag>
      <w:r w:rsidRPr="009479F2">
        <w:rPr>
          <w:rFonts w:ascii="Century Gothic" w:hAnsi="Century Gothic" w:cs="Tahoma"/>
        </w:rPr>
        <w:t xml:space="preserve"> Sp. z o. o. oraz Zespół Elektrowni Wodnych ZENERIS Sp. z o.o.), </w:t>
      </w:r>
    </w:p>
    <w:p w:rsidR="00392A7A" w:rsidRDefault="00392A7A" w:rsidP="008B2472">
      <w:pPr>
        <w:pStyle w:val="Nagwek"/>
        <w:numPr>
          <w:ilvl w:val="0"/>
          <w:numId w:val="15"/>
        </w:numPr>
        <w:tabs>
          <w:tab w:val="clear" w:pos="4536"/>
          <w:tab w:val="clear" w:pos="9072"/>
        </w:tabs>
        <w:jc w:val="both"/>
        <w:rPr>
          <w:rFonts w:ascii="Century Gothic" w:hAnsi="Century Gothic" w:cs="Tahoma"/>
        </w:rPr>
      </w:pPr>
      <w:r w:rsidRPr="009479F2">
        <w:rPr>
          <w:rFonts w:ascii="Century Gothic" w:hAnsi="Century Gothic" w:cs="Tahoma"/>
        </w:rPr>
        <w:t xml:space="preserve">działalność prowadzoną </w:t>
      </w:r>
      <w:r>
        <w:rPr>
          <w:rFonts w:ascii="Century Gothic" w:hAnsi="Century Gothic" w:cs="Tahoma"/>
        </w:rPr>
        <w:t>w zakresie elektrowni biogazowych (</w:t>
      </w:r>
      <w:r w:rsidRPr="009479F2">
        <w:rPr>
          <w:rFonts w:ascii="Century Gothic" w:hAnsi="Century Gothic" w:cs="Tahoma"/>
        </w:rPr>
        <w:t xml:space="preserve">Biogaz </w:t>
      </w:r>
      <w:proofErr w:type="spellStart"/>
      <w:r w:rsidRPr="009479F2">
        <w:rPr>
          <w:rFonts w:ascii="Century Gothic" w:hAnsi="Century Gothic" w:cs="Tahoma"/>
        </w:rPr>
        <w:t>Zeneris</w:t>
      </w:r>
      <w:proofErr w:type="spellEnd"/>
      <w:r w:rsidRPr="009479F2">
        <w:rPr>
          <w:rFonts w:ascii="Century Gothic" w:hAnsi="Century Gothic" w:cs="Tahoma"/>
        </w:rPr>
        <w:t xml:space="preserve"> Sp. z o. o.</w:t>
      </w:r>
      <w:r>
        <w:rPr>
          <w:rFonts w:ascii="Century Gothic" w:hAnsi="Century Gothic" w:cs="Tahoma"/>
        </w:rPr>
        <w:t xml:space="preserve">, </w:t>
      </w:r>
      <w:proofErr w:type="spellStart"/>
      <w:r>
        <w:rPr>
          <w:rFonts w:ascii="Century Gothic" w:hAnsi="Century Gothic" w:cs="Tahoma"/>
        </w:rPr>
        <w:t>Biogazownia</w:t>
      </w:r>
      <w:proofErr w:type="spellEnd"/>
      <w:r>
        <w:rPr>
          <w:rFonts w:ascii="Century Gothic" w:hAnsi="Century Gothic" w:cs="Tahoma"/>
        </w:rPr>
        <w:t xml:space="preserve"> Bielany Sp. z o.o., Biogaz </w:t>
      </w:r>
      <w:proofErr w:type="spellStart"/>
      <w:r>
        <w:rPr>
          <w:rFonts w:ascii="Century Gothic" w:hAnsi="Century Gothic" w:cs="Tahoma"/>
        </w:rPr>
        <w:t>Zeneris</w:t>
      </w:r>
      <w:proofErr w:type="spellEnd"/>
      <w:r>
        <w:rPr>
          <w:rFonts w:ascii="Century Gothic" w:hAnsi="Century Gothic" w:cs="Tahoma"/>
        </w:rPr>
        <w:t xml:space="preserve"> Tech Sp. z o.o.)</w:t>
      </w:r>
      <w:r w:rsidR="00FB031E">
        <w:rPr>
          <w:rFonts w:ascii="Century Gothic" w:hAnsi="Century Gothic" w:cs="Tahoma"/>
        </w:rPr>
        <w:t>,</w:t>
      </w:r>
    </w:p>
    <w:p w:rsidR="00392A7A" w:rsidRDefault="00392A7A" w:rsidP="008B2472">
      <w:pPr>
        <w:pStyle w:val="Nagwek"/>
        <w:numPr>
          <w:ilvl w:val="0"/>
          <w:numId w:val="15"/>
        </w:numPr>
        <w:tabs>
          <w:tab w:val="clear" w:pos="4536"/>
          <w:tab w:val="clear" w:pos="9072"/>
        </w:tabs>
        <w:jc w:val="both"/>
        <w:rPr>
          <w:rFonts w:ascii="Century Gothic" w:hAnsi="Century Gothic" w:cs="Tahoma"/>
        </w:rPr>
      </w:pPr>
      <w:r w:rsidRPr="009479F2">
        <w:rPr>
          <w:rFonts w:ascii="Century Gothic" w:hAnsi="Century Gothic" w:cs="Tahoma"/>
        </w:rPr>
        <w:t xml:space="preserve">działalność prowadzoną przez </w:t>
      </w:r>
      <w:proofErr w:type="spellStart"/>
      <w:r>
        <w:rPr>
          <w:rFonts w:ascii="Century Gothic" w:hAnsi="Century Gothic" w:cs="Tahoma"/>
        </w:rPr>
        <w:t>Viatron</w:t>
      </w:r>
      <w:proofErr w:type="spellEnd"/>
      <w:r w:rsidRPr="009479F2">
        <w:rPr>
          <w:rFonts w:ascii="Century Gothic" w:hAnsi="Century Gothic" w:cs="Tahoma"/>
        </w:rPr>
        <w:t xml:space="preserve"> S</w:t>
      </w:r>
      <w:r>
        <w:rPr>
          <w:rFonts w:ascii="Century Gothic" w:hAnsi="Century Gothic" w:cs="Tahoma"/>
        </w:rPr>
        <w:t xml:space="preserve">.A. </w:t>
      </w:r>
      <w:r w:rsidR="008C37DA">
        <w:rPr>
          <w:rFonts w:ascii="Century Gothic" w:hAnsi="Century Gothic" w:cs="Tahoma"/>
        </w:rPr>
        <w:t>,</w:t>
      </w:r>
    </w:p>
    <w:p w:rsidR="00392A7A" w:rsidRPr="009479F2" w:rsidRDefault="00392A7A" w:rsidP="008B2472">
      <w:pPr>
        <w:pStyle w:val="Nagwek"/>
        <w:numPr>
          <w:ilvl w:val="0"/>
          <w:numId w:val="15"/>
        </w:numPr>
        <w:tabs>
          <w:tab w:val="clear" w:pos="4536"/>
          <w:tab w:val="clear" w:pos="9072"/>
        </w:tabs>
        <w:jc w:val="both"/>
        <w:rPr>
          <w:rFonts w:ascii="Century Gothic" w:hAnsi="Century Gothic" w:cs="Tahoma"/>
        </w:rPr>
      </w:pPr>
      <w:r w:rsidRPr="009479F2">
        <w:rPr>
          <w:rFonts w:ascii="Century Gothic" w:hAnsi="Century Gothic" w:cs="Tahoma"/>
        </w:rPr>
        <w:t>oraz ogólną działalność spółki dominującej związaną z inwestycjami w zakresie OZE.</w:t>
      </w:r>
    </w:p>
    <w:p w:rsidR="00392A7A" w:rsidRPr="009479F2" w:rsidRDefault="00392A7A" w:rsidP="00392A7A">
      <w:pPr>
        <w:pStyle w:val="Nagwek"/>
        <w:tabs>
          <w:tab w:val="clear" w:pos="4536"/>
          <w:tab w:val="clear" w:pos="9072"/>
        </w:tabs>
        <w:ind w:left="426"/>
        <w:jc w:val="both"/>
        <w:rPr>
          <w:rFonts w:ascii="Century Gothic" w:hAnsi="Century Gothic" w:cs="Tahoma"/>
        </w:rPr>
      </w:pPr>
    </w:p>
    <w:p w:rsidR="00392A7A" w:rsidRPr="009479F2" w:rsidRDefault="00392A7A" w:rsidP="00392A7A">
      <w:pPr>
        <w:pStyle w:val="Nagwek"/>
        <w:tabs>
          <w:tab w:val="clear" w:pos="4536"/>
          <w:tab w:val="clear" w:pos="9072"/>
        </w:tabs>
        <w:ind w:left="426"/>
        <w:jc w:val="both"/>
        <w:rPr>
          <w:rFonts w:ascii="Century Gothic" w:hAnsi="Century Gothic" w:cs="Tahoma"/>
        </w:rPr>
      </w:pPr>
      <w:r>
        <w:rPr>
          <w:rFonts w:ascii="Century Gothic" w:hAnsi="Century Gothic" w:cs="Tahoma"/>
        </w:rPr>
        <w:t xml:space="preserve">Grupa </w:t>
      </w:r>
      <w:r w:rsidRPr="009479F2">
        <w:rPr>
          <w:rFonts w:ascii="Century Gothic" w:hAnsi="Century Gothic" w:cs="Tahoma"/>
        </w:rPr>
        <w:t xml:space="preserve">nie identyfikowała </w:t>
      </w:r>
      <w:r>
        <w:rPr>
          <w:rFonts w:ascii="Century Gothic" w:hAnsi="Century Gothic" w:cs="Tahoma"/>
        </w:rPr>
        <w:t xml:space="preserve">obszarów </w:t>
      </w:r>
      <w:r w:rsidRPr="009479F2">
        <w:rPr>
          <w:rFonts w:ascii="Century Gothic" w:hAnsi="Century Gothic" w:cs="Tahoma"/>
        </w:rPr>
        <w:t xml:space="preserve">geograficznych – całość </w:t>
      </w:r>
      <w:r>
        <w:rPr>
          <w:rFonts w:ascii="Century Gothic" w:hAnsi="Century Gothic" w:cs="Tahoma"/>
        </w:rPr>
        <w:t xml:space="preserve">działalności </w:t>
      </w:r>
      <w:r w:rsidRPr="009479F2">
        <w:rPr>
          <w:rFonts w:ascii="Century Gothic" w:hAnsi="Century Gothic" w:cs="Tahoma"/>
        </w:rPr>
        <w:t>odbywała się na rynku krajowym.</w:t>
      </w:r>
    </w:p>
    <w:p w:rsidR="00392A7A" w:rsidRDefault="00392A7A" w:rsidP="00392A7A">
      <w:pPr>
        <w:pStyle w:val="Nagwek"/>
        <w:tabs>
          <w:tab w:val="clear" w:pos="4536"/>
          <w:tab w:val="clear" w:pos="9072"/>
        </w:tabs>
        <w:ind w:left="426"/>
        <w:jc w:val="both"/>
        <w:rPr>
          <w:rFonts w:ascii="Century Gothic" w:hAnsi="Century Gothic" w:cs="Tahoma"/>
        </w:rPr>
      </w:pPr>
    </w:p>
    <w:p w:rsidR="00392A7A" w:rsidRDefault="00392A7A" w:rsidP="00392A7A">
      <w:pPr>
        <w:pStyle w:val="Nagwek"/>
        <w:tabs>
          <w:tab w:val="clear" w:pos="4536"/>
          <w:tab w:val="clear" w:pos="9072"/>
        </w:tabs>
        <w:ind w:left="426"/>
        <w:jc w:val="both"/>
        <w:rPr>
          <w:rFonts w:ascii="Century Gothic" w:hAnsi="Century Gothic" w:cs="Tahoma"/>
        </w:rPr>
      </w:pPr>
      <w:r w:rsidRPr="000A057F">
        <w:rPr>
          <w:rFonts w:ascii="Century Gothic" w:hAnsi="Century Gothic" w:cs="Tahoma"/>
        </w:rPr>
        <w:t>Poniższe zestawienie przedstawia wybrane dane liczbowe dla poszczególnych segmentów działalności zgodnie z MSSF:</w:t>
      </w:r>
    </w:p>
    <w:p w:rsidR="0015746F" w:rsidRDefault="0015746F" w:rsidP="00392A7A">
      <w:pPr>
        <w:pStyle w:val="Nagwek"/>
        <w:tabs>
          <w:tab w:val="clear" w:pos="4536"/>
          <w:tab w:val="clear" w:pos="9072"/>
        </w:tabs>
        <w:ind w:left="426"/>
        <w:jc w:val="both"/>
        <w:rPr>
          <w:rFonts w:ascii="Century Gothic" w:hAnsi="Century Gothic" w:cs="Tahoma"/>
        </w:rPr>
      </w:pPr>
    </w:p>
    <w:p w:rsidR="00392A7A" w:rsidRPr="00D169F7" w:rsidRDefault="00155B3E" w:rsidP="00213D25">
      <w:pPr>
        <w:pStyle w:val="Nagwek"/>
        <w:tabs>
          <w:tab w:val="clear" w:pos="4536"/>
          <w:tab w:val="clear" w:pos="9072"/>
        </w:tabs>
        <w:ind w:left="142"/>
        <w:jc w:val="both"/>
      </w:pPr>
      <w:r w:rsidRPr="00155B3E">
        <w:drawing>
          <wp:inline distT="0" distB="0" distL="0" distR="0" wp14:anchorId="5B0E4464" wp14:editId="4D62964E">
            <wp:extent cx="6210300" cy="478241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4782418"/>
                    </a:xfrm>
                    <a:prstGeom prst="rect">
                      <a:avLst/>
                    </a:prstGeom>
                    <a:noFill/>
                    <a:ln>
                      <a:noFill/>
                    </a:ln>
                  </pic:spPr>
                </pic:pic>
              </a:graphicData>
            </a:graphic>
          </wp:inline>
        </w:drawing>
      </w:r>
    </w:p>
    <w:p w:rsidR="00BF28B4" w:rsidRDefault="00392A7A" w:rsidP="00392A7A">
      <w:pPr>
        <w:pStyle w:val="Nagwek"/>
        <w:tabs>
          <w:tab w:val="clear" w:pos="4536"/>
          <w:tab w:val="clear" w:pos="9072"/>
        </w:tabs>
        <w:ind w:left="426"/>
        <w:jc w:val="both"/>
      </w:pPr>
      <w:r w:rsidRPr="0004336D">
        <w:rPr>
          <w:highlight w:val="yellow"/>
        </w:rPr>
        <w:lastRenderedPageBreak/>
        <w:t xml:space="preserve"> </w:t>
      </w:r>
      <w:r w:rsidRPr="000738A1">
        <w:t xml:space="preserve"> </w:t>
      </w:r>
    </w:p>
    <w:p w:rsidR="00392A7A" w:rsidRPr="00B233C1" w:rsidRDefault="00392A7A" w:rsidP="00974CD0">
      <w:pPr>
        <w:pStyle w:val="Nagwek2"/>
        <w:numPr>
          <w:ilvl w:val="0"/>
          <w:numId w:val="8"/>
        </w:numPr>
        <w:jc w:val="both"/>
        <w:rPr>
          <w:rFonts w:ascii="Century Gothic" w:hAnsi="Century Gothic"/>
          <w:bCs/>
          <w:i w:val="0"/>
          <w:color w:val="0000FF"/>
          <w:sz w:val="20"/>
        </w:rPr>
      </w:pPr>
      <w:bookmarkStart w:id="47" w:name="_Toc292971722"/>
      <w:bookmarkStart w:id="48" w:name="_Toc225761457"/>
      <w:bookmarkStart w:id="49" w:name="_Toc228763244"/>
      <w:bookmarkStart w:id="50" w:name="_Toc387945907"/>
      <w:bookmarkEnd w:id="47"/>
      <w:r w:rsidRPr="00B233C1">
        <w:rPr>
          <w:rFonts w:ascii="Century Gothic" w:hAnsi="Century Gothic"/>
          <w:bCs/>
          <w:i w:val="0"/>
          <w:color w:val="0000FF"/>
          <w:sz w:val="20"/>
        </w:rPr>
        <w:t>TRANSAKCJE Z PODMIOTAMI POWIĄZANYMI</w:t>
      </w:r>
      <w:bookmarkEnd w:id="48"/>
      <w:bookmarkEnd w:id="49"/>
      <w:bookmarkEnd w:id="50"/>
    </w:p>
    <w:p w:rsidR="00392A7A" w:rsidRPr="009479F2" w:rsidRDefault="00392A7A" w:rsidP="00392A7A">
      <w:pPr>
        <w:pStyle w:val="Tekstblokowy"/>
        <w:ind w:hanging="426"/>
        <w:rPr>
          <w:rFonts w:ascii="Century Gothic" w:hAnsi="Century Gothic" w:cs="Tahoma"/>
          <w:b/>
          <w:bCs/>
          <w:color w:val="auto"/>
          <w:sz w:val="20"/>
        </w:rPr>
      </w:pPr>
    </w:p>
    <w:p w:rsidR="00392A7A" w:rsidRDefault="00835D4B" w:rsidP="00392A7A">
      <w:pPr>
        <w:tabs>
          <w:tab w:val="left" w:pos="426"/>
        </w:tabs>
        <w:ind w:left="426"/>
        <w:jc w:val="both"/>
        <w:rPr>
          <w:rFonts w:ascii="Century Gothic" w:hAnsi="Century Gothic" w:cs="Tahoma"/>
        </w:rPr>
      </w:pPr>
      <w:proofErr w:type="spellStart"/>
      <w:r>
        <w:rPr>
          <w:rFonts w:ascii="Century Gothic" w:hAnsi="Century Gothic"/>
        </w:rPr>
        <w:t>Skystone</w:t>
      </w:r>
      <w:proofErr w:type="spellEnd"/>
      <w:r>
        <w:rPr>
          <w:rFonts w:ascii="Century Gothic" w:hAnsi="Century Gothic"/>
        </w:rPr>
        <w:t xml:space="preserve"> Capital</w:t>
      </w:r>
      <w:r w:rsidR="008C37DA">
        <w:rPr>
          <w:rFonts w:ascii="Century Gothic" w:hAnsi="Century Gothic" w:cs="Tahoma"/>
        </w:rPr>
        <w:t>,</w:t>
      </w:r>
      <w:r w:rsidR="00392A7A" w:rsidRPr="0019063A">
        <w:rPr>
          <w:rFonts w:ascii="Century Gothic" w:hAnsi="Century Gothic" w:cs="Tahoma"/>
        </w:rPr>
        <w:t xml:space="preserve"> a także spółki od nie</w:t>
      </w:r>
      <w:r w:rsidR="00410791">
        <w:rPr>
          <w:rFonts w:ascii="Century Gothic" w:hAnsi="Century Gothic" w:cs="Tahoma"/>
        </w:rPr>
        <w:t>go</w:t>
      </w:r>
      <w:r w:rsidR="00392A7A" w:rsidRPr="0019063A">
        <w:rPr>
          <w:rFonts w:ascii="Century Gothic" w:hAnsi="Century Gothic" w:cs="Tahoma"/>
        </w:rPr>
        <w:t xml:space="preserve"> zależne</w:t>
      </w:r>
      <w:r w:rsidR="008C37DA">
        <w:rPr>
          <w:rFonts w:ascii="Century Gothic" w:hAnsi="Century Gothic" w:cs="Tahoma"/>
        </w:rPr>
        <w:t>,</w:t>
      </w:r>
      <w:r w:rsidR="00392A7A" w:rsidRPr="0019063A">
        <w:rPr>
          <w:rFonts w:ascii="Century Gothic" w:hAnsi="Century Gothic" w:cs="Tahoma"/>
        </w:rPr>
        <w:t xml:space="preserve"> zawierały transakcje z podmiotami powiązanymi. Transakcje te w opinii Zarządu są typowe i rutynowe, zawierane na warunkach rynkowych, a ich charakter i warunki wynikają z bieżącej działalności operacyjnej, prowadzonej przez </w:t>
      </w:r>
      <w:proofErr w:type="spellStart"/>
      <w:r>
        <w:rPr>
          <w:rFonts w:ascii="Century Gothic" w:hAnsi="Century Gothic"/>
        </w:rPr>
        <w:t>Skystone</w:t>
      </w:r>
      <w:proofErr w:type="spellEnd"/>
      <w:r>
        <w:rPr>
          <w:rFonts w:ascii="Century Gothic" w:hAnsi="Century Gothic"/>
        </w:rPr>
        <w:t xml:space="preserve"> Capital</w:t>
      </w:r>
      <w:r w:rsidR="00392A7A" w:rsidRPr="0019063A">
        <w:rPr>
          <w:rFonts w:ascii="Century Gothic" w:hAnsi="Century Gothic" w:cs="Tahoma"/>
        </w:rPr>
        <w:t xml:space="preserve">. </w:t>
      </w:r>
    </w:p>
    <w:p w:rsidR="00392A7A" w:rsidRDefault="00392A7A" w:rsidP="00392A7A">
      <w:pPr>
        <w:tabs>
          <w:tab w:val="left" w:pos="426"/>
        </w:tabs>
        <w:ind w:left="426"/>
        <w:jc w:val="both"/>
        <w:rPr>
          <w:rFonts w:ascii="Century Gothic" w:hAnsi="Century Gothic" w:cs="Tahoma"/>
        </w:rPr>
      </w:pPr>
      <w:r>
        <w:rPr>
          <w:rFonts w:ascii="Century Gothic" w:hAnsi="Century Gothic" w:cs="Tahoma"/>
        </w:rPr>
        <w:t>Transakcje dotyczące spółek zależnych zostały wyłączone w ramach eliminacji konsolidacyjnych.</w:t>
      </w:r>
    </w:p>
    <w:p w:rsidR="006C651D" w:rsidRDefault="006C651D" w:rsidP="00392A7A">
      <w:pPr>
        <w:ind w:firstLine="426"/>
        <w:rPr>
          <w:rFonts w:ascii="Century Gothic" w:hAnsi="Century Gothic"/>
          <w:b/>
        </w:rPr>
      </w:pPr>
    </w:p>
    <w:p w:rsidR="00882DBF" w:rsidRPr="00741D51" w:rsidRDefault="00882DBF" w:rsidP="0050148C">
      <w:pPr>
        <w:pStyle w:val="Tekstblokowy"/>
        <w:numPr>
          <w:ilvl w:val="1"/>
          <w:numId w:val="42"/>
        </w:numPr>
        <w:rPr>
          <w:rFonts w:ascii="Century Gothic" w:hAnsi="Century Gothic" w:cs="Tahoma"/>
          <w:b/>
          <w:bCs/>
          <w:color w:val="0000FF"/>
          <w:sz w:val="20"/>
        </w:rPr>
      </w:pPr>
      <w:r w:rsidRPr="0010138B">
        <w:rPr>
          <w:rFonts w:ascii="Century Gothic" w:hAnsi="Century Gothic" w:cs="Tahoma"/>
          <w:b/>
          <w:color w:val="0000FF"/>
          <w:sz w:val="20"/>
        </w:rPr>
        <w:t>Pożyczki otrzymane od podmiotów powiązanych</w:t>
      </w:r>
    </w:p>
    <w:p w:rsidR="00741D51" w:rsidRDefault="00741D51" w:rsidP="00741D51">
      <w:pPr>
        <w:pStyle w:val="Tekstblokowy"/>
        <w:ind w:left="876"/>
        <w:rPr>
          <w:rFonts w:ascii="Century Gothic" w:hAnsi="Century Gothic" w:cs="Tahoma"/>
          <w:b/>
          <w:bCs/>
          <w:color w:val="0000FF"/>
          <w:sz w:val="20"/>
        </w:rPr>
      </w:pPr>
    </w:p>
    <w:p w:rsidR="00741D51" w:rsidRDefault="0090268B" w:rsidP="00882DBF">
      <w:pPr>
        <w:ind w:left="426"/>
      </w:pPr>
      <w:r w:rsidRPr="0090268B">
        <w:rPr>
          <w:noProof/>
        </w:rPr>
        <w:drawing>
          <wp:inline distT="0" distB="0" distL="0" distR="0" wp14:anchorId="06EC420A" wp14:editId="30AE313B">
            <wp:extent cx="5844853" cy="1518249"/>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4987" cy="1518284"/>
                    </a:xfrm>
                    <a:prstGeom prst="rect">
                      <a:avLst/>
                    </a:prstGeom>
                    <a:noFill/>
                    <a:ln>
                      <a:noFill/>
                    </a:ln>
                  </pic:spPr>
                </pic:pic>
              </a:graphicData>
            </a:graphic>
          </wp:inline>
        </w:drawing>
      </w:r>
      <w:r w:rsidR="00CC78C5" w:rsidRPr="00CC78C5">
        <w:t xml:space="preserve"> </w:t>
      </w:r>
    </w:p>
    <w:p w:rsidR="00741D51" w:rsidRDefault="00741D51" w:rsidP="00882DBF">
      <w:pPr>
        <w:ind w:left="426"/>
      </w:pPr>
    </w:p>
    <w:p w:rsidR="00882DBF" w:rsidRPr="00B530BD" w:rsidRDefault="0090268B" w:rsidP="00882DBF">
      <w:pPr>
        <w:ind w:left="426"/>
      </w:pPr>
      <w:r w:rsidRPr="0090268B">
        <w:rPr>
          <w:noProof/>
        </w:rPr>
        <w:drawing>
          <wp:inline distT="0" distB="0" distL="0" distR="0" wp14:anchorId="0E3E6A07" wp14:editId="0B7648C4">
            <wp:extent cx="5840083" cy="152453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07" cy="1524356"/>
                    </a:xfrm>
                    <a:prstGeom prst="rect">
                      <a:avLst/>
                    </a:prstGeom>
                    <a:noFill/>
                    <a:ln>
                      <a:noFill/>
                    </a:ln>
                  </pic:spPr>
                </pic:pic>
              </a:graphicData>
            </a:graphic>
          </wp:inline>
        </w:drawing>
      </w:r>
    </w:p>
    <w:p w:rsidR="00882DBF" w:rsidRDefault="00882DBF" w:rsidP="00882DBF">
      <w:pPr>
        <w:ind w:left="426"/>
      </w:pPr>
    </w:p>
    <w:p w:rsidR="00882DBF" w:rsidRDefault="00882DBF" w:rsidP="00882DBF">
      <w:pPr>
        <w:ind w:left="426"/>
      </w:pPr>
    </w:p>
    <w:p w:rsidR="00BF28B4" w:rsidRDefault="00BF28B4" w:rsidP="00882DBF">
      <w:pPr>
        <w:ind w:left="426"/>
      </w:pPr>
    </w:p>
    <w:p w:rsidR="00A84324" w:rsidRPr="003725C2" w:rsidRDefault="00A84324" w:rsidP="00882DBF">
      <w:pPr>
        <w:ind w:left="426"/>
      </w:pPr>
    </w:p>
    <w:p w:rsidR="00882DBF" w:rsidRDefault="00882DBF" w:rsidP="00882DBF">
      <w:pPr>
        <w:ind w:left="426"/>
      </w:pPr>
    </w:p>
    <w:p w:rsidR="00A84324" w:rsidRDefault="00A84324" w:rsidP="00882DBF">
      <w:pPr>
        <w:ind w:left="426"/>
      </w:pPr>
    </w:p>
    <w:p w:rsidR="007768D7" w:rsidRPr="00DF4198" w:rsidRDefault="007768D7" w:rsidP="00882DBF">
      <w:pPr>
        <w:ind w:left="426"/>
      </w:pPr>
    </w:p>
    <w:p w:rsidR="0010722E" w:rsidRPr="00E80B8E" w:rsidRDefault="0010722E" w:rsidP="00B36BE0">
      <w:pPr>
        <w:pStyle w:val="Nagwek1"/>
        <w:pageBreakBefore/>
        <w:numPr>
          <w:ilvl w:val="0"/>
          <w:numId w:val="7"/>
        </w:numPr>
        <w:spacing w:before="240"/>
        <w:ind w:left="255" w:hanging="181"/>
        <w:jc w:val="both"/>
        <w:rPr>
          <w:rFonts w:ascii="Century Gothic" w:hAnsi="Century Gothic" w:cs="Tahoma"/>
          <w:bCs/>
          <w:color w:val="0000FF"/>
          <w:sz w:val="22"/>
          <w:szCs w:val="22"/>
        </w:rPr>
      </w:pPr>
      <w:bookmarkStart w:id="51" w:name="_Toc387945908"/>
      <w:r w:rsidRPr="00E80B8E">
        <w:rPr>
          <w:rFonts w:ascii="Century Gothic" w:hAnsi="Century Gothic" w:cs="Tahoma"/>
          <w:bCs/>
          <w:caps w:val="0"/>
          <w:color w:val="0000FF"/>
          <w:sz w:val="22"/>
          <w:szCs w:val="22"/>
        </w:rPr>
        <w:lastRenderedPageBreak/>
        <w:t>INFORMACJ</w:t>
      </w:r>
      <w:r w:rsidR="009C261E">
        <w:rPr>
          <w:rFonts w:ascii="Century Gothic" w:hAnsi="Century Gothic" w:cs="Tahoma"/>
          <w:bCs/>
          <w:caps w:val="0"/>
          <w:color w:val="0000FF"/>
          <w:sz w:val="22"/>
          <w:szCs w:val="22"/>
        </w:rPr>
        <w:t>E</w:t>
      </w:r>
      <w:r w:rsidRPr="00E80B8E">
        <w:rPr>
          <w:rFonts w:ascii="Century Gothic" w:hAnsi="Century Gothic" w:cs="Tahoma"/>
          <w:bCs/>
          <w:caps w:val="0"/>
          <w:color w:val="0000FF"/>
          <w:sz w:val="22"/>
          <w:szCs w:val="22"/>
        </w:rPr>
        <w:t xml:space="preserve"> DODATKOW</w:t>
      </w:r>
      <w:r w:rsidR="009C261E">
        <w:rPr>
          <w:rFonts w:ascii="Century Gothic" w:hAnsi="Century Gothic" w:cs="Tahoma"/>
          <w:bCs/>
          <w:caps w:val="0"/>
          <w:color w:val="0000FF"/>
          <w:sz w:val="22"/>
          <w:szCs w:val="22"/>
        </w:rPr>
        <w:t>E</w:t>
      </w:r>
      <w:r w:rsidRPr="00E80B8E">
        <w:rPr>
          <w:rFonts w:ascii="Century Gothic" w:hAnsi="Century Gothic" w:cs="Tahoma"/>
          <w:bCs/>
          <w:caps w:val="0"/>
          <w:color w:val="0000FF"/>
          <w:sz w:val="22"/>
          <w:szCs w:val="22"/>
        </w:rPr>
        <w:t xml:space="preserve"> DO ŚRÓDROCZNEGO SKONSOLIDOWANEGO SPRAWOZDANIA FINANSOWEGO ZA </w:t>
      </w:r>
      <w:r>
        <w:rPr>
          <w:rFonts w:ascii="Century Gothic" w:hAnsi="Century Gothic" w:cs="Tahoma"/>
          <w:bCs/>
          <w:caps w:val="0"/>
          <w:color w:val="0000FF"/>
          <w:sz w:val="22"/>
          <w:szCs w:val="22"/>
        </w:rPr>
        <w:t>I</w:t>
      </w:r>
      <w:r w:rsidRPr="00E80B8E">
        <w:rPr>
          <w:rFonts w:ascii="Century Gothic" w:hAnsi="Century Gothic" w:cs="Tahoma"/>
          <w:bCs/>
          <w:caps w:val="0"/>
          <w:color w:val="0000FF"/>
          <w:sz w:val="22"/>
          <w:szCs w:val="22"/>
        </w:rPr>
        <w:t xml:space="preserve"> KWARTAŁ 20</w:t>
      </w:r>
      <w:r>
        <w:rPr>
          <w:rFonts w:ascii="Century Gothic" w:hAnsi="Century Gothic" w:cs="Tahoma"/>
          <w:bCs/>
          <w:caps w:val="0"/>
          <w:color w:val="0000FF"/>
          <w:sz w:val="22"/>
          <w:szCs w:val="22"/>
        </w:rPr>
        <w:t>1</w:t>
      </w:r>
      <w:r w:rsidR="003B6EFF">
        <w:rPr>
          <w:rFonts w:ascii="Century Gothic" w:hAnsi="Century Gothic" w:cs="Tahoma"/>
          <w:bCs/>
          <w:caps w:val="0"/>
          <w:color w:val="0000FF"/>
          <w:sz w:val="22"/>
          <w:szCs w:val="22"/>
        </w:rPr>
        <w:t>4</w:t>
      </w:r>
      <w:r w:rsidRPr="00E80B8E">
        <w:rPr>
          <w:rFonts w:ascii="Century Gothic" w:hAnsi="Century Gothic" w:cs="Tahoma"/>
          <w:bCs/>
          <w:caps w:val="0"/>
          <w:color w:val="0000FF"/>
          <w:sz w:val="22"/>
          <w:szCs w:val="22"/>
        </w:rPr>
        <w:t xml:space="preserve"> ROKU</w:t>
      </w:r>
      <w:bookmarkEnd w:id="51"/>
    </w:p>
    <w:p w:rsidR="00E53D76" w:rsidRDefault="00E53D76" w:rsidP="00E53D76">
      <w:pPr>
        <w:pStyle w:val="Nagwek1"/>
        <w:numPr>
          <w:ilvl w:val="0"/>
          <w:numId w:val="24"/>
        </w:numPr>
        <w:pBdr>
          <w:bottom w:val="none" w:sz="0" w:space="0" w:color="auto"/>
        </w:pBdr>
        <w:spacing w:before="240" w:after="60"/>
        <w:jc w:val="both"/>
        <w:rPr>
          <w:rFonts w:ascii="Century Gothic" w:hAnsi="Century Gothic"/>
          <w:color w:val="0000FF"/>
          <w:sz w:val="22"/>
          <w:szCs w:val="22"/>
        </w:rPr>
      </w:pPr>
      <w:bookmarkStart w:id="52" w:name="_Toc228169549"/>
      <w:bookmarkStart w:id="53" w:name="_Toc334180274"/>
      <w:bookmarkStart w:id="54" w:name="_Toc323555886"/>
      <w:bookmarkStart w:id="55" w:name="_Toc387945909"/>
      <w:r>
        <w:rPr>
          <w:rFonts w:ascii="Century Gothic" w:hAnsi="Century Gothic"/>
          <w:color w:val="0000FF"/>
          <w:sz w:val="22"/>
          <w:szCs w:val="22"/>
        </w:rPr>
        <w:t>PODSTAWOWE INFORMACJE O GRUPIE KAPITAŁOWEJ</w:t>
      </w:r>
      <w:bookmarkEnd w:id="52"/>
      <w:bookmarkEnd w:id="53"/>
      <w:bookmarkEnd w:id="55"/>
    </w:p>
    <w:p w:rsidR="00D270A4" w:rsidRPr="00D270A4" w:rsidRDefault="00D270A4" w:rsidP="00D270A4"/>
    <w:p w:rsidR="00E53D76" w:rsidRDefault="00E53D76" w:rsidP="00E53D76">
      <w:pPr>
        <w:pStyle w:val="Nagwek2"/>
        <w:numPr>
          <w:ilvl w:val="1"/>
          <w:numId w:val="11"/>
        </w:numPr>
        <w:tabs>
          <w:tab w:val="clear" w:pos="1440"/>
          <w:tab w:val="num" w:pos="851"/>
        </w:tabs>
        <w:ind w:hanging="1014"/>
        <w:jc w:val="both"/>
        <w:rPr>
          <w:rFonts w:ascii="Century Gothic" w:hAnsi="Century Gothic"/>
          <w:bCs/>
          <w:i w:val="0"/>
          <w:color w:val="0000FF"/>
          <w:sz w:val="20"/>
        </w:rPr>
      </w:pPr>
      <w:bookmarkStart w:id="56" w:name="_Toc334180275"/>
      <w:bookmarkStart w:id="57" w:name="_Toc228332624"/>
      <w:bookmarkStart w:id="58" w:name="_Toc387945910"/>
      <w:r>
        <w:rPr>
          <w:rFonts w:ascii="Century Gothic" w:hAnsi="Century Gothic"/>
          <w:bCs/>
          <w:i w:val="0"/>
          <w:color w:val="0000FF"/>
          <w:sz w:val="20"/>
        </w:rPr>
        <w:t>Informacje ogólne</w:t>
      </w:r>
      <w:bookmarkEnd w:id="56"/>
      <w:bookmarkEnd w:id="58"/>
      <w:r>
        <w:rPr>
          <w:rFonts w:ascii="Century Gothic" w:hAnsi="Century Gothic"/>
          <w:bCs/>
          <w:i w:val="0"/>
          <w:color w:val="0000FF"/>
          <w:sz w:val="20"/>
        </w:rPr>
        <w:t xml:space="preserve"> </w:t>
      </w:r>
      <w:bookmarkEnd w:id="57"/>
    </w:p>
    <w:p w:rsidR="00D270A4" w:rsidRPr="00D270A4" w:rsidRDefault="00D270A4" w:rsidP="00D270A4"/>
    <w:p w:rsidR="003B6EFF" w:rsidRPr="00A20A17" w:rsidRDefault="003B6EFF" w:rsidP="003B6EFF">
      <w:pPr>
        <w:tabs>
          <w:tab w:val="decimal" w:pos="7110"/>
          <w:tab w:val="decimal" w:pos="8370"/>
          <w:tab w:val="decimal" w:pos="9630"/>
        </w:tabs>
        <w:ind w:left="426"/>
        <w:jc w:val="both"/>
        <w:rPr>
          <w:rFonts w:ascii="Century Gothic" w:hAnsi="Century Gothic" w:cs="Tahoma"/>
        </w:rPr>
      </w:pPr>
      <w:r w:rsidRPr="00A20A17">
        <w:rPr>
          <w:rFonts w:ascii="Century Gothic" w:hAnsi="Century Gothic" w:cs="Tahoma"/>
        </w:rPr>
        <w:t xml:space="preserve">Jednostką Dominującą Grupy Kapitałowej jest </w:t>
      </w:r>
      <w:proofErr w:type="spellStart"/>
      <w:r>
        <w:rPr>
          <w:rFonts w:ascii="Century Gothic" w:hAnsi="Century Gothic"/>
        </w:rPr>
        <w:t>Skystone</w:t>
      </w:r>
      <w:proofErr w:type="spellEnd"/>
      <w:r>
        <w:rPr>
          <w:rFonts w:ascii="Century Gothic" w:hAnsi="Century Gothic"/>
        </w:rPr>
        <w:t xml:space="preserve"> Capital </w:t>
      </w:r>
      <w:r w:rsidRPr="00A20A17">
        <w:rPr>
          <w:rFonts w:ascii="Century Gothic" w:hAnsi="Century Gothic" w:cs="Tahoma"/>
        </w:rPr>
        <w:t xml:space="preserve"> S.A. (zwany dalej „Jednostką Dominującą”</w:t>
      </w:r>
      <w:r>
        <w:rPr>
          <w:rFonts w:ascii="Century Gothic" w:hAnsi="Century Gothic" w:cs="Tahoma"/>
        </w:rPr>
        <w:t xml:space="preserve"> lub „</w:t>
      </w:r>
      <w:proofErr w:type="spellStart"/>
      <w:r>
        <w:rPr>
          <w:rFonts w:ascii="Century Gothic" w:hAnsi="Century Gothic"/>
        </w:rPr>
        <w:t>Skystone</w:t>
      </w:r>
      <w:proofErr w:type="spellEnd"/>
      <w:r>
        <w:rPr>
          <w:rFonts w:ascii="Century Gothic" w:hAnsi="Century Gothic"/>
        </w:rPr>
        <w:t xml:space="preserve"> Capital</w:t>
      </w:r>
      <w:r>
        <w:rPr>
          <w:rFonts w:ascii="Century Gothic" w:hAnsi="Century Gothic" w:cs="Tahoma"/>
        </w:rPr>
        <w:t>”</w:t>
      </w:r>
      <w:r w:rsidRPr="00A20A17">
        <w:rPr>
          <w:rFonts w:ascii="Century Gothic" w:hAnsi="Century Gothic" w:cs="Tahoma"/>
        </w:rPr>
        <w:t xml:space="preserve">), który został utworzony w formie jednoosobowej spółki akcyjnej Skarbu Państwa zgodnie z Ustawą z dnia </w:t>
      </w:r>
      <w:smartTag w:uri="urn:schemas-microsoft-com:office:smarttags" w:element="date">
        <w:smartTagPr>
          <w:attr w:name="Year" w:val="1993"/>
          <w:attr w:name="Day" w:val="30"/>
          <w:attr w:name="Month" w:val="4"/>
          <w:attr w:name="ls" w:val="trans"/>
        </w:smartTagPr>
        <w:r w:rsidRPr="00A20A17">
          <w:rPr>
            <w:rFonts w:ascii="Century Gothic" w:hAnsi="Century Gothic" w:cs="Tahoma"/>
          </w:rPr>
          <w:t xml:space="preserve">30 kwietnia 1993 </w:t>
        </w:r>
        <w:r>
          <w:rPr>
            <w:rFonts w:ascii="Century Gothic" w:hAnsi="Century Gothic" w:cs="Tahoma"/>
          </w:rPr>
          <w:t>r.</w:t>
        </w:r>
      </w:smartTag>
      <w:r w:rsidRPr="00A20A17">
        <w:rPr>
          <w:rFonts w:ascii="Century Gothic" w:hAnsi="Century Gothic" w:cs="Tahoma"/>
        </w:rPr>
        <w:t xml:space="preserve"> o narodowych </w:t>
      </w:r>
      <w:r>
        <w:rPr>
          <w:rFonts w:ascii="Century Gothic" w:hAnsi="Century Gothic" w:cs="Tahoma"/>
        </w:rPr>
        <w:t>fundusz</w:t>
      </w:r>
      <w:r w:rsidRPr="00A20A17">
        <w:rPr>
          <w:rFonts w:ascii="Century Gothic" w:hAnsi="Century Gothic" w:cs="Tahoma"/>
        </w:rPr>
        <w:t>ach inwestycyjnych i ich prywatyzacji (zwaną dalej "Ustawą" o NFI). Wpis do rejestru handlowego Sądu Rejonowego dla m. st. Warszawy nastąpił</w:t>
      </w:r>
      <w:r>
        <w:rPr>
          <w:rFonts w:ascii="Century Gothic" w:hAnsi="Century Gothic" w:cs="Tahoma"/>
        </w:rPr>
        <w:t xml:space="preserve"> </w:t>
      </w:r>
      <w:r w:rsidRPr="00A20A17">
        <w:rPr>
          <w:rFonts w:ascii="Century Gothic" w:hAnsi="Century Gothic" w:cs="Tahoma"/>
        </w:rPr>
        <w:t xml:space="preserve">w dniu </w:t>
      </w:r>
      <w:smartTag w:uri="urn:schemas-microsoft-com:office:smarttags" w:element="date">
        <w:smartTagPr>
          <w:attr w:name="Year" w:val="1995"/>
          <w:attr w:name="Day" w:val="31"/>
          <w:attr w:name="Month" w:val="3"/>
          <w:attr w:name="ls" w:val="trans"/>
        </w:smartTagPr>
        <w:r w:rsidRPr="00A20A17">
          <w:rPr>
            <w:rFonts w:ascii="Century Gothic" w:hAnsi="Century Gothic" w:cs="Tahoma"/>
          </w:rPr>
          <w:t xml:space="preserve">31 marca 1995 </w:t>
        </w:r>
        <w:r>
          <w:rPr>
            <w:rFonts w:ascii="Century Gothic" w:hAnsi="Century Gothic" w:cs="Tahoma"/>
          </w:rPr>
          <w:t>r.</w:t>
        </w:r>
      </w:smartTag>
      <w:r w:rsidRPr="00A20A17">
        <w:rPr>
          <w:rFonts w:ascii="Century Gothic" w:hAnsi="Century Gothic" w:cs="Tahoma"/>
        </w:rPr>
        <w:t xml:space="preserve"> W dniu </w:t>
      </w:r>
      <w:smartTag w:uri="urn:schemas-microsoft-com:office:smarttags" w:element="date">
        <w:smartTagPr>
          <w:attr w:name="Year" w:val="2001"/>
          <w:attr w:name="Day" w:val="20"/>
          <w:attr w:name="Month" w:val="7"/>
          <w:attr w:name="ls" w:val="trans"/>
        </w:smartTagPr>
        <w:r w:rsidRPr="00A20A17">
          <w:rPr>
            <w:rFonts w:ascii="Century Gothic" w:hAnsi="Century Gothic" w:cs="Tahoma"/>
          </w:rPr>
          <w:t xml:space="preserve">20 lipca 2001 </w:t>
        </w:r>
        <w:r>
          <w:rPr>
            <w:rFonts w:ascii="Century Gothic" w:hAnsi="Century Gothic" w:cs="Tahoma"/>
          </w:rPr>
          <w:t>r.</w:t>
        </w:r>
      </w:smartTag>
      <w:r w:rsidRPr="00A20A17">
        <w:rPr>
          <w:rFonts w:ascii="Century Gothic" w:hAnsi="Century Gothic" w:cs="Tahoma"/>
        </w:rPr>
        <w:t xml:space="preserve"> </w:t>
      </w:r>
      <w:proofErr w:type="spellStart"/>
      <w:r>
        <w:rPr>
          <w:rFonts w:ascii="Century Gothic" w:hAnsi="Century Gothic"/>
        </w:rPr>
        <w:t>Skystone</w:t>
      </w:r>
      <w:proofErr w:type="spellEnd"/>
      <w:r>
        <w:rPr>
          <w:rFonts w:ascii="Century Gothic" w:hAnsi="Century Gothic"/>
        </w:rPr>
        <w:t xml:space="preserve"> Capital </w:t>
      </w:r>
      <w:r w:rsidRPr="00A20A17">
        <w:rPr>
          <w:rFonts w:ascii="Century Gothic" w:hAnsi="Century Gothic" w:cs="Tahoma"/>
        </w:rPr>
        <w:t>został</w:t>
      </w:r>
      <w:r>
        <w:rPr>
          <w:rFonts w:ascii="Century Gothic" w:hAnsi="Century Gothic" w:cs="Tahoma"/>
        </w:rPr>
        <w:t xml:space="preserve">a zarejestrowana </w:t>
      </w:r>
      <w:r w:rsidRPr="00A20A17">
        <w:rPr>
          <w:rFonts w:ascii="Century Gothic" w:hAnsi="Century Gothic" w:cs="Tahoma"/>
        </w:rPr>
        <w:t>w K</w:t>
      </w:r>
      <w:r>
        <w:rPr>
          <w:rFonts w:ascii="Century Gothic" w:hAnsi="Century Gothic" w:cs="Tahoma"/>
        </w:rPr>
        <w:t xml:space="preserve">rajowym </w:t>
      </w:r>
      <w:r w:rsidRPr="00A20A17">
        <w:rPr>
          <w:rFonts w:ascii="Century Gothic" w:hAnsi="Century Gothic" w:cs="Tahoma"/>
        </w:rPr>
        <w:t>R</w:t>
      </w:r>
      <w:r>
        <w:rPr>
          <w:rFonts w:ascii="Century Gothic" w:hAnsi="Century Gothic" w:cs="Tahoma"/>
        </w:rPr>
        <w:t xml:space="preserve">ejestrze </w:t>
      </w:r>
      <w:r w:rsidRPr="00A20A17">
        <w:rPr>
          <w:rFonts w:ascii="Century Gothic" w:hAnsi="Century Gothic" w:cs="Tahoma"/>
        </w:rPr>
        <w:t>S</w:t>
      </w:r>
      <w:r>
        <w:rPr>
          <w:rFonts w:ascii="Century Gothic" w:hAnsi="Century Gothic" w:cs="Tahoma"/>
        </w:rPr>
        <w:t>ądowym</w:t>
      </w:r>
      <w:r w:rsidRPr="00A20A17">
        <w:rPr>
          <w:rFonts w:ascii="Century Gothic" w:hAnsi="Century Gothic" w:cs="Tahoma"/>
        </w:rPr>
        <w:t xml:space="preserve"> w Sądzie Rejonowym dla m. st. Warszawy pod numerem 0000029456. Aktualnie Sądem Rejestrowym dla </w:t>
      </w:r>
      <w:proofErr w:type="spellStart"/>
      <w:r>
        <w:rPr>
          <w:rFonts w:ascii="Century Gothic" w:hAnsi="Century Gothic"/>
        </w:rPr>
        <w:t>Skystone</w:t>
      </w:r>
      <w:proofErr w:type="spellEnd"/>
      <w:r>
        <w:rPr>
          <w:rFonts w:ascii="Century Gothic" w:hAnsi="Century Gothic"/>
        </w:rPr>
        <w:t xml:space="preserve"> Capital </w:t>
      </w:r>
      <w:r w:rsidRPr="00A20A17">
        <w:rPr>
          <w:rFonts w:ascii="Century Gothic" w:hAnsi="Century Gothic" w:cs="Tahoma"/>
        </w:rPr>
        <w:t>jest Sąd Rejonowy w Poznaniu – Nowe Miasto i Wilda, VIII Wydział Gospodarczy.</w:t>
      </w:r>
    </w:p>
    <w:p w:rsidR="003B6EFF" w:rsidRDefault="003B6EFF" w:rsidP="003B6EFF">
      <w:pPr>
        <w:tabs>
          <w:tab w:val="decimal" w:pos="7110"/>
          <w:tab w:val="decimal" w:pos="8370"/>
          <w:tab w:val="decimal" w:pos="9630"/>
        </w:tabs>
        <w:ind w:left="567"/>
        <w:jc w:val="both"/>
        <w:rPr>
          <w:rFonts w:ascii="Century Gothic" w:hAnsi="Century Gothic" w:cs="Tahoma"/>
        </w:rPr>
      </w:pPr>
    </w:p>
    <w:p w:rsidR="003B6EFF" w:rsidRPr="00A20A17" w:rsidRDefault="003B6EFF" w:rsidP="003B6EFF">
      <w:pPr>
        <w:pStyle w:val="Tekstpodstawowywcity3"/>
        <w:ind w:left="426"/>
        <w:rPr>
          <w:rFonts w:ascii="Century Gothic" w:hAnsi="Century Gothic" w:cs="Tahoma"/>
          <w:sz w:val="20"/>
        </w:rPr>
      </w:pPr>
      <w:r>
        <w:rPr>
          <w:rFonts w:ascii="Century Gothic" w:hAnsi="Century Gothic" w:cs="Tahoma"/>
          <w:sz w:val="20"/>
        </w:rPr>
        <w:tab/>
      </w:r>
      <w:r w:rsidRPr="00A20A17">
        <w:rPr>
          <w:rFonts w:ascii="Century Gothic" w:hAnsi="Century Gothic" w:cs="Tahoma"/>
          <w:sz w:val="20"/>
        </w:rPr>
        <w:t xml:space="preserve">Siedziba Jednostki Dominującej od stycznia 2008 r. mieści się w Poznaniu przy </w:t>
      </w:r>
      <w:r w:rsidRPr="00A20A17">
        <w:rPr>
          <w:rFonts w:ascii="Century Gothic" w:hAnsi="Century Gothic" w:cs="Tahoma"/>
          <w:sz w:val="20"/>
        </w:rPr>
        <w:br/>
        <w:t>ulicy Paderewskiego 7, 61-770 Poznań.</w:t>
      </w:r>
    </w:p>
    <w:p w:rsidR="003B6EFF" w:rsidRPr="00A20A17" w:rsidRDefault="003B6EFF" w:rsidP="003B6EFF">
      <w:pPr>
        <w:tabs>
          <w:tab w:val="decimal" w:pos="7110"/>
          <w:tab w:val="decimal" w:pos="8370"/>
          <w:tab w:val="decimal" w:pos="9630"/>
        </w:tabs>
        <w:ind w:left="567"/>
        <w:jc w:val="both"/>
        <w:rPr>
          <w:rFonts w:ascii="Century Gothic" w:hAnsi="Century Gothic" w:cs="Tahoma"/>
        </w:rPr>
      </w:pPr>
    </w:p>
    <w:p w:rsidR="003B6EFF" w:rsidRPr="00A20A17" w:rsidRDefault="003B6EFF" w:rsidP="003B6EFF">
      <w:pPr>
        <w:tabs>
          <w:tab w:val="decimal" w:pos="5940"/>
          <w:tab w:val="decimal" w:pos="7110"/>
          <w:tab w:val="decimal" w:pos="8370"/>
          <w:tab w:val="decimal" w:pos="9630"/>
        </w:tabs>
        <w:ind w:left="426"/>
        <w:jc w:val="both"/>
        <w:rPr>
          <w:rFonts w:ascii="Century Gothic" w:hAnsi="Century Gothic" w:cs="Tahoma"/>
        </w:rPr>
      </w:pPr>
      <w:r>
        <w:rPr>
          <w:rFonts w:ascii="Century Gothic" w:hAnsi="Century Gothic" w:cs="Tahoma"/>
        </w:rPr>
        <w:t>Jednostka Dominująca</w:t>
      </w:r>
      <w:r w:rsidRPr="00A20A17">
        <w:rPr>
          <w:rFonts w:ascii="Century Gothic" w:hAnsi="Century Gothic" w:cs="Tahoma"/>
        </w:rPr>
        <w:t xml:space="preserve"> prowadzi działalność między innymi na podstawie Ustawy z dnia </w:t>
      </w:r>
      <w:r w:rsidRPr="00A20A17">
        <w:rPr>
          <w:rFonts w:ascii="Century Gothic" w:hAnsi="Century Gothic" w:cs="Tahoma"/>
        </w:rPr>
        <w:br/>
      </w:r>
      <w:smartTag w:uri="urn:schemas-microsoft-com:office:smarttags" w:element="date">
        <w:smartTagPr>
          <w:attr w:name="Year" w:val="2000"/>
          <w:attr w:name="Day" w:val="15"/>
          <w:attr w:name="Month" w:val="9"/>
          <w:attr w:name="ls" w:val="trans"/>
        </w:smartTagPr>
        <w:r w:rsidRPr="00A20A17">
          <w:rPr>
            <w:rFonts w:ascii="Century Gothic" w:hAnsi="Century Gothic" w:cs="Tahoma"/>
          </w:rPr>
          <w:t xml:space="preserve">15 września 2000 </w:t>
        </w:r>
        <w:r>
          <w:rPr>
            <w:rFonts w:ascii="Century Gothic" w:hAnsi="Century Gothic" w:cs="Tahoma"/>
          </w:rPr>
          <w:t>r.</w:t>
        </w:r>
      </w:smartTag>
      <w:r w:rsidRPr="00A20A17">
        <w:rPr>
          <w:rFonts w:ascii="Century Gothic" w:hAnsi="Century Gothic" w:cs="Tahoma"/>
        </w:rPr>
        <w:t xml:space="preserve">  Kodeks spółek handlowych (Dz. U. Nr 94, poz. 1037 z 2000 </w:t>
      </w:r>
      <w:r>
        <w:rPr>
          <w:rFonts w:ascii="Century Gothic" w:hAnsi="Century Gothic" w:cs="Tahoma"/>
        </w:rPr>
        <w:t>r.</w:t>
      </w:r>
      <w:r w:rsidRPr="00A20A17">
        <w:rPr>
          <w:rFonts w:ascii="Century Gothic" w:hAnsi="Century Gothic" w:cs="Tahoma"/>
        </w:rPr>
        <w:t>).</w:t>
      </w:r>
    </w:p>
    <w:p w:rsidR="003B6EFF" w:rsidRPr="00A20A17" w:rsidRDefault="003B6EFF" w:rsidP="003B6EFF">
      <w:pPr>
        <w:tabs>
          <w:tab w:val="decimal" w:pos="5940"/>
          <w:tab w:val="decimal" w:pos="7110"/>
          <w:tab w:val="decimal" w:pos="8370"/>
          <w:tab w:val="decimal" w:pos="9630"/>
        </w:tabs>
        <w:ind w:left="567"/>
        <w:jc w:val="both"/>
        <w:rPr>
          <w:rFonts w:ascii="Century Gothic" w:hAnsi="Century Gothic" w:cs="Tahoma"/>
        </w:rPr>
      </w:pPr>
    </w:p>
    <w:p w:rsidR="003B6EFF" w:rsidRPr="00A20A17" w:rsidRDefault="003B6EFF" w:rsidP="003B6EFF">
      <w:pPr>
        <w:tabs>
          <w:tab w:val="decimal" w:pos="5940"/>
          <w:tab w:val="decimal" w:pos="7110"/>
          <w:tab w:val="decimal" w:pos="8370"/>
          <w:tab w:val="decimal" w:pos="9630"/>
        </w:tabs>
        <w:ind w:left="426"/>
        <w:jc w:val="both"/>
        <w:rPr>
          <w:rFonts w:ascii="Century Gothic" w:hAnsi="Century Gothic" w:cs="Tahoma"/>
        </w:rPr>
      </w:pPr>
      <w:r w:rsidRPr="00A20A17">
        <w:rPr>
          <w:rFonts w:ascii="Century Gothic" w:hAnsi="Century Gothic" w:cs="Tahoma"/>
        </w:rPr>
        <w:t>Przedmiot działalności Jednostki Dominującej zdefiniowany jest jako pozostałe pośrednictwo finansowe i oznaczony jest numerem 6523 w Polskiej Klasyfikacji Działalności (PKD).</w:t>
      </w:r>
    </w:p>
    <w:p w:rsidR="003B6EFF" w:rsidRPr="00A20A17" w:rsidRDefault="003B6EFF" w:rsidP="003B6EFF">
      <w:pPr>
        <w:tabs>
          <w:tab w:val="decimal" w:pos="5940"/>
          <w:tab w:val="decimal" w:pos="7110"/>
          <w:tab w:val="decimal" w:pos="8370"/>
          <w:tab w:val="decimal" w:pos="9630"/>
        </w:tabs>
        <w:ind w:left="567"/>
        <w:jc w:val="both"/>
        <w:rPr>
          <w:rFonts w:ascii="Century Gothic" w:hAnsi="Century Gothic" w:cs="Tahoma"/>
        </w:rPr>
      </w:pPr>
    </w:p>
    <w:p w:rsidR="003B6EFF" w:rsidRDefault="003B6EFF" w:rsidP="003B6EFF">
      <w:pPr>
        <w:ind w:left="426"/>
        <w:jc w:val="both"/>
        <w:rPr>
          <w:rFonts w:ascii="Century Gothic" w:hAnsi="Century Gothic"/>
        </w:rPr>
      </w:pPr>
      <w:r w:rsidRPr="00A20A17">
        <w:rPr>
          <w:rFonts w:ascii="Century Gothic" w:hAnsi="Century Gothic"/>
        </w:rPr>
        <w:t xml:space="preserve">Przedmiotem działalności </w:t>
      </w:r>
      <w:proofErr w:type="spellStart"/>
      <w:r>
        <w:rPr>
          <w:rFonts w:ascii="Century Gothic" w:hAnsi="Century Gothic"/>
        </w:rPr>
        <w:t>Skystone</w:t>
      </w:r>
      <w:proofErr w:type="spellEnd"/>
      <w:r>
        <w:rPr>
          <w:rFonts w:ascii="Century Gothic" w:hAnsi="Century Gothic"/>
        </w:rPr>
        <w:t xml:space="preserve"> Capital </w:t>
      </w:r>
      <w:r w:rsidRPr="00A20A17">
        <w:rPr>
          <w:rFonts w:ascii="Century Gothic" w:hAnsi="Century Gothic"/>
        </w:rPr>
        <w:t xml:space="preserve">jest działalność inwestycyjna i deweloperska </w:t>
      </w:r>
      <w:r w:rsidRPr="00A20A17">
        <w:rPr>
          <w:rFonts w:ascii="Century Gothic" w:hAnsi="Century Gothic"/>
        </w:rPr>
        <w:br/>
        <w:t>na rynku odnawialnych źródeł energii (</w:t>
      </w:r>
      <w:r>
        <w:rPr>
          <w:rFonts w:ascii="Century Gothic" w:hAnsi="Century Gothic"/>
        </w:rPr>
        <w:t>w dalszej części „</w:t>
      </w:r>
      <w:r w:rsidRPr="00A20A17">
        <w:rPr>
          <w:rFonts w:ascii="Century Gothic" w:hAnsi="Century Gothic"/>
        </w:rPr>
        <w:t>OZE</w:t>
      </w:r>
      <w:r>
        <w:rPr>
          <w:rFonts w:ascii="Century Gothic" w:hAnsi="Century Gothic"/>
        </w:rPr>
        <w:t>”</w:t>
      </w:r>
      <w:r w:rsidRPr="00A20A17">
        <w:rPr>
          <w:rFonts w:ascii="Century Gothic" w:hAnsi="Century Gothic"/>
        </w:rPr>
        <w:t>) realizowana zgodnie ze statutem poprzez:</w:t>
      </w:r>
    </w:p>
    <w:p w:rsidR="003B6EFF" w:rsidRDefault="003B6EFF" w:rsidP="003B6EFF">
      <w:pPr>
        <w:ind w:left="426"/>
        <w:jc w:val="both"/>
        <w:rPr>
          <w:rFonts w:ascii="Century Gothic" w:hAnsi="Century Gothic"/>
        </w:rPr>
      </w:pPr>
    </w:p>
    <w:p w:rsidR="003B6EFF" w:rsidRPr="00A20A17" w:rsidRDefault="003B6EFF" w:rsidP="003B6EFF">
      <w:pPr>
        <w:ind w:left="426"/>
        <w:jc w:val="both"/>
        <w:rPr>
          <w:rFonts w:ascii="Century Gothic" w:hAnsi="Century Gothic"/>
        </w:rPr>
      </w:pPr>
    </w:p>
    <w:p w:rsidR="003B6EFF" w:rsidRPr="00A20A17"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 xml:space="preserve">nabywanie bądź obejmowanie udziałów lub akcji podmiotów zarejestrowanych </w:t>
      </w:r>
      <w:r>
        <w:rPr>
          <w:rFonts w:ascii="Century Gothic" w:hAnsi="Century Gothic" w:cs="Century Gothic"/>
        </w:rPr>
        <w:br/>
      </w:r>
      <w:r w:rsidRPr="00A20A17">
        <w:rPr>
          <w:rFonts w:ascii="Century Gothic" w:hAnsi="Century Gothic" w:cs="Century Gothic"/>
        </w:rPr>
        <w:t>i działających w Polsce lub zagranicą,</w:t>
      </w:r>
    </w:p>
    <w:p w:rsidR="003B6EFF" w:rsidRPr="00195F4C"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 xml:space="preserve">nabywanie innych papierów emitowanych przez podmioty, o których mowa </w:t>
      </w:r>
      <w:r w:rsidRPr="00195F4C">
        <w:rPr>
          <w:rFonts w:ascii="Century Gothic" w:hAnsi="Century Gothic" w:cs="Century Gothic"/>
        </w:rPr>
        <w:t>w punkcie poprzedzającym,</w:t>
      </w:r>
    </w:p>
    <w:p w:rsidR="003B6EFF" w:rsidRPr="00A20A17"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wykonywanie praw z akcji, udziałów i innych papierów wartościowych,</w:t>
      </w:r>
    </w:p>
    <w:p w:rsidR="003B6EFF" w:rsidRPr="00A20A17"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rozporządzanie nabytymi akcjami, udziałami i innymi papierami wartościowymi,</w:t>
      </w:r>
    </w:p>
    <w:p w:rsidR="003B6EFF"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udzielanie pożyczek spółkom i innym podmiotom zarejestrowanym</w:t>
      </w:r>
      <w:r>
        <w:rPr>
          <w:rFonts w:ascii="Century Gothic" w:hAnsi="Century Gothic" w:cs="Century Gothic"/>
        </w:rPr>
        <w:t xml:space="preserve"> </w:t>
      </w:r>
      <w:r w:rsidRPr="00A20A17">
        <w:rPr>
          <w:rFonts w:ascii="Century Gothic" w:hAnsi="Century Gothic" w:cs="Century Gothic"/>
        </w:rPr>
        <w:t xml:space="preserve">i działającym </w:t>
      </w:r>
    </w:p>
    <w:p w:rsidR="003B6EFF" w:rsidRPr="00A20A17" w:rsidRDefault="003B6EFF" w:rsidP="003B6EFF">
      <w:pPr>
        <w:tabs>
          <w:tab w:val="decimal" w:leader="hyphen" w:pos="9072"/>
        </w:tabs>
        <w:spacing w:line="276" w:lineRule="auto"/>
        <w:ind w:left="1287"/>
        <w:jc w:val="both"/>
        <w:rPr>
          <w:rFonts w:ascii="Century Gothic" w:hAnsi="Century Gothic" w:cs="Century Gothic"/>
        </w:rPr>
      </w:pPr>
      <w:r w:rsidRPr="00A20A17">
        <w:rPr>
          <w:rFonts w:ascii="Century Gothic" w:hAnsi="Century Gothic" w:cs="Century Gothic"/>
        </w:rPr>
        <w:t>w Polsce lub zagranicą,</w:t>
      </w:r>
    </w:p>
    <w:p w:rsidR="003B6EFF" w:rsidRPr="00A20A17"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 xml:space="preserve">zaciąganie pożyczek i kredytów dla celów </w:t>
      </w:r>
      <w:proofErr w:type="spellStart"/>
      <w:r>
        <w:rPr>
          <w:rFonts w:ascii="Century Gothic" w:hAnsi="Century Gothic"/>
        </w:rPr>
        <w:t>Skystone</w:t>
      </w:r>
      <w:proofErr w:type="spellEnd"/>
      <w:r>
        <w:rPr>
          <w:rFonts w:ascii="Century Gothic" w:hAnsi="Century Gothic"/>
        </w:rPr>
        <w:t xml:space="preserve"> Capital</w:t>
      </w:r>
      <w:r w:rsidRPr="00A20A17">
        <w:rPr>
          <w:rFonts w:ascii="Century Gothic" w:hAnsi="Century Gothic" w:cs="Century Gothic"/>
        </w:rPr>
        <w:t>,</w:t>
      </w:r>
    </w:p>
    <w:p w:rsidR="003B6EFF" w:rsidRPr="00A20A17" w:rsidRDefault="003B6EFF" w:rsidP="003B6EFF">
      <w:pPr>
        <w:numPr>
          <w:ilvl w:val="0"/>
          <w:numId w:val="10"/>
        </w:numPr>
        <w:tabs>
          <w:tab w:val="decimal" w:leader="hyphen" w:pos="9072"/>
        </w:tabs>
        <w:spacing w:line="276" w:lineRule="auto"/>
        <w:jc w:val="both"/>
        <w:rPr>
          <w:rFonts w:ascii="Century Gothic" w:hAnsi="Century Gothic" w:cs="Century Gothic"/>
        </w:rPr>
      </w:pPr>
      <w:r w:rsidRPr="00A20A17">
        <w:rPr>
          <w:rFonts w:ascii="Century Gothic" w:hAnsi="Century Gothic" w:cs="Century Gothic"/>
        </w:rPr>
        <w:t>inna działalność inwestycyjna.</w:t>
      </w:r>
    </w:p>
    <w:p w:rsidR="003B6EFF" w:rsidRDefault="003B6EFF" w:rsidP="003B6EFF">
      <w:pPr>
        <w:tabs>
          <w:tab w:val="decimal" w:pos="5940"/>
          <w:tab w:val="decimal" w:pos="7110"/>
          <w:tab w:val="decimal" w:pos="8370"/>
          <w:tab w:val="decimal" w:pos="9630"/>
        </w:tabs>
        <w:jc w:val="both"/>
        <w:rPr>
          <w:rFonts w:ascii="Century Gothic" w:hAnsi="Century Gothic" w:cs="Tahoma"/>
        </w:rPr>
      </w:pPr>
    </w:p>
    <w:p w:rsidR="003B6EFF" w:rsidRPr="00A20A17" w:rsidRDefault="003B6EFF" w:rsidP="003B6EFF">
      <w:pPr>
        <w:tabs>
          <w:tab w:val="decimal" w:pos="5940"/>
          <w:tab w:val="decimal" w:pos="7110"/>
          <w:tab w:val="decimal" w:pos="8370"/>
          <w:tab w:val="decimal" w:pos="9630"/>
        </w:tabs>
        <w:jc w:val="both"/>
        <w:rPr>
          <w:rFonts w:ascii="Century Gothic" w:hAnsi="Century Gothic" w:cs="Tahoma"/>
        </w:rPr>
      </w:pPr>
    </w:p>
    <w:p w:rsidR="003B6EFF" w:rsidRPr="0075383F" w:rsidRDefault="003B6EFF" w:rsidP="003B6EFF">
      <w:pPr>
        <w:ind w:left="426"/>
        <w:jc w:val="both"/>
        <w:rPr>
          <w:rFonts w:ascii="Century Gothic" w:hAnsi="Century Gothic"/>
        </w:rPr>
      </w:pPr>
      <w:r w:rsidRPr="0075383F">
        <w:rPr>
          <w:rFonts w:ascii="Century Gothic" w:hAnsi="Century Gothic"/>
        </w:rPr>
        <w:t>Dnia 9 kwietnia 2013 r. Nadzwyczajne Walne Zgromadzenie Akcjonariuszy, w ramach zmiany statutu Spółki, określiło przedmiot działalności na następujący:</w:t>
      </w:r>
    </w:p>
    <w:p w:rsidR="003B6EFF" w:rsidRPr="0075383F" w:rsidRDefault="003B6EFF" w:rsidP="003B6EFF">
      <w:pPr>
        <w:ind w:left="426"/>
        <w:jc w:val="both"/>
        <w:rPr>
          <w:rFonts w:ascii="Century Gothic" w:hAnsi="Century Gothic"/>
        </w:rPr>
      </w:pPr>
      <w:r w:rsidRPr="0075383F">
        <w:rPr>
          <w:rFonts w:ascii="Century Gothic" w:hAnsi="Century Gothic"/>
        </w:rPr>
        <w:t>-</w:t>
      </w:r>
      <w:r w:rsidRPr="0075383F">
        <w:rPr>
          <w:rFonts w:ascii="Century Gothic" w:hAnsi="Century Gothic"/>
        </w:rPr>
        <w:tab/>
        <w:t>Działalność holdingów finansowych,</w:t>
      </w:r>
    </w:p>
    <w:p w:rsidR="003B6EFF" w:rsidRPr="0075383F" w:rsidRDefault="003B6EFF" w:rsidP="003B6EFF">
      <w:pPr>
        <w:ind w:left="426"/>
        <w:jc w:val="both"/>
        <w:rPr>
          <w:rFonts w:ascii="Century Gothic" w:hAnsi="Century Gothic"/>
        </w:rPr>
      </w:pPr>
      <w:r w:rsidRPr="0075383F">
        <w:rPr>
          <w:rFonts w:ascii="Century Gothic" w:hAnsi="Century Gothic"/>
        </w:rPr>
        <w:t>-</w:t>
      </w:r>
      <w:r w:rsidRPr="0075383F">
        <w:rPr>
          <w:rFonts w:ascii="Century Gothic" w:hAnsi="Century Gothic"/>
        </w:rPr>
        <w:tab/>
        <w:t>Działalność firm centralnych (</w:t>
      </w:r>
      <w:proofErr w:type="spellStart"/>
      <w:r w:rsidRPr="0075383F">
        <w:rPr>
          <w:rFonts w:ascii="Century Gothic" w:hAnsi="Century Gothic"/>
        </w:rPr>
        <w:t>head</w:t>
      </w:r>
      <w:proofErr w:type="spellEnd"/>
      <w:r w:rsidRPr="0075383F">
        <w:rPr>
          <w:rFonts w:ascii="Century Gothic" w:hAnsi="Century Gothic"/>
        </w:rPr>
        <w:t xml:space="preserve"> </w:t>
      </w:r>
      <w:proofErr w:type="spellStart"/>
      <w:r w:rsidRPr="0075383F">
        <w:rPr>
          <w:rFonts w:ascii="Century Gothic" w:hAnsi="Century Gothic"/>
        </w:rPr>
        <w:t>offices</w:t>
      </w:r>
      <w:proofErr w:type="spellEnd"/>
      <w:r w:rsidRPr="0075383F">
        <w:rPr>
          <w:rFonts w:ascii="Century Gothic" w:hAnsi="Century Gothic"/>
        </w:rPr>
        <w:t>) i holdingów, z wyłączeniem holdingów finansowych,</w:t>
      </w:r>
    </w:p>
    <w:p w:rsidR="003B6EFF" w:rsidRPr="0075383F" w:rsidRDefault="003B6EFF" w:rsidP="003B6EFF">
      <w:pPr>
        <w:ind w:left="426"/>
        <w:jc w:val="both"/>
        <w:rPr>
          <w:rFonts w:ascii="Century Gothic" w:hAnsi="Century Gothic"/>
        </w:rPr>
      </w:pPr>
      <w:r w:rsidRPr="0075383F">
        <w:rPr>
          <w:rFonts w:ascii="Century Gothic" w:hAnsi="Century Gothic"/>
        </w:rPr>
        <w:t>-</w:t>
      </w:r>
      <w:r w:rsidRPr="0075383F">
        <w:rPr>
          <w:rFonts w:ascii="Century Gothic" w:hAnsi="Century Gothic"/>
        </w:rPr>
        <w:tab/>
        <w:t>Pozostała finansowa działalność usługowa, gdzie indziej niesklasyfikowana, z wyłączeniem ubezpieczeń i funduszy emerytalnych,</w:t>
      </w:r>
    </w:p>
    <w:p w:rsidR="003B6EFF" w:rsidRPr="0075383F" w:rsidRDefault="003B6EFF" w:rsidP="003B6EFF">
      <w:pPr>
        <w:ind w:left="426"/>
        <w:jc w:val="both"/>
        <w:rPr>
          <w:rFonts w:ascii="Century Gothic" w:hAnsi="Century Gothic"/>
        </w:rPr>
      </w:pPr>
      <w:r w:rsidRPr="0075383F">
        <w:rPr>
          <w:rFonts w:ascii="Century Gothic" w:hAnsi="Century Gothic"/>
        </w:rPr>
        <w:t>-</w:t>
      </w:r>
      <w:r w:rsidRPr="0075383F">
        <w:rPr>
          <w:rFonts w:ascii="Century Gothic" w:hAnsi="Century Gothic"/>
        </w:rPr>
        <w:tab/>
        <w:t>Pozostałe formy udzielania kredytów,</w:t>
      </w:r>
    </w:p>
    <w:p w:rsidR="003B6EFF" w:rsidRPr="0075383F" w:rsidRDefault="003B6EFF" w:rsidP="003B6EFF">
      <w:pPr>
        <w:ind w:left="426"/>
        <w:jc w:val="both"/>
        <w:rPr>
          <w:rFonts w:ascii="Century Gothic" w:hAnsi="Century Gothic"/>
        </w:rPr>
      </w:pPr>
      <w:r w:rsidRPr="0075383F">
        <w:rPr>
          <w:rFonts w:ascii="Century Gothic" w:hAnsi="Century Gothic"/>
        </w:rPr>
        <w:t>-</w:t>
      </w:r>
      <w:r w:rsidRPr="0075383F">
        <w:rPr>
          <w:rFonts w:ascii="Century Gothic" w:hAnsi="Century Gothic"/>
        </w:rPr>
        <w:tab/>
        <w:t>Działalność rachunkowo - księgowa; doradztwo podatkowe,</w:t>
      </w:r>
    </w:p>
    <w:p w:rsidR="003B6EFF" w:rsidRPr="0075383F" w:rsidRDefault="003B6EFF" w:rsidP="003B6EFF">
      <w:pPr>
        <w:ind w:left="426"/>
        <w:jc w:val="both"/>
        <w:rPr>
          <w:rFonts w:ascii="Century Gothic" w:hAnsi="Century Gothic"/>
        </w:rPr>
      </w:pPr>
      <w:r w:rsidRPr="0075383F">
        <w:rPr>
          <w:rFonts w:ascii="Century Gothic" w:hAnsi="Century Gothic"/>
        </w:rPr>
        <w:t>-</w:t>
      </w:r>
      <w:r w:rsidRPr="0075383F">
        <w:rPr>
          <w:rFonts w:ascii="Century Gothic" w:hAnsi="Century Gothic"/>
        </w:rPr>
        <w:tab/>
        <w:t>Pozostałe doradztwo w zakresie prowadzenia działalności gospodarczej i zarządzania.</w:t>
      </w:r>
    </w:p>
    <w:p w:rsidR="003B6EFF" w:rsidRPr="0075383F" w:rsidRDefault="003B6EFF" w:rsidP="003B6EFF">
      <w:pPr>
        <w:ind w:left="426"/>
        <w:jc w:val="both"/>
        <w:rPr>
          <w:rFonts w:ascii="Century Gothic" w:hAnsi="Century Gothic"/>
        </w:rPr>
      </w:pPr>
    </w:p>
    <w:p w:rsidR="003B6EFF" w:rsidRPr="0075383F" w:rsidRDefault="003B6EFF" w:rsidP="003B6EFF">
      <w:pPr>
        <w:ind w:left="426"/>
        <w:jc w:val="both"/>
        <w:rPr>
          <w:rFonts w:ascii="Century Gothic" w:hAnsi="Century Gothic"/>
        </w:rPr>
      </w:pPr>
      <w:r w:rsidRPr="0075383F">
        <w:rPr>
          <w:rFonts w:ascii="Century Gothic" w:hAnsi="Century Gothic"/>
        </w:rPr>
        <w:t xml:space="preserve">Działalność operacyjna </w:t>
      </w:r>
      <w:proofErr w:type="spellStart"/>
      <w:r w:rsidRPr="0075383F">
        <w:rPr>
          <w:rFonts w:ascii="Century Gothic" w:hAnsi="Century Gothic"/>
        </w:rPr>
        <w:t>Skystone</w:t>
      </w:r>
      <w:proofErr w:type="spellEnd"/>
      <w:r w:rsidRPr="0075383F">
        <w:rPr>
          <w:rFonts w:ascii="Century Gothic" w:hAnsi="Century Gothic"/>
        </w:rPr>
        <w:t xml:space="preserve"> Capital, jako podmiotu dominującego polega na wyszukiwaniu, ocenianiu, przygotowywaniu, organizowaniu finansowania i realizacji, poprzez </w:t>
      </w:r>
      <w:r w:rsidRPr="0075383F">
        <w:rPr>
          <w:rFonts w:ascii="Century Gothic" w:hAnsi="Century Gothic"/>
        </w:rPr>
        <w:lastRenderedPageBreak/>
        <w:t>spółki celowe, funkcjonujące w strukturze holdingowej, inwestycji na rynku OZE, w szczególności mających na celu produkcję „zielonej” energii elektrycznej (</w:t>
      </w:r>
      <w:proofErr w:type="spellStart"/>
      <w:r w:rsidRPr="0075383F">
        <w:rPr>
          <w:rFonts w:ascii="Century Gothic" w:hAnsi="Century Gothic"/>
        </w:rPr>
        <w:t>ee</w:t>
      </w:r>
      <w:proofErr w:type="spellEnd"/>
      <w:r w:rsidRPr="0075383F">
        <w:rPr>
          <w:rFonts w:ascii="Century Gothic" w:hAnsi="Century Gothic"/>
        </w:rPr>
        <w:t>) oraz cieplnej (</w:t>
      </w:r>
      <w:proofErr w:type="spellStart"/>
      <w:r w:rsidRPr="0075383F">
        <w:rPr>
          <w:rFonts w:ascii="Century Gothic" w:hAnsi="Century Gothic"/>
        </w:rPr>
        <w:t>ec</w:t>
      </w:r>
      <w:proofErr w:type="spellEnd"/>
      <w:r w:rsidRPr="0075383F">
        <w:rPr>
          <w:rFonts w:ascii="Century Gothic" w:hAnsi="Century Gothic"/>
        </w:rPr>
        <w:t xml:space="preserve">). </w:t>
      </w:r>
    </w:p>
    <w:p w:rsidR="003B6EFF" w:rsidRPr="0075383F" w:rsidRDefault="003B6EFF" w:rsidP="003B6EFF">
      <w:pPr>
        <w:ind w:left="426"/>
        <w:jc w:val="both"/>
        <w:rPr>
          <w:rFonts w:ascii="Century Gothic" w:hAnsi="Century Gothic"/>
        </w:rPr>
      </w:pPr>
    </w:p>
    <w:p w:rsidR="003B6EFF" w:rsidRPr="0075383F" w:rsidRDefault="003B6EFF" w:rsidP="003B6EFF">
      <w:pPr>
        <w:ind w:left="426"/>
        <w:jc w:val="both"/>
        <w:rPr>
          <w:rFonts w:ascii="Century Gothic" w:hAnsi="Century Gothic"/>
        </w:rPr>
      </w:pPr>
      <w:r w:rsidRPr="0075383F">
        <w:rPr>
          <w:rFonts w:ascii="Century Gothic" w:hAnsi="Century Gothic"/>
        </w:rPr>
        <w:t xml:space="preserve">W każdej z linii biznesowych, odnoszących się do energetyki odnawialnej, w ramach której </w:t>
      </w:r>
      <w:proofErr w:type="spellStart"/>
      <w:r w:rsidRPr="0075383F">
        <w:rPr>
          <w:rFonts w:ascii="Century Gothic" w:hAnsi="Century Gothic"/>
        </w:rPr>
        <w:t>Skystone</w:t>
      </w:r>
      <w:proofErr w:type="spellEnd"/>
      <w:r w:rsidRPr="0075383F">
        <w:rPr>
          <w:rFonts w:ascii="Century Gothic" w:hAnsi="Century Gothic"/>
        </w:rPr>
        <w:t xml:space="preserve"> Capital prowadzi działalność operacyjną, menedżerowie </w:t>
      </w:r>
      <w:proofErr w:type="spellStart"/>
      <w:r w:rsidRPr="0075383F">
        <w:rPr>
          <w:rFonts w:ascii="Century Gothic" w:hAnsi="Century Gothic"/>
        </w:rPr>
        <w:t>Skystone</w:t>
      </w:r>
      <w:proofErr w:type="spellEnd"/>
      <w:r w:rsidRPr="0075383F">
        <w:rPr>
          <w:rFonts w:ascii="Century Gothic" w:hAnsi="Century Gothic"/>
        </w:rPr>
        <w:t xml:space="preserve"> Capital są kluczowymi osobami w zarządach, bądź też radach nadzorczych tych Spółek.</w:t>
      </w:r>
    </w:p>
    <w:p w:rsidR="003B6EFF" w:rsidRPr="0075383F" w:rsidRDefault="003B6EFF" w:rsidP="003B6EFF">
      <w:pPr>
        <w:ind w:left="426"/>
        <w:jc w:val="both"/>
        <w:rPr>
          <w:rFonts w:ascii="Century Gothic" w:hAnsi="Century Gothic"/>
        </w:rPr>
      </w:pPr>
      <w:r w:rsidRPr="0075383F">
        <w:rPr>
          <w:rFonts w:ascii="Century Gothic" w:hAnsi="Century Gothic"/>
        </w:rPr>
        <w:t>Rynek OZE w Polsce w ogóle, ale szczególnie w części odnoszącej się do produkcji energii z biogazu i biomasy jest obecnie dla indywidualnych inwestorów ( w odróżnieniu od podmiotów tzw. energetyki zawodowej, opartej głównie na węglu) rynkiem bardzo trudnym i niestabilnym. Produkcja energii ze źródeł odnawialnych, ze względu na stosunkowo jeszcze wysokie koszty inwestycji i ograniczoną sprawność energetyczną aparatury służącej do jej wytworzenia jest ekonomicznie nieopłacalna i zarówno budowa infrastruktury, jak i produkcja i sprzedaż samej energii wymagają nadal dotowania. W różnych krajach Europy wdrożono systemy wsparcia dla producentów „zielonej energii”, realizując strategie energetyczne poszczególnych państw oraz wytyczne UE w zakresie ochrony klimatu. Systemy te efektywnie gwarantują wytwórcom zielonej energii długoterminową efektywność ekonomiczną wybudowanych instalacji, niezależną od koniunktur rynkowych. W Polsce system wsparcia dla producentów energii jest niestabilny i obecnie niewystarczający. W części producentami tej energii są producenci energii opartej o węgiel ( tzw. współspalanie), którzy do jej produkcji wykorzystują swoją tradycyjną infrastrukturę, nie ponosząc dodatkowych nakładów inwestycyjnych. Równocześnie, korzystają oni z systemu wsparcia dla producentów zielonej energii, który w ich przypadku okazuje się atrakcyjny ekonomicznie. Ten model działania jest niedostępny dla podmiotów realizujących inwestycje w tej branży „od zera”. Mechanizmy i instrumenty przewidziane dla wsparcia indywidualnych inwestorów, w zderzeniu z warunkami, jakie powstają na skutek ich koegzystencji z energetyką zawodową, nie działają. Poszczególne segmenty tego rynku mają nieco odmienne uwarunkowania, a najgorzej sytuacja przedstawia się na rynku produkcji energii z biogazu i biomasy. Przy obecnych cenach tzw. zielonych certyfikatów, których sprzedaż jest dla producentów zielonej energii ważnym, uzupełniającym źródłem przychodów, zrównoważenie bilansu przychodów i kosztów przedsiębiorstw jest bardzo trudne lub wręcz niemożliwe. Trwają prace legislacyjne nad nowym systemem wsparcia dla producentów energii ze źródeł odnawialnych, ale proces ten jest bardzo wolny, już zapóźniony, a ostateczne rozwiązania i ich atrakcyjność dla podmiotów tego rynku, niepewne. Oficjalne deklaracje najwyższych przedstawicieli administracji rządowej wskazują na preferencje dla rozbudowy i modernizacji w Polsce bazy wytwórczej energii elektrycznej opartej o węgiel oraz wypełnianie w stopniu minimalnym, „narzuconych” Polsce przez regulacje UE wymogów produkcji energii ze źródeł odnawialnych. Jednym z powodów takiej postawy jest z pewnością trudna sytuacja budżetu Państwa.</w:t>
      </w:r>
    </w:p>
    <w:p w:rsidR="003B6EFF" w:rsidRPr="0075383F" w:rsidRDefault="003B6EFF" w:rsidP="003B6EFF">
      <w:pPr>
        <w:ind w:left="426"/>
        <w:jc w:val="both"/>
        <w:rPr>
          <w:rFonts w:ascii="Century Gothic" w:hAnsi="Century Gothic"/>
        </w:rPr>
      </w:pPr>
    </w:p>
    <w:p w:rsidR="003B6EFF" w:rsidRPr="0075383F" w:rsidRDefault="003B6EFF" w:rsidP="003B6EFF">
      <w:pPr>
        <w:ind w:left="426"/>
        <w:jc w:val="both"/>
        <w:rPr>
          <w:rFonts w:ascii="Century Gothic" w:hAnsi="Century Gothic"/>
        </w:rPr>
      </w:pPr>
      <w:r w:rsidRPr="0075383F">
        <w:rPr>
          <w:rFonts w:ascii="Century Gothic" w:hAnsi="Century Gothic"/>
        </w:rPr>
        <w:t xml:space="preserve">Dla </w:t>
      </w:r>
      <w:proofErr w:type="spellStart"/>
      <w:r w:rsidRPr="0075383F">
        <w:rPr>
          <w:rFonts w:ascii="Century Gothic" w:hAnsi="Century Gothic"/>
        </w:rPr>
        <w:t>Skystone</w:t>
      </w:r>
      <w:proofErr w:type="spellEnd"/>
      <w:r w:rsidRPr="0075383F">
        <w:rPr>
          <w:rFonts w:ascii="Century Gothic" w:hAnsi="Century Gothic"/>
        </w:rPr>
        <w:t xml:space="preserve"> Capital, jako podmiotu realizującego inwestycje i świadczącego usługi w obszarze OZE w istotnej części w oparciu o biomasę i biogaz, jest to sytuacja wysoce niekorzystna, przekładająca się bardzo negatywnie na wyniki finansowe przedsiębiorstwa.</w:t>
      </w:r>
    </w:p>
    <w:p w:rsidR="003B6EFF" w:rsidRPr="0075383F" w:rsidRDefault="003B6EFF" w:rsidP="003B6EFF">
      <w:pPr>
        <w:ind w:left="426"/>
        <w:jc w:val="both"/>
        <w:rPr>
          <w:rFonts w:ascii="Century Gothic" w:hAnsi="Century Gothic"/>
        </w:rPr>
      </w:pPr>
      <w:r w:rsidRPr="0075383F">
        <w:rPr>
          <w:rFonts w:ascii="Century Gothic" w:hAnsi="Century Gothic"/>
        </w:rPr>
        <w:t xml:space="preserve">Dla ochrony interesu akcjonariuszy Spółki, Zarząd </w:t>
      </w:r>
      <w:proofErr w:type="spellStart"/>
      <w:r w:rsidRPr="0075383F">
        <w:rPr>
          <w:rFonts w:ascii="Century Gothic" w:hAnsi="Century Gothic"/>
        </w:rPr>
        <w:t>Skystone</w:t>
      </w:r>
      <w:proofErr w:type="spellEnd"/>
      <w:r w:rsidRPr="0075383F">
        <w:rPr>
          <w:rFonts w:ascii="Century Gothic" w:hAnsi="Century Gothic"/>
        </w:rPr>
        <w:t xml:space="preserve"> Capital prowadzi intensywne działania restrukturyzacyjne i optymalizacyjne, dopasowane do sytuacji poszczególnych spółek celowych i specyfiki ich działania. Działania te przynoszą pozytywne efekty, nie są jednakże w stanie zneutralizować i wyeliminować negatywnego wpływu otoczenia rynkowego w jakim te firmy działają. Trwałym elementem stabilizacji dla tych inwestycji, w tej ich części, które działają na rynku OZE ( produkcja węgla drzewnego ma charakter rynkowy i nie jest dotowana)mogą się stać dopiero korzystne i odporne na „deformacje” ( jeżeli takie zostaną uchwalone) regulacje ustawowe, których można spodziewać się nie prędzej niż w końcu roku 2014. </w:t>
      </w:r>
    </w:p>
    <w:p w:rsidR="003B6EFF" w:rsidRPr="0075383F" w:rsidRDefault="003B6EFF" w:rsidP="003B6EFF">
      <w:pPr>
        <w:ind w:left="426"/>
        <w:jc w:val="both"/>
        <w:rPr>
          <w:rFonts w:ascii="Century Gothic" w:hAnsi="Century Gothic"/>
        </w:rPr>
      </w:pPr>
    </w:p>
    <w:p w:rsidR="003B6EFF" w:rsidRPr="0075383F" w:rsidRDefault="003B6EFF" w:rsidP="003B6EFF">
      <w:pPr>
        <w:ind w:left="426"/>
        <w:jc w:val="both"/>
        <w:rPr>
          <w:rFonts w:ascii="Century Gothic" w:hAnsi="Century Gothic"/>
        </w:rPr>
      </w:pPr>
      <w:r w:rsidRPr="0075383F">
        <w:rPr>
          <w:rFonts w:ascii="Century Gothic" w:hAnsi="Century Gothic"/>
        </w:rPr>
        <w:t xml:space="preserve">Po analizie portfela inwestycyjnego Spółki, stanu i perspektyw dla poszczególnych aktywów w obecnych warunkach ich działania, a także biorąc pod uwagę bardzo ograniczone możliwości finansowe, Zarząd </w:t>
      </w:r>
      <w:proofErr w:type="spellStart"/>
      <w:r w:rsidRPr="0075383F">
        <w:rPr>
          <w:rFonts w:ascii="Century Gothic" w:hAnsi="Century Gothic"/>
        </w:rPr>
        <w:t>Skystone</w:t>
      </w:r>
      <w:proofErr w:type="spellEnd"/>
      <w:r w:rsidRPr="0075383F">
        <w:rPr>
          <w:rFonts w:ascii="Century Gothic" w:hAnsi="Century Gothic"/>
        </w:rPr>
        <w:t xml:space="preserve"> Capital, powołany w połowie roku 2013, opracował i opublikował we wrześniu 2013 r. nowy kierunek strategiczny dla firmy, który przewidywał koncentrację na jednej, największej inwestycji tj. OZEN PLUS, oraz sukcesywne, w perspektywie do 12 miesięcy, wychodzenie z pozostałych inwestycji na możliwie najlepszych warunkach. Prezentacja nowej strategii zawierała opis spodziewanych efektów biznesowych i ekonomicznych OZEN PLUS w kolejnych latach obrachunkowych, co miało pokazać inwestorom, że po spełnieniu pewnych warunków jest możliwe utrzymanie OZEN Plus w portfelu inwestycyjnym i stopniowe odzyskiwanie poniesionych nakładów. Warunkiem koniecznym powodzenia realizacji tak zdefiniowanej </w:t>
      </w:r>
      <w:r w:rsidRPr="0075383F">
        <w:rPr>
          <w:rFonts w:ascii="Century Gothic" w:hAnsi="Century Gothic"/>
        </w:rPr>
        <w:lastRenderedPageBreak/>
        <w:t xml:space="preserve">strategii było szybkie pozyskanie kapitału ze sprzedaży emisji akcji serii A1, z zachowaniem prawa poboru, w kwocie do 7,5 mln zł. Niestety, odzew ze strony inwestorów był nikły i emisja nie przekroczyła założonego progu i nie doszła do skutku. W tych warunkach Zarząd </w:t>
      </w:r>
      <w:proofErr w:type="spellStart"/>
      <w:r w:rsidRPr="0075383F">
        <w:rPr>
          <w:rFonts w:ascii="Century Gothic" w:hAnsi="Century Gothic"/>
        </w:rPr>
        <w:t>Skystone</w:t>
      </w:r>
      <w:proofErr w:type="spellEnd"/>
      <w:r w:rsidRPr="0075383F">
        <w:rPr>
          <w:rFonts w:ascii="Century Gothic" w:hAnsi="Century Gothic"/>
        </w:rPr>
        <w:t xml:space="preserve"> skupił się na pozyskaniu inwestorów do posiadanych w portfelu podmiotów w celu jak najszybszego pozyskania środków i oddłużenia </w:t>
      </w:r>
      <w:proofErr w:type="spellStart"/>
      <w:r w:rsidRPr="0075383F">
        <w:rPr>
          <w:rFonts w:ascii="Century Gothic" w:hAnsi="Century Gothic"/>
        </w:rPr>
        <w:t>Skystone</w:t>
      </w:r>
      <w:proofErr w:type="spellEnd"/>
      <w:r w:rsidRPr="0075383F">
        <w:rPr>
          <w:rFonts w:ascii="Century Gothic" w:hAnsi="Century Gothic"/>
        </w:rPr>
        <w:t xml:space="preserve"> Capital.</w:t>
      </w:r>
    </w:p>
    <w:p w:rsidR="00E53D76" w:rsidRDefault="003B6EFF" w:rsidP="003B6EFF">
      <w:pPr>
        <w:spacing w:line="240" w:lineRule="atLeast"/>
        <w:ind w:left="426"/>
        <w:jc w:val="both"/>
        <w:rPr>
          <w:rFonts w:ascii="Century Gothic" w:hAnsi="Century Gothic"/>
        </w:rPr>
      </w:pPr>
      <w:r w:rsidRPr="0075383F">
        <w:rPr>
          <w:rFonts w:ascii="Century Gothic" w:hAnsi="Century Gothic"/>
        </w:rPr>
        <w:t>W dniu 2</w:t>
      </w:r>
      <w:r>
        <w:rPr>
          <w:rFonts w:ascii="Century Gothic" w:hAnsi="Century Gothic"/>
        </w:rPr>
        <w:t>7</w:t>
      </w:r>
      <w:r w:rsidRPr="0075383F">
        <w:rPr>
          <w:rFonts w:ascii="Century Gothic" w:hAnsi="Century Gothic"/>
        </w:rPr>
        <w:t xml:space="preserve"> grudnia 2013 r. został sprzedany cały pakiet akcji Energo Eko 1 Sp z o.o. i trwają intensywne prace nad sprzedażą innych aktywów. Równocześnie trwa proces likwidacji spółek nie nadających się do sprzedaży oraz restrukturyzacja kosztowa podmiotu dominującego. </w:t>
      </w:r>
      <w:r w:rsidR="00ED7589">
        <w:rPr>
          <w:rFonts w:ascii="Century Gothic" w:hAnsi="Century Gothic"/>
        </w:rPr>
        <w:t xml:space="preserve">  </w:t>
      </w:r>
      <w:r w:rsidR="00E53D76">
        <w:rPr>
          <w:rFonts w:ascii="Century Gothic" w:hAnsi="Century Gothic"/>
        </w:rPr>
        <w:t xml:space="preserve">     </w:t>
      </w:r>
    </w:p>
    <w:p w:rsidR="00E53D76" w:rsidRPr="00795519" w:rsidRDefault="00E53D76" w:rsidP="00E53D76">
      <w:pPr>
        <w:spacing w:line="240" w:lineRule="atLeast"/>
        <w:ind w:left="426"/>
        <w:jc w:val="both"/>
        <w:rPr>
          <w:rFonts w:ascii="Century Gothic" w:hAnsi="Century Gothic"/>
        </w:rPr>
      </w:pPr>
    </w:p>
    <w:p w:rsidR="00E53D76" w:rsidRPr="006D1BAD" w:rsidRDefault="00E53D76" w:rsidP="00E53D76">
      <w:pPr>
        <w:pStyle w:val="Nagwek2"/>
        <w:numPr>
          <w:ilvl w:val="1"/>
          <w:numId w:val="11"/>
        </w:numPr>
        <w:tabs>
          <w:tab w:val="clear" w:pos="1440"/>
          <w:tab w:val="num" w:pos="851"/>
        </w:tabs>
        <w:ind w:hanging="1014"/>
        <w:jc w:val="both"/>
        <w:rPr>
          <w:rFonts w:ascii="Century Gothic" w:hAnsi="Century Gothic"/>
          <w:bCs/>
          <w:i w:val="0"/>
          <w:color w:val="0000FF"/>
          <w:sz w:val="20"/>
        </w:rPr>
      </w:pPr>
      <w:bookmarkStart w:id="59" w:name="_Toc387945911"/>
      <w:r>
        <w:rPr>
          <w:rFonts w:ascii="Century Gothic" w:hAnsi="Century Gothic"/>
          <w:bCs/>
          <w:i w:val="0"/>
          <w:color w:val="0000FF"/>
          <w:sz w:val="20"/>
        </w:rPr>
        <w:t>Organy Jednostki Dominującej</w:t>
      </w:r>
      <w:bookmarkEnd w:id="59"/>
    </w:p>
    <w:p w:rsidR="00E53D76" w:rsidRDefault="00E53D76" w:rsidP="00E53D76">
      <w:pPr>
        <w:rPr>
          <w:rFonts w:ascii="Century Gothic" w:hAnsi="Century Gothic"/>
          <w:b/>
          <w:color w:val="0000FF"/>
        </w:rPr>
      </w:pPr>
      <w:bookmarkStart w:id="60" w:name="_Toc228774211"/>
      <w:bookmarkStart w:id="61" w:name="_Toc334180277"/>
      <w:bookmarkStart w:id="62" w:name="_Toc228169557"/>
    </w:p>
    <w:p w:rsidR="00E53D76" w:rsidRPr="00413D97" w:rsidRDefault="00E53D76" w:rsidP="00E53D76">
      <w:pPr>
        <w:ind w:firstLine="426"/>
        <w:rPr>
          <w:rFonts w:ascii="Century Gothic" w:hAnsi="Century Gothic"/>
          <w:b/>
          <w:color w:val="0000FF"/>
        </w:rPr>
      </w:pPr>
      <w:r w:rsidRPr="00413D97">
        <w:rPr>
          <w:rFonts w:ascii="Century Gothic" w:hAnsi="Century Gothic"/>
          <w:b/>
          <w:color w:val="0000FF"/>
        </w:rPr>
        <w:t>Zarząd</w:t>
      </w:r>
      <w:bookmarkEnd w:id="60"/>
      <w:bookmarkEnd w:id="61"/>
    </w:p>
    <w:p w:rsidR="00E53D76" w:rsidRDefault="00E53D76" w:rsidP="00E53D76">
      <w:pPr>
        <w:ind w:left="426"/>
        <w:jc w:val="both"/>
        <w:rPr>
          <w:rFonts w:ascii="Century Gothic" w:hAnsi="Century Gothic" w:cs="Tahoma"/>
        </w:rPr>
      </w:pPr>
    </w:p>
    <w:p w:rsidR="00E53D76" w:rsidRPr="00894AA9" w:rsidRDefault="00E53D76" w:rsidP="00E53D76">
      <w:pPr>
        <w:ind w:left="426"/>
        <w:jc w:val="both"/>
        <w:rPr>
          <w:rFonts w:ascii="Century Gothic" w:hAnsi="Century Gothic" w:cs="Tahoma"/>
        </w:rPr>
      </w:pPr>
      <w:r w:rsidRPr="00894AA9">
        <w:rPr>
          <w:rFonts w:ascii="Century Gothic" w:hAnsi="Century Gothic" w:cs="Tahoma"/>
        </w:rPr>
        <w:t>Na dzień 3</w:t>
      </w:r>
      <w:r w:rsidR="007B631E">
        <w:rPr>
          <w:rFonts w:ascii="Century Gothic" w:hAnsi="Century Gothic" w:cs="Tahoma"/>
        </w:rPr>
        <w:t xml:space="preserve">1 </w:t>
      </w:r>
      <w:r w:rsidR="003B6EFF">
        <w:rPr>
          <w:rFonts w:ascii="Century Gothic" w:hAnsi="Century Gothic" w:cs="Tahoma"/>
        </w:rPr>
        <w:t>marca</w:t>
      </w:r>
      <w:r w:rsidRPr="00894AA9">
        <w:rPr>
          <w:rFonts w:ascii="Century Gothic" w:hAnsi="Century Gothic" w:cs="Tahoma"/>
        </w:rPr>
        <w:t xml:space="preserve"> 201</w:t>
      </w:r>
      <w:r w:rsidR="003B6EFF">
        <w:rPr>
          <w:rFonts w:ascii="Century Gothic" w:hAnsi="Century Gothic" w:cs="Tahoma"/>
        </w:rPr>
        <w:t>4</w:t>
      </w:r>
      <w:r w:rsidRPr="00894AA9">
        <w:rPr>
          <w:rFonts w:ascii="Century Gothic" w:hAnsi="Century Gothic" w:cs="Tahoma"/>
        </w:rPr>
        <w:t xml:space="preserve"> r. skład Zarządu </w:t>
      </w:r>
      <w:proofErr w:type="spellStart"/>
      <w:r w:rsidRPr="00894AA9">
        <w:rPr>
          <w:rFonts w:ascii="Century Gothic" w:hAnsi="Century Gothic"/>
        </w:rPr>
        <w:t>Skystone</w:t>
      </w:r>
      <w:proofErr w:type="spellEnd"/>
      <w:r w:rsidRPr="00894AA9">
        <w:rPr>
          <w:rFonts w:ascii="Century Gothic" w:hAnsi="Century Gothic"/>
        </w:rPr>
        <w:t xml:space="preserve"> Capital</w:t>
      </w:r>
      <w:r w:rsidRPr="00894AA9">
        <w:rPr>
          <w:rFonts w:ascii="Century Gothic" w:hAnsi="Century Gothic" w:cs="Tahoma"/>
        </w:rPr>
        <w:t xml:space="preserve"> przedstawiał się następująco:</w:t>
      </w:r>
    </w:p>
    <w:p w:rsidR="00E53D76" w:rsidRPr="00894AA9" w:rsidRDefault="00E53D76" w:rsidP="00E53D76">
      <w:pPr>
        <w:ind w:left="426"/>
        <w:jc w:val="both"/>
        <w:rPr>
          <w:rFonts w:ascii="Century Gothic" w:hAnsi="Century Gothic" w:cs="Tahoma"/>
        </w:rPr>
      </w:pPr>
    </w:p>
    <w:tbl>
      <w:tblPr>
        <w:tblW w:w="0" w:type="auto"/>
        <w:tblInd w:w="426" w:type="dxa"/>
        <w:tblBorders>
          <w:top w:val="single" w:sz="4" w:space="0" w:color="auto"/>
          <w:bottom w:val="single" w:sz="4" w:space="0" w:color="auto"/>
        </w:tblBorders>
        <w:tblLook w:val="01E0" w:firstRow="1" w:lastRow="1" w:firstColumn="1" w:lastColumn="1" w:noHBand="0" w:noVBand="0"/>
      </w:tblPr>
      <w:tblGrid>
        <w:gridCol w:w="3368"/>
        <w:gridCol w:w="4819"/>
      </w:tblGrid>
      <w:tr w:rsidR="00E53D76" w:rsidRPr="00894AA9" w:rsidTr="00762194">
        <w:trPr>
          <w:trHeight w:val="284"/>
        </w:trPr>
        <w:tc>
          <w:tcPr>
            <w:tcW w:w="3368" w:type="dxa"/>
            <w:tcBorders>
              <w:top w:val="single" w:sz="4" w:space="0" w:color="auto"/>
              <w:bottom w:val="single" w:sz="4" w:space="0" w:color="auto"/>
            </w:tcBorders>
            <w:vAlign w:val="center"/>
          </w:tcPr>
          <w:p w:rsidR="00E53D76" w:rsidRPr="00894AA9" w:rsidRDefault="00E53D76" w:rsidP="00762194">
            <w:pPr>
              <w:rPr>
                <w:rFonts w:ascii="Century Gothic" w:hAnsi="Century Gothic" w:cs="Tahoma"/>
                <w:b/>
              </w:rPr>
            </w:pPr>
            <w:r w:rsidRPr="00894AA9">
              <w:rPr>
                <w:rFonts w:ascii="Century Gothic" w:hAnsi="Century Gothic" w:cs="Tahoma"/>
                <w:b/>
              </w:rPr>
              <w:t xml:space="preserve">Imię i nazwisko </w:t>
            </w:r>
          </w:p>
        </w:tc>
        <w:tc>
          <w:tcPr>
            <w:tcW w:w="4819" w:type="dxa"/>
            <w:tcBorders>
              <w:top w:val="single" w:sz="4" w:space="0" w:color="auto"/>
              <w:bottom w:val="single" w:sz="4" w:space="0" w:color="auto"/>
            </w:tcBorders>
            <w:vAlign w:val="center"/>
          </w:tcPr>
          <w:p w:rsidR="00E53D76" w:rsidRPr="00894AA9" w:rsidRDefault="00E53D76" w:rsidP="00762194">
            <w:pPr>
              <w:rPr>
                <w:rFonts w:ascii="Century Gothic" w:hAnsi="Century Gothic" w:cs="Tahoma"/>
                <w:b/>
              </w:rPr>
            </w:pPr>
            <w:r w:rsidRPr="00894AA9">
              <w:rPr>
                <w:rFonts w:ascii="Century Gothic" w:hAnsi="Century Gothic" w:cs="Tahoma"/>
                <w:b/>
              </w:rPr>
              <w:t>Pełniona funkcja</w:t>
            </w:r>
          </w:p>
        </w:tc>
      </w:tr>
      <w:tr w:rsidR="00E53D76" w:rsidRPr="00894AA9" w:rsidTr="00762194">
        <w:trPr>
          <w:trHeight w:val="340"/>
        </w:trPr>
        <w:tc>
          <w:tcPr>
            <w:tcW w:w="3368" w:type="dxa"/>
            <w:shd w:val="clear" w:color="auto" w:fill="auto"/>
            <w:vAlign w:val="center"/>
          </w:tcPr>
          <w:p w:rsidR="00E53D76" w:rsidRPr="00894AA9" w:rsidRDefault="00E53D76" w:rsidP="00762194">
            <w:pPr>
              <w:rPr>
                <w:rFonts w:ascii="Century Gothic" w:hAnsi="Century Gothic"/>
              </w:rPr>
            </w:pPr>
            <w:r w:rsidRPr="00894AA9">
              <w:rPr>
                <w:rFonts w:ascii="Century Gothic" w:hAnsi="Century Gothic"/>
              </w:rPr>
              <w:t>Piotr Kardach</w:t>
            </w:r>
          </w:p>
        </w:tc>
        <w:tc>
          <w:tcPr>
            <w:tcW w:w="4819" w:type="dxa"/>
            <w:shd w:val="clear" w:color="auto" w:fill="auto"/>
            <w:vAlign w:val="center"/>
          </w:tcPr>
          <w:p w:rsidR="00E53D76" w:rsidRPr="00894AA9" w:rsidRDefault="007B631E" w:rsidP="00762194">
            <w:pPr>
              <w:rPr>
                <w:rFonts w:ascii="Century Gothic" w:hAnsi="Century Gothic" w:cs="Tahoma"/>
              </w:rPr>
            </w:pPr>
            <w:r w:rsidRPr="00894AA9">
              <w:rPr>
                <w:rFonts w:ascii="Century Gothic" w:hAnsi="Century Gothic"/>
              </w:rPr>
              <w:t>Prezes Zarządu</w:t>
            </w:r>
          </w:p>
        </w:tc>
      </w:tr>
      <w:tr w:rsidR="00E53D76" w:rsidRPr="00894AA9" w:rsidTr="00762194">
        <w:trPr>
          <w:trHeight w:val="340"/>
        </w:trPr>
        <w:tc>
          <w:tcPr>
            <w:tcW w:w="3368" w:type="dxa"/>
            <w:vAlign w:val="center"/>
          </w:tcPr>
          <w:p w:rsidR="00E53D76" w:rsidRPr="00894AA9" w:rsidRDefault="00E53D76" w:rsidP="00762194">
            <w:pPr>
              <w:rPr>
                <w:rFonts w:ascii="Century Gothic" w:hAnsi="Century Gothic"/>
              </w:rPr>
            </w:pPr>
            <w:r w:rsidRPr="00894AA9">
              <w:rPr>
                <w:rFonts w:ascii="Century Gothic" w:hAnsi="Century Gothic"/>
              </w:rPr>
              <w:t xml:space="preserve">Andrzej Marciniak </w:t>
            </w:r>
          </w:p>
        </w:tc>
        <w:tc>
          <w:tcPr>
            <w:tcW w:w="4819" w:type="dxa"/>
            <w:vAlign w:val="center"/>
          </w:tcPr>
          <w:p w:rsidR="00E53D76" w:rsidRPr="00894AA9" w:rsidRDefault="00E53D76" w:rsidP="00762194">
            <w:pPr>
              <w:rPr>
                <w:rFonts w:ascii="Century Gothic" w:hAnsi="Century Gothic" w:cs="Tahoma"/>
              </w:rPr>
            </w:pPr>
            <w:r w:rsidRPr="00894AA9">
              <w:rPr>
                <w:rFonts w:ascii="Century Gothic" w:hAnsi="Century Gothic" w:cs="Tahoma"/>
              </w:rPr>
              <w:t>Wiceprezes Zarządu</w:t>
            </w:r>
          </w:p>
        </w:tc>
      </w:tr>
    </w:tbl>
    <w:p w:rsidR="00E53D76" w:rsidRPr="00052F16" w:rsidRDefault="00E53D76" w:rsidP="00E53D76">
      <w:pPr>
        <w:pStyle w:val="Tekstpodstawowywcity3"/>
        <w:ind w:left="0"/>
        <w:rPr>
          <w:rFonts w:ascii="Century Gothic" w:hAnsi="Century Gothic" w:cs="Tahoma"/>
          <w:sz w:val="20"/>
          <w:highlight w:val="yellow"/>
        </w:rPr>
      </w:pPr>
    </w:p>
    <w:p w:rsidR="00E53D76" w:rsidRPr="00052F16" w:rsidRDefault="00E53D76" w:rsidP="00E53D76">
      <w:pPr>
        <w:ind w:left="284" w:firstLine="142"/>
        <w:jc w:val="both"/>
        <w:rPr>
          <w:rFonts w:ascii="Century Gothic" w:hAnsi="Century Gothic" w:cs="Tahoma"/>
          <w:b/>
          <w:bCs/>
          <w:highlight w:val="yellow"/>
          <w:u w:val="single"/>
        </w:rPr>
      </w:pPr>
      <w:bookmarkStart w:id="63" w:name="_Toc228774212"/>
      <w:bookmarkStart w:id="64" w:name="_Toc334180278"/>
    </w:p>
    <w:p w:rsidR="0015746F" w:rsidRPr="00894AA9" w:rsidRDefault="00E53D76" w:rsidP="0015746F">
      <w:pPr>
        <w:ind w:left="426"/>
        <w:jc w:val="both"/>
        <w:rPr>
          <w:rFonts w:ascii="Century Gothic" w:hAnsi="Century Gothic" w:cs="Tahoma"/>
        </w:rPr>
      </w:pPr>
      <w:r w:rsidRPr="00894AA9">
        <w:rPr>
          <w:rFonts w:ascii="Century Gothic" w:hAnsi="Century Gothic" w:cs="Tahoma"/>
        </w:rPr>
        <w:t>Ww. osoby zostały powołane do składu Zarządu na okres wspólnej trzyletniej kadencji rozpoczynającej się 10</w:t>
      </w:r>
      <w:r>
        <w:rPr>
          <w:rFonts w:ascii="Century Gothic" w:hAnsi="Century Gothic" w:cs="Tahoma"/>
        </w:rPr>
        <w:t xml:space="preserve"> czerwca </w:t>
      </w:r>
      <w:r w:rsidRPr="00894AA9">
        <w:rPr>
          <w:rFonts w:ascii="Century Gothic" w:hAnsi="Century Gothic" w:cs="Tahoma"/>
        </w:rPr>
        <w:t>2013 r.</w:t>
      </w:r>
      <w:r w:rsidR="0015746F">
        <w:rPr>
          <w:rFonts w:ascii="Century Gothic" w:hAnsi="Century Gothic" w:cs="Tahoma"/>
        </w:rPr>
        <w:t>, przy czym pan Piotr Kardach funkcje Prezesa Zarządu pełni od dnia 29 października 2013</w:t>
      </w:r>
      <w:r w:rsidR="00182211">
        <w:rPr>
          <w:rFonts w:ascii="Century Gothic" w:hAnsi="Century Gothic" w:cs="Tahoma"/>
        </w:rPr>
        <w:t xml:space="preserve"> </w:t>
      </w:r>
      <w:r w:rsidR="0015746F">
        <w:rPr>
          <w:rFonts w:ascii="Century Gothic" w:hAnsi="Century Gothic" w:cs="Tahoma"/>
        </w:rPr>
        <w:t xml:space="preserve">r. </w:t>
      </w:r>
    </w:p>
    <w:p w:rsidR="00155B3E" w:rsidRPr="00894AA9" w:rsidRDefault="00155B3E" w:rsidP="00E53D76">
      <w:pPr>
        <w:ind w:left="426"/>
        <w:jc w:val="both"/>
        <w:rPr>
          <w:rFonts w:ascii="Century Gothic" w:hAnsi="Century Gothic" w:cs="Tahoma"/>
        </w:rPr>
      </w:pPr>
    </w:p>
    <w:p w:rsidR="00E53D76" w:rsidRDefault="00E53D76" w:rsidP="00E53D76">
      <w:pPr>
        <w:rPr>
          <w:rFonts w:ascii="Century Gothic" w:hAnsi="Century Gothic"/>
          <w:b/>
          <w:color w:val="0000FF"/>
        </w:rPr>
      </w:pPr>
    </w:p>
    <w:p w:rsidR="00E53D76" w:rsidRPr="00413D97" w:rsidRDefault="00E53D76" w:rsidP="00E53D76">
      <w:pPr>
        <w:ind w:left="284" w:firstLine="142"/>
        <w:rPr>
          <w:rFonts w:ascii="Century Gothic" w:hAnsi="Century Gothic"/>
          <w:b/>
          <w:color w:val="0000FF"/>
        </w:rPr>
      </w:pPr>
      <w:r w:rsidRPr="00413D97">
        <w:rPr>
          <w:rFonts w:ascii="Century Gothic" w:hAnsi="Century Gothic"/>
          <w:b/>
          <w:color w:val="0000FF"/>
        </w:rPr>
        <w:t>Rada Nadzorcza</w:t>
      </w:r>
      <w:bookmarkEnd w:id="63"/>
      <w:bookmarkEnd w:id="64"/>
    </w:p>
    <w:p w:rsidR="00E53D76" w:rsidRDefault="00E53D76" w:rsidP="00E53D76">
      <w:pPr>
        <w:rPr>
          <w:rFonts w:ascii="Century Gothic" w:hAnsi="Century Gothic"/>
        </w:rPr>
      </w:pPr>
    </w:p>
    <w:p w:rsidR="00E53D76" w:rsidRPr="00B84180" w:rsidRDefault="00E53D76" w:rsidP="00E53D76">
      <w:pPr>
        <w:ind w:left="426"/>
        <w:jc w:val="both"/>
        <w:rPr>
          <w:rFonts w:ascii="Century Gothic" w:hAnsi="Century Gothic" w:cs="Tahoma"/>
        </w:rPr>
      </w:pPr>
      <w:bookmarkStart w:id="65" w:name="_Toc228169559"/>
      <w:bookmarkEnd w:id="62"/>
      <w:r w:rsidRPr="00B84180">
        <w:rPr>
          <w:rFonts w:ascii="Century Gothic" w:hAnsi="Century Gothic" w:cs="Tahoma"/>
        </w:rPr>
        <w:t xml:space="preserve">Skład Rady Nadzorczej </w:t>
      </w:r>
      <w:r>
        <w:rPr>
          <w:rFonts w:ascii="Century Gothic" w:hAnsi="Century Gothic" w:cs="Tahoma"/>
        </w:rPr>
        <w:t xml:space="preserve">Jednostki Dominującej </w:t>
      </w:r>
      <w:r w:rsidRPr="00B84180">
        <w:rPr>
          <w:rFonts w:ascii="Century Gothic" w:hAnsi="Century Gothic" w:cs="Tahoma"/>
        </w:rPr>
        <w:t>na dzień 3</w:t>
      </w:r>
      <w:r w:rsidR="007B631E">
        <w:rPr>
          <w:rFonts w:ascii="Century Gothic" w:hAnsi="Century Gothic" w:cs="Tahoma"/>
        </w:rPr>
        <w:t xml:space="preserve">1 </w:t>
      </w:r>
      <w:r w:rsidR="003B6EFF">
        <w:rPr>
          <w:rFonts w:ascii="Century Gothic" w:hAnsi="Century Gothic" w:cs="Tahoma"/>
        </w:rPr>
        <w:t>marca</w:t>
      </w:r>
      <w:r w:rsidRPr="00B84180">
        <w:rPr>
          <w:rFonts w:ascii="Century Gothic" w:hAnsi="Century Gothic" w:cs="Tahoma"/>
        </w:rPr>
        <w:t xml:space="preserve"> 201</w:t>
      </w:r>
      <w:r w:rsidR="003B6EFF">
        <w:rPr>
          <w:rFonts w:ascii="Century Gothic" w:hAnsi="Century Gothic" w:cs="Tahoma"/>
        </w:rPr>
        <w:t>4</w:t>
      </w:r>
      <w:r w:rsidRPr="00B84180">
        <w:rPr>
          <w:rFonts w:ascii="Century Gothic" w:hAnsi="Century Gothic" w:cs="Tahoma"/>
        </w:rPr>
        <w:t xml:space="preserve"> roku przedstawiał się następująco:</w:t>
      </w:r>
    </w:p>
    <w:p w:rsidR="00E53D76" w:rsidRPr="00B84180" w:rsidRDefault="00E53D76" w:rsidP="00E53D76">
      <w:pPr>
        <w:ind w:left="360"/>
        <w:jc w:val="both"/>
        <w:rPr>
          <w:rFonts w:ascii="Century Gothic" w:hAnsi="Century Gothic" w:cs="Tahoma"/>
        </w:rPr>
      </w:pPr>
    </w:p>
    <w:tbl>
      <w:tblPr>
        <w:tblW w:w="0" w:type="auto"/>
        <w:tblInd w:w="426" w:type="dxa"/>
        <w:tblBorders>
          <w:top w:val="single" w:sz="4" w:space="0" w:color="auto"/>
          <w:bottom w:val="single" w:sz="4" w:space="0" w:color="auto"/>
        </w:tblBorders>
        <w:tblLook w:val="01E0" w:firstRow="1" w:lastRow="1" w:firstColumn="1" w:lastColumn="1" w:noHBand="0" w:noVBand="0"/>
      </w:tblPr>
      <w:tblGrid>
        <w:gridCol w:w="3368"/>
        <w:gridCol w:w="4819"/>
      </w:tblGrid>
      <w:tr w:rsidR="00E53D76" w:rsidRPr="00894AA9" w:rsidTr="00762194">
        <w:trPr>
          <w:trHeight w:val="284"/>
        </w:trPr>
        <w:tc>
          <w:tcPr>
            <w:tcW w:w="3368" w:type="dxa"/>
            <w:tcBorders>
              <w:top w:val="single" w:sz="4" w:space="0" w:color="auto"/>
              <w:bottom w:val="single" w:sz="4" w:space="0" w:color="auto"/>
            </w:tcBorders>
            <w:vAlign w:val="center"/>
          </w:tcPr>
          <w:p w:rsidR="00E53D76" w:rsidRPr="00894AA9" w:rsidRDefault="00E53D76" w:rsidP="00762194">
            <w:pPr>
              <w:rPr>
                <w:rFonts w:ascii="Century Gothic" w:hAnsi="Century Gothic" w:cs="Tahoma"/>
                <w:b/>
              </w:rPr>
            </w:pPr>
            <w:r w:rsidRPr="00894AA9">
              <w:rPr>
                <w:rFonts w:ascii="Century Gothic" w:hAnsi="Century Gothic" w:cs="Tahoma"/>
                <w:b/>
              </w:rPr>
              <w:t xml:space="preserve">Imię i nazwisko </w:t>
            </w:r>
          </w:p>
        </w:tc>
        <w:tc>
          <w:tcPr>
            <w:tcW w:w="4819" w:type="dxa"/>
            <w:tcBorders>
              <w:top w:val="single" w:sz="4" w:space="0" w:color="auto"/>
              <w:bottom w:val="single" w:sz="4" w:space="0" w:color="auto"/>
            </w:tcBorders>
            <w:vAlign w:val="center"/>
          </w:tcPr>
          <w:p w:rsidR="00E53D76" w:rsidRPr="00894AA9" w:rsidRDefault="00E53D76" w:rsidP="00762194">
            <w:pPr>
              <w:rPr>
                <w:rFonts w:ascii="Century Gothic" w:hAnsi="Century Gothic" w:cs="Tahoma"/>
                <w:b/>
              </w:rPr>
            </w:pPr>
            <w:r w:rsidRPr="00894AA9">
              <w:rPr>
                <w:rFonts w:ascii="Century Gothic" w:hAnsi="Century Gothic" w:cs="Tahoma"/>
                <w:b/>
              </w:rPr>
              <w:t>Pełniona funkcja</w:t>
            </w:r>
          </w:p>
        </w:tc>
      </w:tr>
      <w:tr w:rsidR="003B6EFF" w:rsidTr="003B6EFF">
        <w:trPr>
          <w:trHeight w:val="340"/>
        </w:trPr>
        <w:tc>
          <w:tcPr>
            <w:tcW w:w="3368" w:type="dxa"/>
            <w:tcBorders>
              <w:top w:val="single" w:sz="4" w:space="0" w:color="auto"/>
              <w:left w:val="nil"/>
              <w:bottom w:val="nil"/>
              <w:right w:val="nil"/>
            </w:tcBorders>
            <w:hideMark/>
          </w:tcPr>
          <w:p w:rsidR="003B6EFF" w:rsidRDefault="003B6EFF" w:rsidP="003B6EFF">
            <w:pPr>
              <w:rPr>
                <w:rFonts w:ascii="Century Gothic" w:hAnsi="Century Gothic" w:cs="Tahoma"/>
              </w:rPr>
            </w:pPr>
            <w:r>
              <w:rPr>
                <w:rFonts w:ascii="Century Gothic" w:hAnsi="Century Gothic" w:cs="Tahoma"/>
              </w:rPr>
              <w:t>Robert Kuraszkiewicz</w:t>
            </w:r>
          </w:p>
        </w:tc>
        <w:tc>
          <w:tcPr>
            <w:tcW w:w="4819" w:type="dxa"/>
            <w:tcBorders>
              <w:top w:val="single" w:sz="4" w:space="0" w:color="auto"/>
              <w:left w:val="nil"/>
              <w:bottom w:val="nil"/>
              <w:right w:val="nil"/>
            </w:tcBorders>
            <w:hideMark/>
          </w:tcPr>
          <w:p w:rsidR="003B6EFF" w:rsidRDefault="003B6EFF" w:rsidP="003B6EFF">
            <w:pPr>
              <w:ind w:left="34"/>
              <w:rPr>
                <w:rFonts w:ascii="Century Gothic" w:hAnsi="Century Gothic" w:cs="Tahoma"/>
              </w:rPr>
            </w:pPr>
            <w:r>
              <w:rPr>
                <w:rFonts w:ascii="Century Gothic" w:hAnsi="Century Gothic" w:cs="Tahoma"/>
              </w:rPr>
              <w:t>Przewodniczący Rady Nadzorczej</w:t>
            </w:r>
          </w:p>
        </w:tc>
      </w:tr>
      <w:tr w:rsidR="003B6EFF" w:rsidTr="003B6EFF">
        <w:trPr>
          <w:trHeight w:val="340"/>
        </w:trPr>
        <w:tc>
          <w:tcPr>
            <w:tcW w:w="3368" w:type="dxa"/>
            <w:tcBorders>
              <w:top w:val="nil"/>
              <w:left w:val="nil"/>
              <w:bottom w:val="nil"/>
              <w:right w:val="nil"/>
            </w:tcBorders>
            <w:hideMark/>
          </w:tcPr>
          <w:p w:rsidR="003B6EFF" w:rsidRDefault="003B6EFF" w:rsidP="003B6EFF">
            <w:pPr>
              <w:rPr>
                <w:rFonts w:ascii="Century Gothic" w:hAnsi="Century Gothic" w:cs="Tahoma"/>
              </w:rPr>
            </w:pPr>
            <w:r>
              <w:rPr>
                <w:rFonts w:ascii="Century Gothic" w:hAnsi="Century Gothic" w:cs="Tahoma"/>
              </w:rPr>
              <w:t>Łukasz Kurpisz</w:t>
            </w:r>
          </w:p>
        </w:tc>
        <w:tc>
          <w:tcPr>
            <w:tcW w:w="4819" w:type="dxa"/>
            <w:tcBorders>
              <w:top w:val="nil"/>
              <w:left w:val="nil"/>
              <w:bottom w:val="nil"/>
              <w:right w:val="nil"/>
            </w:tcBorders>
            <w:hideMark/>
          </w:tcPr>
          <w:p w:rsidR="003B6EFF" w:rsidRDefault="003B6EFF" w:rsidP="003B6EFF">
            <w:pPr>
              <w:ind w:left="34"/>
              <w:rPr>
                <w:rFonts w:ascii="Century Gothic" w:hAnsi="Century Gothic" w:cs="Tahoma"/>
              </w:rPr>
            </w:pPr>
            <w:r>
              <w:rPr>
                <w:rFonts w:ascii="Century Gothic" w:hAnsi="Century Gothic" w:cs="Tahoma"/>
              </w:rPr>
              <w:t>Z-ca Przewodniczącego Rady Nadzorczej</w:t>
            </w:r>
          </w:p>
        </w:tc>
      </w:tr>
      <w:tr w:rsidR="003B6EFF" w:rsidTr="003B6EFF">
        <w:trPr>
          <w:trHeight w:val="340"/>
        </w:trPr>
        <w:tc>
          <w:tcPr>
            <w:tcW w:w="3368" w:type="dxa"/>
            <w:tcBorders>
              <w:top w:val="nil"/>
              <w:left w:val="nil"/>
              <w:bottom w:val="nil"/>
              <w:right w:val="nil"/>
            </w:tcBorders>
            <w:hideMark/>
          </w:tcPr>
          <w:p w:rsidR="003B6EFF" w:rsidRDefault="003B6EFF" w:rsidP="003B6EFF">
            <w:pPr>
              <w:rPr>
                <w:rFonts w:ascii="Century Gothic" w:hAnsi="Century Gothic" w:cs="Tahoma"/>
              </w:rPr>
            </w:pPr>
            <w:r>
              <w:rPr>
                <w:rFonts w:ascii="Century Gothic" w:hAnsi="Century Gothic" w:cs="Tahoma"/>
              </w:rPr>
              <w:t>Wojciech Dziewolski</w:t>
            </w:r>
          </w:p>
        </w:tc>
        <w:tc>
          <w:tcPr>
            <w:tcW w:w="4819" w:type="dxa"/>
            <w:tcBorders>
              <w:top w:val="nil"/>
              <w:left w:val="nil"/>
              <w:bottom w:val="nil"/>
              <w:right w:val="nil"/>
            </w:tcBorders>
            <w:hideMark/>
          </w:tcPr>
          <w:p w:rsidR="003B6EFF" w:rsidRDefault="003B6EFF" w:rsidP="003B6EFF">
            <w:pPr>
              <w:tabs>
                <w:tab w:val="left" w:pos="3686"/>
              </w:tabs>
              <w:ind w:left="34"/>
              <w:rPr>
                <w:rFonts w:ascii="Century Gothic" w:hAnsi="Century Gothic" w:cs="Tahoma"/>
              </w:rPr>
            </w:pPr>
            <w:r>
              <w:rPr>
                <w:rFonts w:ascii="Century Gothic" w:hAnsi="Century Gothic" w:cs="Tahoma"/>
              </w:rPr>
              <w:t>Sekretarz</w:t>
            </w:r>
          </w:p>
        </w:tc>
      </w:tr>
      <w:tr w:rsidR="003B6EFF" w:rsidRPr="0075383F" w:rsidTr="003B6EFF">
        <w:trPr>
          <w:trHeight w:val="340"/>
        </w:trPr>
        <w:tc>
          <w:tcPr>
            <w:tcW w:w="3368" w:type="dxa"/>
            <w:tcBorders>
              <w:top w:val="nil"/>
              <w:left w:val="nil"/>
              <w:bottom w:val="nil"/>
              <w:right w:val="nil"/>
            </w:tcBorders>
            <w:hideMark/>
          </w:tcPr>
          <w:p w:rsidR="003B6EFF" w:rsidRDefault="003B6EFF" w:rsidP="003B6EFF">
            <w:pPr>
              <w:rPr>
                <w:rFonts w:ascii="Century Gothic" w:hAnsi="Century Gothic" w:cs="Tahoma"/>
              </w:rPr>
            </w:pPr>
            <w:r>
              <w:rPr>
                <w:rFonts w:ascii="Century Gothic" w:hAnsi="Century Gothic" w:cs="Tahoma"/>
              </w:rPr>
              <w:t>Mariusz Obszański</w:t>
            </w:r>
          </w:p>
        </w:tc>
        <w:tc>
          <w:tcPr>
            <w:tcW w:w="4819" w:type="dxa"/>
            <w:tcBorders>
              <w:top w:val="nil"/>
              <w:left w:val="nil"/>
              <w:bottom w:val="nil"/>
              <w:right w:val="nil"/>
            </w:tcBorders>
            <w:hideMark/>
          </w:tcPr>
          <w:p w:rsidR="003B6EFF" w:rsidRDefault="003B6EFF" w:rsidP="003B6EFF">
            <w:pPr>
              <w:ind w:left="34"/>
              <w:rPr>
                <w:rFonts w:ascii="Century Gothic" w:hAnsi="Century Gothic" w:cs="Tahoma"/>
              </w:rPr>
            </w:pPr>
            <w:r>
              <w:rPr>
                <w:rFonts w:ascii="Century Gothic" w:hAnsi="Century Gothic" w:cs="Tahoma"/>
              </w:rPr>
              <w:t>Członek Rady Nadzorczej</w:t>
            </w:r>
          </w:p>
        </w:tc>
      </w:tr>
      <w:tr w:rsidR="003B6EFF" w:rsidTr="003B6EFF">
        <w:trPr>
          <w:trHeight w:val="340"/>
        </w:trPr>
        <w:tc>
          <w:tcPr>
            <w:tcW w:w="3368" w:type="dxa"/>
            <w:tcBorders>
              <w:top w:val="nil"/>
              <w:left w:val="nil"/>
              <w:bottom w:val="nil"/>
              <w:right w:val="nil"/>
            </w:tcBorders>
            <w:hideMark/>
          </w:tcPr>
          <w:p w:rsidR="003B6EFF" w:rsidRDefault="003B6EFF" w:rsidP="003B6EFF">
            <w:pPr>
              <w:rPr>
                <w:rFonts w:ascii="Century Gothic" w:hAnsi="Century Gothic" w:cs="Tahoma"/>
              </w:rPr>
            </w:pPr>
            <w:r>
              <w:rPr>
                <w:rFonts w:ascii="Century Gothic" w:hAnsi="Century Gothic" w:cs="Tahoma"/>
              </w:rPr>
              <w:t>Maciej Srebro</w:t>
            </w:r>
          </w:p>
        </w:tc>
        <w:tc>
          <w:tcPr>
            <w:tcW w:w="4819" w:type="dxa"/>
            <w:tcBorders>
              <w:top w:val="nil"/>
              <w:left w:val="nil"/>
              <w:bottom w:val="nil"/>
              <w:right w:val="nil"/>
            </w:tcBorders>
            <w:hideMark/>
          </w:tcPr>
          <w:p w:rsidR="003B6EFF" w:rsidRDefault="003B6EFF" w:rsidP="003B6EFF">
            <w:pPr>
              <w:ind w:left="34"/>
              <w:rPr>
                <w:rFonts w:ascii="Century Gothic" w:hAnsi="Century Gothic" w:cs="Tahoma"/>
              </w:rPr>
            </w:pPr>
            <w:r>
              <w:rPr>
                <w:rFonts w:ascii="Century Gothic" w:hAnsi="Century Gothic" w:cs="Tahoma"/>
              </w:rPr>
              <w:t>Członek Rady Nadzorczej</w:t>
            </w:r>
          </w:p>
        </w:tc>
      </w:tr>
      <w:tr w:rsidR="00E53D76" w:rsidRPr="00894AA9" w:rsidTr="00762194">
        <w:trPr>
          <w:trHeight w:val="340"/>
        </w:trPr>
        <w:tc>
          <w:tcPr>
            <w:tcW w:w="3368" w:type="dxa"/>
            <w:tcBorders>
              <w:top w:val="single" w:sz="4" w:space="0" w:color="auto"/>
              <w:bottom w:val="nil"/>
            </w:tcBorders>
            <w:vAlign w:val="center"/>
          </w:tcPr>
          <w:p w:rsidR="00E53D76" w:rsidRPr="00894AA9" w:rsidRDefault="00E53D76" w:rsidP="00762194">
            <w:pPr>
              <w:pStyle w:val="Tekstpodstawowywcity3"/>
              <w:ind w:left="0"/>
              <w:rPr>
                <w:rFonts w:ascii="Century Gothic" w:hAnsi="Century Gothic" w:cs="Tahoma"/>
                <w:sz w:val="20"/>
              </w:rPr>
            </w:pPr>
          </w:p>
        </w:tc>
        <w:tc>
          <w:tcPr>
            <w:tcW w:w="4819" w:type="dxa"/>
            <w:tcBorders>
              <w:top w:val="single" w:sz="4" w:space="0" w:color="auto"/>
              <w:bottom w:val="nil"/>
            </w:tcBorders>
            <w:vAlign w:val="center"/>
          </w:tcPr>
          <w:p w:rsidR="00E53D76" w:rsidRPr="00894AA9" w:rsidRDefault="00E53D76" w:rsidP="00762194">
            <w:pPr>
              <w:tabs>
                <w:tab w:val="left" w:pos="3686"/>
              </w:tabs>
              <w:rPr>
                <w:rFonts w:ascii="Century Gothic" w:hAnsi="Century Gothic"/>
              </w:rPr>
            </w:pPr>
          </w:p>
        </w:tc>
      </w:tr>
    </w:tbl>
    <w:p w:rsidR="00503E7E" w:rsidRPr="003513DF" w:rsidRDefault="00CD7E51" w:rsidP="003513DF">
      <w:pPr>
        <w:pStyle w:val="Tekstblokowy"/>
        <w:ind w:right="0"/>
        <w:rPr>
          <w:rFonts w:ascii="Century Gothic" w:hAnsi="Century Gothic"/>
          <w:color w:val="auto"/>
          <w:sz w:val="20"/>
        </w:rPr>
      </w:pPr>
      <w:r>
        <w:rPr>
          <w:rFonts w:ascii="Century Gothic" w:hAnsi="Century Gothic"/>
          <w:color w:val="auto"/>
          <w:sz w:val="20"/>
        </w:rPr>
        <w:t>W trakcie okresu sprawozdawczego</w:t>
      </w:r>
      <w:r w:rsidR="00503E7E" w:rsidRPr="003513DF">
        <w:rPr>
          <w:rFonts w:ascii="Century Gothic" w:hAnsi="Century Gothic"/>
          <w:color w:val="auto"/>
          <w:sz w:val="20"/>
        </w:rPr>
        <w:t xml:space="preserve"> następujące osoby złożyły rezygnację z członkostwa w Radzie Nadzorczej: Pan Krzysztof Zakrzewski z dniem 20 stycznia 2014 r.,  Pan Wiesław Ciepliński z dniem 29 stycznia 2014 r. oraz Pani Krystyna Byczkowska z dniem 7 lutego 2014 r.</w:t>
      </w:r>
    </w:p>
    <w:p w:rsidR="003513DF" w:rsidRDefault="003513DF" w:rsidP="003513DF">
      <w:pPr>
        <w:pStyle w:val="Tekstblokowy"/>
        <w:ind w:right="0"/>
        <w:rPr>
          <w:rFonts w:ascii="Century Gothic" w:hAnsi="Century Gothic"/>
          <w:color w:val="auto"/>
          <w:sz w:val="20"/>
        </w:rPr>
      </w:pPr>
    </w:p>
    <w:p w:rsidR="00503E7E" w:rsidRPr="003513DF" w:rsidRDefault="00503E7E" w:rsidP="003513DF">
      <w:pPr>
        <w:pStyle w:val="Tekstblokowy"/>
        <w:ind w:right="0"/>
        <w:rPr>
          <w:rFonts w:ascii="Century Gothic" w:hAnsi="Century Gothic"/>
          <w:color w:val="auto"/>
          <w:sz w:val="20"/>
        </w:rPr>
      </w:pPr>
      <w:r w:rsidRPr="003513DF">
        <w:rPr>
          <w:rFonts w:ascii="Century Gothic" w:hAnsi="Century Gothic"/>
          <w:color w:val="auto"/>
          <w:sz w:val="20"/>
        </w:rPr>
        <w:t xml:space="preserve">W  dniu 19 lutego 2014 r. Walne Zgromadzenie Akcjonariuszy </w:t>
      </w:r>
      <w:proofErr w:type="spellStart"/>
      <w:r w:rsidRPr="003513DF">
        <w:rPr>
          <w:rFonts w:ascii="Century Gothic" w:hAnsi="Century Gothic"/>
          <w:color w:val="auto"/>
          <w:sz w:val="20"/>
        </w:rPr>
        <w:t>Skystone</w:t>
      </w:r>
      <w:proofErr w:type="spellEnd"/>
      <w:r w:rsidRPr="003513DF">
        <w:rPr>
          <w:rFonts w:ascii="Century Gothic" w:hAnsi="Century Gothic"/>
          <w:color w:val="auto"/>
          <w:sz w:val="20"/>
        </w:rPr>
        <w:t xml:space="preserve"> Capital S.A. w skład Rady Nadzorczej powołało: Pana Mariusza Obszańskiego, Pana Roberta Kuraszkiewicza oraz Pana Macieja Srebro.  </w:t>
      </w:r>
    </w:p>
    <w:p w:rsidR="00E53D76" w:rsidRPr="003513DF" w:rsidRDefault="00E53D76" w:rsidP="003513DF">
      <w:pPr>
        <w:pStyle w:val="Tekstblokowy"/>
        <w:ind w:right="0"/>
        <w:rPr>
          <w:rFonts w:ascii="Century Gothic" w:hAnsi="Century Gothic"/>
          <w:color w:val="auto"/>
          <w:sz w:val="20"/>
        </w:rPr>
      </w:pPr>
    </w:p>
    <w:p w:rsidR="00E53D76" w:rsidRPr="0072409F" w:rsidRDefault="00E53D76" w:rsidP="00E53D76">
      <w:pPr>
        <w:pStyle w:val="Nagwek2"/>
        <w:numPr>
          <w:ilvl w:val="1"/>
          <w:numId w:val="11"/>
        </w:numPr>
        <w:tabs>
          <w:tab w:val="clear" w:pos="1440"/>
          <w:tab w:val="num" w:pos="851"/>
        </w:tabs>
        <w:ind w:hanging="1014"/>
        <w:rPr>
          <w:rFonts w:ascii="Century Gothic" w:hAnsi="Century Gothic"/>
          <w:bCs/>
          <w:i w:val="0"/>
          <w:iCs/>
          <w:color w:val="0000FF"/>
          <w:sz w:val="20"/>
        </w:rPr>
      </w:pPr>
      <w:bookmarkStart w:id="66" w:name="_Toc387945912"/>
      <w:bookmarkEnd w:id="65"/>
      <w:r>
        <w:rPr>
          <w:rFonts w:ascii="Century Gothic" w:hAnsi="Century Gothic"/>
          <w:bCs/>
          <w:i w:val="0"/>
          <w:iCs/>
          <w:color w:val="0000FF"/>
          <w:sz w:val="20"/>
        </w:rPr>
        <w:t xml:space="preserve">Akcjonariat </w:t>
      </w:r>
      <w:r>
        <w:rPr>
          <w:rFonts w:ascii="Century Gothic" w:hAnsi="Century Gothic"/>
          <w:bCs/>
          <w:i w:val="0"/>
          <w:color w:val="0000FF"/>
          <w:sz w:val="20"/>
        </w:rPr>
        <w:t>jednostki dominującej</w:t>
      </w:r>
      <w:bookmarkEnd w:id="66"/>
    </w:p>
    <w:p w:rsidR="00E53D76" w:rsidRDefault="00E53D76" w:rsidP="00E53D76">
      <w:pPr>
        <w:ind w:left="284"/>
        <w:rPr>
          <w:rFonts w:ascii="Century Gothic" w:hAnsi="Century Gothic"/>
          <w:b/>
          <w:color w:val="0000FF"/>
        </w:rPr>
      </w:pPr>
      <w:bookmarkStart w:id="67" w:name="_Toc228169570"/>
      <w:bookmarkStart w:id="68" w:name="_Toc334180280"/>
    </w:p>
    <w:p w:rsidR="00E53D76" w:rsidRPr="00413D97" w:rsidRDefault="00E53D76" w:rsidP="00E53D76">
      <w:pPr>
        <w:ind w:left="426"/>
        <w:rPr>
          <w:rFonts w:ascii="Century Gothic" w:hAnsi="Century Gothic"/>
          <w:b/>
          <w:color w:val="0000FF"/>
        </w:rPr>
      </w:pPr>
      <w:r w:rsidRPr="00413D97">
        <w:rPr>
          <w:rFonts w:ascii="Century Gothic" w:hAnsi="Century Gothic"/>
          <w:b/>
          <w:color w:val="0000FF"/>
        </w:rPr>
        <w:t>Wykaz akcjonariuszy posiadających bezpośrednio lub pośrednio przez podmioty zależne co najmniej 5% ogólnej liczby głosów na walnym zgromadzeniu emitenta</w:t>
      </w:r>
    </w:p>
    <w:p w:rsidR="00E53D76" w:rsidRDefault="00E53D76" w:rsidP="00E53D76">
      <w:pPr>
        <w:ind w:left="426"/>
        <w:jc w:val="both"/>
        <w:rPr>
          <w:rFonts w:ascii="Century Gothic" w:hAnsi="Century Gothic"/>
        </w:rPr>
      </w:pPr>
    </w:p>
    <w:p w:rsidR="00503E7E" w:rsidRPr="00CD7E51" w:rsidRDefault="00503E7E" w:rsidP="00CD7E51">
      <w:pPr>
        <w:pStyle w:val="Tekstblokowy"/>
        <w:ind w:right="0"/>
        <w:rPr>
          <w:rFonts w:ascii="Century Gothic" w:hAnsi="Century Gothic"/>
          <w:color w:val="auto"/>
          <w:sz w:val="20"/>
        </w:rPr>
      </w:pPr>
      <w:r w:rsidRPr="00503E7E">
        <w:rPr>
          <w:rFonts w:ascii="Century Gothic" w:hAnsi="Century Gothic"/>
          <w:color w:val="auto"/>
          <w:sz w:val="20"/>
        </w:rPr>
        <w:t xml:space="preserve">Zgodnie z przekazanymi do Spółki zawiadomieniami  wynikającymi z Ustawy o ofercie publicznej i warunkach wprowadzania instrumentów finansowych do zorganizowanego systemu obrotu, wg stanu na dzień 31 </w:t>
      </w:r>
      <w:r w:rsidR="00CD7E51">
        <w:rPr>
          <w:rFonts w:ascii="Century Gothic" w:hAnsi="Century Gothic"/>
          <w:color w:val="auto"/>
          <w:sz w:val="20"/>
        </w:rPr>
        <w:t>marca</w:t>
      </w:r>
      <w:r w:rsidRPr="00503E7E">
        <w:rPr>
          <w:rFonts w:ascii="Century Gothic" w:hAnsi="Century Gothic"/>
          <w:color w:val="auto"/>
          <w:sz w:val="20"/>
        </w:rPr>
        <w:t xml:space="preserve"> 2014 r. </w:t>
      </w:r>
      <w:r w:rsidR="00CD7E51" w:rsidRPr="00CD7E51">
        <w:rPr>
          <w:rFonts w:ascii="Century Gothic" w:hAnsi="Century Gothic"/>
          <w:color w:val="auto"/>
          <w:sz w:val="20"/>
        </w:rPr>
        <w:t>nie występują akcjonariusze posiadający co najmniej 5 % ogólnej liczby głosów na Walnym Zgromadzeniu Spółki.</w:t>
      </w:r>
    </w:p>
    <w:p w:rsidR="00E53D76" w:rsidRPr="00503E7E" w:rsidRDefault="00E53D76" w:rsidP="00E53D76">
      <w:pPr>
        <w:pStyle w:val="Akapitzlist"/>
        <w:ind w:left="600"/>
        <w:rPr>
          <w:rFonts w:ascii="Century Gothic" w:hAnsi="Century Gothic" w:cs="Tahoma"/>
          <w:b/>
          <w:highlight w:val="yellow"/>
        </w:rPr>
      </w:pPr>
    </w:p>
    <w:p w:rsidR="00E53D76" w:rsidRPr="002441BD" w:rsidRDefault="00E53D76" w:rsidP="00E53D76">
      <w:pPr>
        <w:ind w:left="426"/>
        <w:rPr>
          <w:rFonts w:ascii="Century Gothic" w:hAnsi="Century Gothic"/>
          <w:b/>
          <w:color w:val="0000FF"/>
        </w:rPr>
      </w:pPr>
      <w:r w:rsidRPr="002441BD">
        <w:rPr>
          <w:rFonts w:ascii="Century Gothic" w:hAnsi="Century Gothic"/>
          <w:b/>
          <w:color w:val="0000FF"/>
        </w:rPr>
        <w:t>Zmiany struktury własności pakietów w</w:t>
      </w:r>
      <w:r>
        <w:rPr>
          <w:rFonts w:ascii="Century Gothic" w:hAnsi="Century Gothic"/>
          <w:b/>
          <w:color w:val="0000FF"/>
        </w:rPr>
        <w:t xml:space="preserve"> okresie sprawozdawczym</w:t>
      </w:r>
    </w:p>
    <w:p w:rsidR="00E53D76" w:rsidRPr="00052F16" w:rsidRDefault="00E53D76" w:rsidP="00E53D76">
      <w:pPr>
        <w:pStyle w:val="Akapitzlist"/>
        <w:ind w:left="600"/>
        <w:jc w:val="both"/>
        <w:rPr>
          <w:rFonts w:ascii="Century Gothic" w:hAnsi="Century Gothic" w:cs="Tahoma"/>
          <w:highlight w:val="yellow"/>
        </w:rPr>
      </w:pPr>
    </w:p>
    <w:p w:rsidR="00CD7E51" w:rsidRPr="008E6D17" w:rsidRDefault="00CD7E51" w:rsidP="00CD7E51">
      <w:pPr>
        <w:ind w:left="436"/>
        <w:jc w:val="both"/>
        <w:rPr>
          <w:rFonts w:ascii="Century Gothic" w:hAnsi="Century Gothic" w:cs="Tahoma"/>
        </w:rPr>
      </w:pPr>
      <w:r w:rsidRPr="008E6D17">
        <w:rPr>
          <w:rFonts w:ascii="Century Gothic" w:hAnsi="Century Gothic" w:cs="Tahoma"/>
        </w:rPr>
        <w:t xml:space="preserve">W dniu 14 lutego 2014 r. </w:t>
      </w:r>
      <w:proofErr w:type="spellStart"/>
      <w:r w:rsidRPr="008E6D17">
        <w:rPr>
          <w:rFonts w:ascii="Century Gothic" w:hAnsi="Century Gothic" w:cs="Tahoma"/>
        </w:rPr>
        <w:t>Skystone</w:t>
      </w:r>
      <w:proofErr w:type="spellEnd"/>
      <w:r w:rsidRPr="008E6D17">
        <w:rPr>
          <w:rFonts w:ascii="Century Gothic" w:hAnsi="Century Gothic" w:cs="Tahoma"/>
        </w:rPr>
        <w:t xml:space="preserve"> Capital S.A. otrzymała zawiadomienie od BB Investment S.A. informujące o tym, że w rezultacie transakcji sprzedaży dokonanych w dniach 12, 13 i 14 lutego 2014 r. na rynku regulowanym oraz poza rynkiem regulowanym za pośrednictwem firmy inwestycyjnej zmienił się stan posiadania BB Investment S.A. w ogólnej liczbie głosów w spółce </w:t>
      </w:r>
      <w:proofErr w:type="spellStart"/>
      <w:r w:rsidRPr="008E6D17">
        <w:rPr>
          <w:rFonts w:ascii="Century Gothic" w:hAnsi="Century Gothic" w:cs="Tahoma"/>
        </w:rPr>
        <w:t>Skystone</w:t>
      </w:r>
      <w:proofErr w:type="spellEnd"/>
      <w:r w:rsidRPr="008E6D17">
        <w:rPr>
          <w:rFonts w:ascii="Century Gothic" w:hAnsi="Century Gothic" w:cs="Tahoma"/>
        </w:rPr>
        <w:t xml:space="preserve"> Capital S.A.</w:t>
      </w:r>
    </w:p>
    <w:p w:rsidR="00CD7E51" w:rsidRPr="008E6D17" w:rsidRDefault="00CD7E51" w:rsidP="00CD7E51">
      <w:pPr>
        <w:ind w:left="436"/>
        <w:jc w:val="both"/>
        <w:rPr>
          <w:rFonts w:ascii="Century Gothic" w:hAnsi="Century Gothic" w:cs="Tahoma"/>
        </w:rPr>
      </w:pPr>
      <w:r w:rsidRPr="008E6D17">
        <w:rPr>
          <w:rFonts w:ascii="Century Gothic" w:hAnsi="Century Gothic" w:cs="Tahoma"/>
        </w:rPr>
        <w:t xml:space="preserve">Przed dokonaniem transakcji sprzedaży z dnia 12 lutego 2014 r. BB Investment S.A. posiadała 22.201.590 sztuk akcji Emitenta, dających tyle samo głosów na walnym zgromadzeniu Emitenta i stanowiących 15,12% udziału w kapitale i głosach na walnym zgromadzeniu. Po rozliczeniu tej transakcji BB Investment S.A. posiadała 20.200.000 sztuk akcji Emitenta, dających tyle samo głosów i stanowiących 13,76% udziału w kapitale i głosach na walnym zgromadzeniu Emitenta. </w:t>
      </w:r>
    </w:p>
    <w:p w:rsidR="00CD7E51" w:rsidRPr="008E6D17" w:rsidRDefault="00CD7E51" w:rsidP="00CD7E51">
      <w:pPr>
        <w:ind w:left="436"/>
        <w:jc w:val="both"/>
        <w:rPr>
          <w:rFonts w:ascii="Century Gothic" w:hAnsi="Century Gothic" w:cs="Tahoma"/>
        </w:rPr>
      </w:pPr>
      <w:r w:rsidRPr="008E6D17">
        <w:rPr>
          <w:rFonts w:ascii="Century Gothic" w:hAnsi="Century Gothic" w:cs="Tahoma"/>
        </w:rPr>
        <w:t xml:space="preserve">Następnie po rozliczeniu transakcji sprzedaży z dnia 13 lutego 2014 r. BB Investment S.A. posiadała 500.000 sztuk akcji Emitenta, reprezentujących tyle samo głosów na walnym zgromadzeniu Emitenta i stanowiących 0,34% udziału w kapitale i głosach na walnym zgromadzeniu. </w:t>
      </w:r>
    </w:p>
    <w:p w:rsidR="00CD7E51" w:rsidRPr="008E6D17" w:rsidRDefault="00CD7E51" w:rsidP="00CD7E51">
      <w:pPr>
        <w:ind w:left="436"/>
        <w:jc w:val="both"/>
        <w:rPr>
          <w:rFonts w:ascii="Century Gothic" w:hAnsi="Century Gothic" w:cs="Tahoma"/>
        </w:rPr>
      </w:pPr>
      <w:r w:rsidRPr="008E6D17">
        <w:rPr>
          <w:rFonts w:ascii="Century Gothic" w:hAnsi="Century Gothic" w:cs="Tahoma"/>
        </w:rPr>
        <w:t>Wskutek transakcji sprzedaży rozliczonej w dniu 14 lutego 2014 r. BB Investment S.A. nie posiada obecnie żadnych akcji Emitenta.</w:t>
      </w:r>
    </w:p>
    <w:p w:rsidR="00CD7E51" w:rsidRDefault="00CD7E51" w:rsidP="00CD7E51">
      <w:pPr>
        <w:ind w:left="436"/>
        <w:jc w:val="both"/>
        <w:rPr>
          <w:rFonts w:ascii="Century Gothic" w:hAnsi="Century Gothic" w:cs="Tahoma"/>
        </w:rPr>
      </w:pPr>
    </w:p>
    <w:p w:rsidR="001A5965" w:rsidRPr="008E6D17" w:rsidRDefault="001A5965" w:rsidP="00CD7E51">
      <w:pPr>
        <w:ind w:left="436"/>
        <w:jc w:val="both"/>
        <w:rPr>
          <w:rFonts w:ascii="Century Gothic" w:hAnsi="Century Gothic" w:cs="Tahoma"/>
        </w:rPr>
      </w:pPr>
    </w:p>
    <w:p w:rsidR="00E53D76" w:rsidRPr="002441BD" w:rsidRDefault="00E53D76" w:rsidP="00E53D76">
      <w:pPr>
        <w:ind w:left="426"/>
        <w:rPr>
          <w:rFonts w:ascii="Century Gothic" w:hAnsi="Century Gothic"/>
          <w:b/>
          <w:color w:val="0000FF"/>
        </w:rPr>
      </w:pPr>
      <w:r w:rsidRPr="002441BD">
        <w:rPr>
          <w:rFonts w:ascii="Century Gothic" w:hAnsi="Century Gothic"/>
          <w:b/>
          <w:color w:val="0000FF"/>
        </w:rPr>
        <w:t>Zmiany struktury własności pakietów po dniu bilansowym</w:t>
      </w:r>
    </w:p>
    <w:p w:rsidR="00E53D76" w:rsidRDefault="00E53D76" w:rsidP="00E53D76">
      <w:pPr>
        <w:autoSpaceDE w:val="0"/>
        <w:autoSpaceDN w:val="0"/>
        <w:adjustRightInd w:val="0"/>
        <w:ind w:left="426"/>
        <w:jc w:val="both"/>
        <w:rPr>
          <w:rFonts w:ascii="Century Gothic" w:hAnsi="Century Gothic" w:cs="Tahoma"/>
        </w:rPr>
      </w:pPr>
    </w:p>
    <w:p w:rsidR="00E53D76" w:rsidRDefault="00E53D76" w:rsidP="00E53D76">
      <w:pPr>
        <w:autoSpaceDE w:val="0"/>
        <w:autoSpaceDN w:val="0"/>
        <w:adjustRightInd w:val="0"/>
        <w:ind w:left="426"/>
        <w:jc w:val="both"/>
        <w:rPr>
          <w:rFonts w:ascii="Century Gothic" w:hAnsi="Century Gothic" w:cs="Tahoma"/>
        </w:rPr>
      </w:pPr>
    </w:p>
    <w:p w:rsidR="00E53D76" w:rsidRDefault="00E53D76" w:rsidP="00E53D76">
      <w:pPr>
        <w:ind w:left="436"/>
        <w:rPr>
          <w:rFonts w:ascii="Century Gothic" w:hAnsi="Century Gothic"/>
          <w:b/>
          <w:color w:val="0000FF"/>
        </w:rPr>
      </w:pPr>
      <w:r w:rsidRPr="00303BCB">
        <w:rPr>
          <w:rFonts w:ascii="Century Gothic" w:hAnsi="Century Gothic"/>
          <w:b/>
          <w:color w:val="0000FF"/>
        </w:rPr>
        <w:t>Zestawienie stanu posiadania akcji emitenta lub uprawnień do nich będących w posiadaniu osób zarządzających i nadzorujących emitenta</w:t>
      </w:r>
    </w:p>
    <w:p w:rsidR="00E53D76" w:rsidRDefault="00E53D76" w:rsidP="00E53D76">
      <w:pPr>
        <w:ind w:left="436"/>
        <w:rPr>
          <w:rFonts w:ascii="Century Gothic" w:hAnsi="Century Gothic"/>
          <w:b/>
          <w:color w:val="0000FF"/>
        </w:rPr>
      </w:pPr>
    </w:p>
    <w:p w:rsidR="001A5965" w:rsidRPr="001A5965" w:rsidRDefault="001A5965" w:rsidP="001A5965">
      <w:pPr>
        <w:ind w:left="426"/>
        <w:jc w:val="both"/>
        <w:rPr>
          <w:rFonts w:ascii="Century Gothic" w:hAnsi="Century Gothic"/>
        </w:rPr>
      </w:pPr>
      <w:bookmarkStart w:id="69" w:name="_Toc334180285"/>
      <w:bookmarkEnd w:id="67"/>
      <w:bookmarkEnd w:id="68"/>
      <w:r w:rsidRPr="001A5965">
        <w:rPr>
          <w:rFonts w:ascii="Century Gothic" w:hAnsi="Century Gothic"/>
        </w:rPr>
        <w:t xml:space="preserve">Zgodnie z informacjami posiadanymi przez Spółkę na dzień 31 marca 2014 r. ilość akcji Emitenta będących w posiadaniu osób zarządzających i nadzorujących Emitenta przedstawiała się następująco: </w:t>
      </w:r>
    </w:p>
    <w:p w:rsidR="001A5965" w:rsidRPr="001A5965" w:rsidRDefault="001A5965" w:rsidP="001A5965">
      <w:pPr>
        <w:ind w:left="426"/>
        <w:jc w:val="both"/>
        <w:rPr>
          <w:rFonts w:ascii="Century Gothic" w:hAnsi="Century Gothic"/>
        </w:rPr>
      </w:pPr>
    </w:p>
    <w:tbl>
      <w:tblPr>
        <w:tblW w:w="8670" w:type="dxa"/>
        <w:tblInd w:w="456" w:type="dxa"/>
        <w:tblCellMar>
          <w:left w:w="0" w:type="dxa"/>
          <w:right w:w="0" w:type="dxa"/>
        </w:tblCellMar>
        <w:tblLook w:val="04A0" w:firstRow="1" w:lastRow="0" w:firstColumn="1" w:lastColumn="0" w:noHBand="0" w:noVBand="1"/>
      </w:tblPr>
      <w:tblGrid>
        <w:gridCol w:w="3540"/>
        <w:gridCol w:w="2975"/>
        <w:gridCol w:w="2155"/>
      </w:tblGrid>
      <w:tr w:rsidR="001A5965" w:rsidRPr="001A5965" w:rsidTr="001A5965">
        <w:trPr>
          <w:trHeight w:val="247"/>
        </w:trPr>
        <w:tc>
          <w:tcPr>
            <w:tcW w:w="354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tcPr>
          <w:p w:rsidR="001A5965" w:rsidRPr="001A5965" w:rsidRDefault="001A5965" w:rsidP="001A5965">
            <w:pPr>
              <w:pStyle w:val="Nagwek4"/>
              <w:spacing w:line="276" w:lineRule="auto"/>
              <w:ind w:left="426"/>
              <w:jc w:val="center"/>
              <w:rPr>
                <w:rFonts w:ascii="Century Gothic" w:hAnsi="Century Gothic"/>
                <w:sz w:val="20"/>
              </w:rPr>
            </w:pPr>
          </w:p>
        </w:tc>
        <w:tc>
          <w:tcPr>
            <w:tcW w:w="2975"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1A5965" w:rsidRPr="001A5965" w:rsidRDefault="001A5965" w:rsidP="001A5965">
            <w:pPr>
              <w:pStyle w:val="Nagwek7"/>
              <w:spacing w:line="276" w:lineRule="auto"/>
              <w:ind w:left="426"/>
              <w:rPr>
                <w:rFonts w:ascii="Century Gothic" w:hAnsi="Century Gothic"/>
                <w:bCs/>
                <w:sz w:val="20"/>
              </w:rPr>
            </w:pPr>
            <w:r w:rsidRPr="001A5965">
              <w:rPr>
                <w:rFonts w:ascii="Century Gothic" w:hAnsi="Century Gothic"/>
                <w:b w:val="0"/>
                <w:bCs/>
                <w:sz w:val="20"/>
              </w:rPr>
              <w:t>Liczba posiadanych akcji i liczba głosów na WZA</w:t>
            </w:r>
          </w:p>
        </w:tc>
        <w:tc>
          <w:tcPr>
            <w:tcW w:w="2155"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1A5965" w:rsidRPr="001A5965" w:rsidRDefault="001A5965" w:rsidP="001A5965">
            <w:pPr>
              <w:pStyle w:val="Nagwek7"/>
              <w:spacing w:line="276" w:lineRule="auto"/>
              <w:ind w:left="426"/>
              <w:rPr>
                <w:rFonts w:ascii="Century Gothic" w:hAnsi="Century Gothic"/>
                <w:bCs/>
                <w:sz w:val="20"/>
              </w:rPr>
            </w:pPr>
            <w:r w:rsidRPr="001A5965">
              <w:rPr>
                <w:rFonts w:ascii="Century Gothic" w:hAnsi="Century Gothic"/>
                <w:b w:val="0"/>
                <w:bCs/>
                <w:sz w:val="20"/>
              </w:rPr>
              <w:t>% udział w kapitale zakładowym</w:t>
            </w:r>
          </w:p>
        </w:tc>
      </w:tr>
      <w:tr w:rsidR="001A5965" w:rsidRPr="001A5965" w:rsidTr="001A5965">
        <w:trPr>
          <w:trHeight w:hRule="exact" w:val="567"/>
        </w:trPr>
        <w:tc>
          <w:tcPr>
            <w:tcW w:w="354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rPr>
                <w:rFonts w:ascii="Century Gothic" w:hAnsi="Century Gothic"/>
                <w:lang w:val="en-US" w:eastAsia="en-US"/>
              </w:rPr>
            </w:pPr>
            <w:r w:rsidRPr="001A5965">
              <w:rPr>
                <w:rFonts w:ascii="Century Gothic" w:hAnsi="Century Gothic"/>
                <w:lang w:val="en-US"/>
              </w:rPr>
              <w:t xml:space="preserve">Piotr </w:t>
            </w:r>
            <w:proofErr w:type="spellStart"/>
            <w:r w:rsidRPr="001A5965">
              <w:rPr>
                <w:rFonts w:ascii="Century Gothic" w:hAnsi="Century Gothic"/>
                <w:lang w:val="en-US"/>
              </w:rPr>
              <w:t>Kardach</w:t>
            </w:r>
            <w:proofErr w:type="spellEnd"/>
            <w:r w:rsidRPr="001A5965">
              <w:rPr>
                <w:rFonts w:ascii="Century Gothic" w:hAnsi="Century Gothic"/>
                <w:lang w:val="en-US"/>
              </w:rPr>
              <w:t xml:space="preserve"> – </w:t>
            </w:r>
            <w:proofErr w:type="spellStart"/>
            <w:r w:rsidRPr="001A5965">
              <w:rPr>
                <w:rFonts w:ascii="Century Gothic" w:hAnsi="Century Gothic"/>
                <w:lang w:val="en-US"/>
              </w:rPr>
              <w:t>Prezes</w:t>
            </w:r>
            <w:proofErr w:type="spellEnd"/>
            <w:r w:rsidRPr="001A5965">
              <w:rPr>
                <w:rFonts w:ascii="Century Gothic" w:hAnsi="Century Gothic"/>
                <w:lang w:val="en-US"/>
              </w:rPr>
              <w:t xml:space="preserve"> </w:t>
            </w:r>
            <w:proofErr w:type="spellStart"/>
            <w:r w:rsidRPr="001A5965">
              <w:rPr>
                <w:rFonts w:ascii="Century Gothic" w:hAnsi="Century Gothic"/>
                <w:lang w:val="en-US"/>
              </w:rPr>
              <w:t>Zarządu</w:t>
            </w:r>
            <w:proofErr w:type="spellEnd"/>
          </w:p>
        </w:tc>
        <w:tc>
          <w:tcPr>
            <w:tcW w:w="2975"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jc w:val="center"/>
              <w:rPr>
                <w:rFonts w:ascii="Century Gothic" w:hAnsi="Century Gothic"/>
                <w:lang w:eastAsia="en-US"/>
              </w:rPr>
            </w:pPr>
            <w:r w:rsidRPr="001A5965">
              <w:rPr>
                <w:rFonts w:ascii="Century Gothic" w:hAnsi="Century Gothic"/>
              </w:rPr>
              <w:t>410.000</w:t>
            </w:r>
          </w:p>
        </w:tc>
        <w:tc>
          <w:tcPr>
            <w:tcW w:w="2155"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jc w:val="center"/>
              <w:rPr>
                <w:rFonts w:ascii="Century Gothic" w:hAnsi="Century Gothic"/>
                <w:lang w:eastAsia="en-US"/>
              </w:rPr>
            </w:pPr>
            <w:r w:rsidRPr="001A5965">
              <w:rPr>
                <w:rFonts w:ascii="Century Gothic" w:hAnsi="Century Gothic"/>
              </w:rPr>
              <w:t>0,28%</w:t>
            </w:r>
          </w:p>
        </w:tc>
      </w:tr>
      <w:tr w:rsidR="001A5965" w:rsidRPr="001A5965" w:rsidTr="001A5965">
        <w:trPr>
          <w:trHeight w:hRule="exact" w:val="567"/>
        </w:trPr>
        <w:tc>
          <w:tcPr>
            <w:tcW w:w="354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rPr>
                <w:rFonts w:ascii="Century Gothic" w:hAnsi="Century Gothic"/>
              </w:rPr>
            </w:pPr>
            <w:r w:rsidRPr="001A5965">
              <w:rPr>
                <w:rFonts w:ascii="Century Gothic" w:hAnsi="Century Gothic"/>
              </w:rPr>
              <w:t>Mariusz Obszański - członek Rady Nadzorczej od 19.02.2014 r.</w:t>
            </w:r>
          </w:p>
        </w:tc>
        <w:tc>
          <w:tcPr>
            <w:tcW w:w="2975"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jc w:val="center"/>
              <w:rPr>
                <w:rFonts w:ascii="Century Gothic" w:hAnsi="Century Gothic"/>
                <w:lang w:eastAsia="en-US"/>
              </w:rPr>
            </w:pPr>
            <w:r w:rsidRPr="001A5965">
              <w:rPr>
                <w:rFonts w:ascii="Century Gothic" w:hAnsi="Century Gothic"/>
              </w:rPr>
              <w:t>3.273.877</w:t>
            </w:r>
          </w:p>
        </w:tc>
        <w:tc>
          <w:tcPr>
            <w:tcW w:w="2155"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jc w:val="center"/>
              <w:rPr>
                <w:rFonts w:ascii="Century Gothic" w:hAnsi="Century Gothic"/>
                <w:lang w:eastAsia="en-US"/>
              </w:rPr>
            </w:pPr>
            <w:r w:rsidRPr="001A5965">
              <w:rPr>
                <w:rFonts w:ascii="Century Gothic" w:hAnsi="Century Gothic"/>
              </w:rPr>
              <w:t>2,23%</w:t>
            </w:r>
          </w:p>
        </w:tc>
      </w:tr>
    </w:tbl>
    <w:p w:rsidR="001A5965" w:rsidRPr="001A5965" w:rsidRDefault="001A5965" w:rsidP="001A5965">
      <w:pPr>
        <w:ind w:left="426"/>
        <w:jc w:val="both"/>
        <w:rPr>
          <w:rFonts w:ascii="Century Gothic" w:hAnsi="Century Gothic"/>
          <w:lang w:eastAsia="en-US"/>
        </w:rPr>
      </w:pPr>
    </w:p>
    <w:p w:rsidR="001A5965" w:rsidRPr="001A5965" w:rsidRDefault="001A5965" w:rsidP="001A5965">
      <w:pPr>
        <w:ind w:left="426"/>
        <w:rPr>
          <w:rFonts w:ascii="Century Gothic" w:hAnsi="Century Gothic"/>
          <w:b/>
          <w:color w:val="0000FF"/>
        </w:rPr>
      </w:pPr>
    </w:p>
    <w:p w:rsidR="001A5965" w:rsidRPr="001A5965" w:rsidRDefault="001A5965" w:rsidP="001A5965">
      <w:pPr>
        <w:ind w:left="426"/>
        <w:rPr>
          <w:rFonts w:ascii="Century Gothic" w:hAnsi="Century Gothic"/>
          <w:b/>
          <w:color w:val="0000FF"/>
        </w:rPr>
      </w:pPr>
      <w:r w:rsidRPr="001A5965">
        <w:rPr>
          <w:rFonts w:ascii="Century Gothic" w:hAnsi="Century Gothic"/>
          <w:b/>
          <w:color w:val="0000FF"/>
        </w:rPr>
        <w:t>Zmiany w omawianym okresie oraz po dniu bilansowym:</w:t>
      </w:r>
    </w:p>
    <w:p w:rsidR="001A5965" w:rsidRPr="001A5965" w:rsidRDefault="001A5965" w:rsidP="001A5965">
      <w:pPr>
        <w:ind w:left="426"/>
        <w:jc w:val="both"/>
        <w:rPr>
          <w:rFonts w:ascii="Century Gothic" w:hAnsi="Century Gothic"/>
        </w:rPr>
      </w:pPr>
    </w:p>
    <w:p w:rsidR="001A5965" w:rsidRPr="001A5965" w:rsidRDefault="001A5965" w:rsidP="001A5965">
      <w:pPr>
        <w:ind w:left="426"/>
        <w:jc w:val="both"/>
        <w:rPr>
          <w:rFonts w:ascii="Century Gothic" w:hAnsi="Century Gothic"/>
        </w:rPr>
      </w:pPr>
      <w:bookmarkStart w:id="70" w:name="_Toc334180284"/>
      <w:bookmarkEnd w:id="70"/>
      <w:r w:rsidRPr="001A5965">
        <w:rPr>
          <w:rFonts w:ascii="Century Gothic" w:hAnsi="Century Gothic"/>
        </w:rPr>
        <w:t xml:space="preserve">Zgodnie z oświadczeniem złożonym w dniu 19 lutego 2014 r. przez powołanego w tym dniu w skład Rady Nadzorczej Pana Mariusza Obszańskiego, liczba posiadanych przez niego akcji </w:t>
      </w:r>
      <w:proofErr w:type="spellStart"/>
      <w:r w:rsidRPr="001A5965">
        <w:rPr>
          <w:rFonts w:ascii="Century Gothic" w:hAnsi="Century Gothic"/>
        </w:rPr>
        <w:t>Skystone</w:t>
      </w:r>
      <w:proofErr w:type="spellEnd"/>
      <w:r w:rsidRPr="001A5965">
        <w:rPr>
          <w:rFonts w:ascii="Century Gothic" w:hAnsi="Century Gothic"/>
        </w:rPr>
        <w:t xml:space="preserve"> Capital S.A. wynosi: </w:t>
      </w:r>
    </w:p>
    <w:p w:rsidR="001A5965" w:rsidRPr="001A5965" w:rsidRDefault="001A5965" w:rsidP="001A5965">
      <w:pPr>
        <w:ind w:left="426"/>
        <w:jc w:val="both"/>
        <w:rPr>
          <w:rFonts w:ascii="Century Gothic" w:hAnsi="Century Gothic"/>
        </w:rPr>
      </w:pPr>
    </w:p>
    <w:tbl>
      <w:tblPr>
        <w:tblW w:w="8670" w:type="dxa"/>
        <w:tblInd w:w="456" w:type="dxa"/>
        <w:tblCellMar>
          <w:left w:w="0" w:type="dxa"/>
          <w:right w:w="0" w:type="dxa"/>
        </w:tblCellMar>
        <w:tblLook w:val="04A0" w:firstRow="1" w:lastRow="0" w:firstColumn="1" w:lastColumn="0" w:noHBand="0" w:noVBand="1"/>
      </w:tblPr>
      <w:tblGrid>
        <w:gridCol w:w="3540"/>
        <w:gridCol w:w="2975"/>
        <w:gridCol w:w="2155"/>
      </w:tblGrid>
      <w:tr w:rsidR="001A5965" w:rsidTr="001A5965">
        <w:trPr>
          <w:trHeight w:val="247"/>
        </w:trPr>
        <w:tc>
          <w:tcPr>
            <w:tcW w:w="354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tcPr>
          <w:p w:rsidR="001A5965" w:rsidRDefault="001A5965" w:rsidP="001A5965">
            <w:pPr>
              <w:pStyle w:val="Nagwek4"/>
              <w:spacing w:line="276" w:lineRule="auto"/>
              <w:ind w:left="426"/>
              <w:jc w:val="center"/>
              <w:rPr>
                <w:rFonts w:ascii="Century Gothic" w:hAnsi="Century Gothic"/>
                <w:color w:val="auto"/>
                <w:sz w:val="20"/>
              </w:rPr>
            </w:pPr>
          </w:p>
        </w:tc>
        <w:tc>
          <w:tcPr>
            <w:tcW w:w="2975"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1A5965" w:rsidRDefault="001A5965" w:rsidP="001A5965">
            <w:pPr>
              <w:pStyle w:val="Nagwek7"/>
              <w:spacing w:line="276" w:lineRule="auto"/>
              <w:ind w:left="426"/>
              <w:rPr>
                <w:rFonts w:ascii="Century Gothic" w:hAnsi="Century Gothic"/>
                <w:bCs/>
                <w:color w:val="auto"/>
                <w:sz w:val="20"/>
              </w:rPr>
            </w:pPr>
            <w:r>
              <w:rPr>
                <w:rFonts w:ascii="Century Gothic" w:hAnsi="Century Gothic"/>
                <w:b w:val="0"/>
                <w:bCs/>
                <w:color w:val="auto"/>
                <w:sz w:val="20"/>
              </w:rPr>
              <w:t>Liczba posiadanych akcji i liczba głosów na WZA</w:t>
            </w:r>
          </w:p>
        </w:tc>
        <w:tc>
          <w:tcPr>
            <w:tcW w:w="2155"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1A5965" w:rsidRDefault="001A5965" w:rsidP="001A5965">
            <w:pPr>
              <w:pStyle w:val="Nagwek7"/>
              <w:spacing w:line="276" w:lineRule="auto"/>
              <w:ind w:left="426"/>
              <w:rPr>
                <w:rFonts w:ascii="Century Gothic" w:hAnsi="Century Gothic"/>
                <w:bCs/>
                <w:color w:val="auto"/>
                <w:sz w:val="20"/>
              </w:rPr>
            </w:pPr>
            <w:r>
              <w:rPr>
                <w:rFonts w:ascii="Century Gothic" w:hAnsi="Century Gothic"/>
                <w:b w:val="0"/>
                <w:bCs/>
                <w:color w:val="auto"/>
                <w:sz w:val="20"/>
              </w:rPr>
              <w:t>% udział w kapitale zakładowym</w:t>
            </w:r>
          </w:p>
        </w:tc>
      </w:tr>
      <w:tr w:rsidR="001A5965" w:rsidTr="001A5965">
        <w:trPr>
          <w:trHeight w:hRule="exact" w:val="567"/>
        </w:trPr>
        <w:tc>
          <w:tcPr>
            <w:tcW w:w="354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rPr>
                <w:rFonts w:ascii="Century Gothic" w:hAnsi="Century Gothic"/>
                <w:lang w:eastAsia="en-US"/>
              </w:rPr>
            </w:pPr>
            <w:r w:rsidRPr="001A5965">
              <w:rPr>
                <w:rFonts w:ascii="Century Gothic" w:hAnsi="Century Gothic"/>
              </w:rPr>
              <w:t>Mariusz Obszański - członek Rady Nadzorczej od 19.02.2014 r.</w:t>
            </w:r>
          </w:p>
        </w:tc>
        <w:tc>
          <w:tcPr>
            <w:tcW w:w="2975"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jc w:val="center"/>
              <w:rPr>
                <w:rFonts w:ascii="Century Gothic" w:hAnsi="Century Gothic"/>
                <w:lang w:eastAsia="en-US"/>
              </w:rPr>
            </w:pPr>
            <w:r w:rsidRPr="001A5965">
              <w:rPr>
                <w:rFonts w:ascii="Century Gothic" w:hAnsi="Century Gothic"/>
              </w:rPr>
              <w:t>3.273.877</w:t>
            </w:r>
          </w:p>
        </w:tc>
        <w:tc>
          <w:tcPr>
            <w:tcW w:w="2155"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1A5965" w:rsidRPr="001A5965" w:rsidRDefault="001A5965" w:rsidP="001A5965">
            <w:pPr>
              <w:spacing w:line="276" w:lineRule="auto"/>
              <w:ind w:left="426"/>
              <w:jc w:val="center"/>
              <w:rPr>
                <w:rFonts w:ascii="Century Gothic" w:hAnsi="Century Gothic"/>
                <w:lang w:eastAsia="en-US"/>
              </w:rPr>
            </w:pPr>
            <w:r w:rsidRPr="001A5965">
              <w:rPr>
                <w:rFonts w:ascii="Century Gothic" w:hAnsi="Century Gothic"/>
              </w:rPr>
              <w:t>2,23%</w:t>
            </w:r>
          </w:p>
        </w:tc>
      </w:tr>
    </w:tbl>
    <w:p w:rsidR="001A5965" w:rsidRPr="001A5965" w:rsidRDefault="001A5965" w:rsidP="001A5965">
      <w:pPr>
        <w:ind w:left="426"/>
        <w:jc w:val="both"/>
        <w:rPr>
          <w:rFonts w:ascii="Century Gothic" w:hAnsi="Century Gothic"/>
        </w:rPr>
      </w:pPr>
    </w:p>
    <w:p w:rsidR="00E53D76" w:rsidRPr="005B7A52" w:rsidRDefault="00E53D76" w:rsidP="00E53D76">
      <w:pPr>
        <w:pStyle w:val="Nagwek2"/>
        <w:numPr>
          <w:ilvl w:val="1"/>
          <w:numId w:val="11"/>
        </w:numPr>
        <w:tabs>
          <w:tab w:val="clear" w:pos="1440"/>
          <w:tab w:val="num" w:pos="851"/>
        </w:tabs>
        <w:ind w:hanging="1014"/>
        <w:jc w:val="both"/>
        <w:rPr>
          <w:rFonts w:ascii="Century Gothic" w:hAnsi="Century Gothic"/>
          <w:i w:val="0"/>
          <w:color w:val="0000FF"/>
          <w:sz w:val="20"/>
        </w:rPr>
      </w:pPr>
      <w:bookmarkStart w:id="71" w:name="_Toc387945913"/>
      <w:r>
        <w:rPr>
          <w:rFonts w:ascii="Century Gothic" w:hAnsi="Century Gothic"/>
          <w:i w:val="0"/>
          <w:color w:val="0000FF"/>
          <w:sz w:val="20"/>
        </w:rPr>
        <w:t>Organizacja Grupy Kapitałowej</w:t>
      </w:r>
      <w:bookmarkEnd w:id="69"/>
      <w:bookmarkEnd w:id="71"/>
    </w:p>
    <w:p w:rsidR="00E53D76" w:rsidRPr="005B7A52" w:rsidRDefault="00E53D76" w:rsidP="00E53D76"/>
    <w:p w:rsidR="00E53D76" w:rsidRPr="0019063A" w:rsidRDefault="00A82AC3" w:rsidP="00E53D76">
      <w:pPr>
        <w:ind w:left="426"/>
        <w:jc w:val="both"/>
        <w:rPr>
          <w:rFonts w:ascii="Century Gothic" w:hAnsi="Century Gothic" w:cs="Tahoma"/>
        </w:rPr>
      </w:pPr>
      <w:r>
        <w:rPr>
          <w:rFonts w:ascii="Century Gothic" w:hAnsi="Century Gothic" w:cs="Tahoma"/>
        </w:rPr>
        <w:t>Grupę Kapitałową tworzą</w:t>
      </w:r>
      <w:r w:rsidR="00E53D76" w:rsidRPr="0019063A">
        <w:rPr>
          <w:rFonts w:ascii="Century Gothic" w:hAnsi="Century Gothic" w:cs="Tahoma"/>
        </w:rPr>
        <w:t xml:space="preserve"> </w:t>
      </w:r>
      <w:proofErr w:type="spellStart"/>
      <w:r w:rsidR="00E53D76">
        <w:rPr>
          <w:rFonts w:ascii="Century Gothic" w:hAnsi="Century Gothic" w:cs="Tahoma"/>
        </w:rPr>
        <w:t>Skystone</w:t>
      </w:r>
      <w:proofErr w:type="spellEnd"/>
      <w:r w:rsidR="00E53D76">
        <w:rPr>
          <w:rFonts w:ascii="Century Gothic" w:hAnsi="Century Gothic" w:cs="Tahoma"/>
        </w:rPr>
        <w:t xml:space="preserve"> Capital</w:t>
      </w:r>
      <w:r w:rsidR="00E53D76" w:rsidRPr="0019063A">
        <w:rPr>
          <w:rFonts w:ascii="Century Gothic" w:hAnsi="Century Gothic" w:cs="Tahoma"/>
        </w:rPr>
        <w:t xml:space="preserve"> S.A. jako Jednostka Dominująca oraz </w:t>
      </w:r>
    </w:p>
    <w:p w:rsidR="00E53D76" w:rsidRPr="0019063A" w:rsidRDefault="00E53D76" w:rsidP="00847AD5">
      <w:pPr>
        <w:numPr>
          <w:ilvl w:val="0"/>
          <w:numId w:val="54"/>
        </w:numPr>
        <w:jc w:val="both"/>
        <w:rPr>
          <w:rFonts w:ascii="Century Gothic" w:hAnsi="Century Gothic" w:cs="Tahoma"/>
        </w:rPr>
      </w:pPr>
      <w:proofErr w:type="spellStart"/>
      <w:r w:rsidRPr="0019063A">
        <w:rPr>
          <w:rFonts w:ascii="Century Gothic" w:hAnsi="Century Gothic" w:cs="Tahoma"/>
        </w:rPr>
        <w:t>Ozen</w:t>
      </w:r>
      <w:proofErr w:type="spellEnd"/>
      <w:r w:rsidRPr="0019063A">
        <w:rPr>
          <w:rFonts w:ascii="Century Gothic" w:hAnsi="Century Gothic" w:cs="Tahoma"/>
        </w:rPr>
        <w:t xml:space="preserve"> Plus Sp. z o.o., </w:t>
      </w:r>
    </w:p>
    <w:p w:rsidR="00E53D76" w:rsidRPr="0019063A" w:rsidRDefault="00E53D76" w:rsidP="00847AD5">
      <w:pPr>
        <w:numPr>
          <w:ilvl w:val="0"/>
          <w:numId w:val="54"/>
        </w:numPr>
        <w:jc w:val="both"/>
        <w:rPr>
          <w:rFonts w:ascii="Century Gothic" w:hAnsi="Century Gothic" w:cs="Tahoma"/>
        </w:rPr>
      </w:pPr>
      <w:r w:rsidRPr="0019063A">
        <w:rPr>
          <w:rFonts w:ascii="Century Gothic" w:hAnsi="Century Gothic" w:cs="Tahoma"/>
        </w:rPr>
        <w:t xml:space="preserve">Elektrownie Wodne </w:t>
      </w:r>
      <w:smartTag w:uri="urn:schemas-microsoft-com:office:smarttags" w:element="PersonName">
        <w:smartTagPr>
          <w:attr w:name="ProductID" w:val="Zeneris PLUS"/>
        </w:smartTagPr>
        <w:r w:rsidRPr="0019063A">
          <w:rPr>
            <w:rFonts w:ascii="Century Gothic" w:hAnsi="Century Gothic" w:cs="Tahoma"/>
          </w:rPr>
          <w:t>ZENERIS Plus</w:t>
        </w:r>
      </w:smartTag>
      <w:r w:rsidRPr="0019063A">
        <w:rPr>
          <w:rFonts w:ascii="Century Gothic" w:hAnsi="Century Gothic" w:cs="Tahoma"/>
        </w:rPr>
        <w:t xml:space="preserve"> Sp. z o.o.</w:t>
      </w:r>
    </w:p>
    <w:p w:rsidR="00E53D76" w:rsidRPr="0019063A" w:rsidRDefault="00E53D76" w:rsidP="00847AD5">
      <w:pPr>
        <w:numPr>
          <w:ilvl w:val="0"/>
          <w:numId w:val="54"/>
        </w:numPr>
        <w:jc w:val="both"/>
        <w:rPr>
          <w:rFonts w:ascii="Century Gothic" w:hAnsi="Century Gothic" w:cs="Tahoma"/>
        </w:rPr>
      </w:pPr>
      <w:r w:rsidRPr="0019063A">
        <w:rPr>
          <w:rFonts w:ascii="Century Gothic" w:hAnsi="Century Gothic" w:cs="Tahoma"/>
        </w:rPr>
        <w:lastRenderedPageBreak/>
        <w:t>Zespół Elektrowni Wodnych ZENERIS Sp. z o.o.,</w:t>
      </w:r>
    </w:p>
    <w:p w:rsidR="00E53D76" w:rsidRPr="0019063A" w:rsidRDefault="00E53D76" w:rsidP="00847AD5">
      <w:pPr>
        <w:numPr>
          <w:ilvl w:val="0"/>
          <w:numId w:val="54"/>
        </w:numPr>
        <w:jc w:val="both"/>
        <w:rPr>
          <w:rFonts w:ascii="Century Gothic" w:hAnsi="Century Gothic" w:cs="Tahoma"/>
        </w:rPr>
      </w:pPr>
      <w:r w:rsidRPr="0019063A">
        <w:rPr>
          <w:rFonts w:ascii="Century Gothic" w:hAnsi="Century Gothic" w:cs="Tahoma"/>
        </w:rPr>
        <w:t>Biogaz ZENERIS Sp. z o.o.</w:t>
      </w:r>
      <w:r w:rsidR="00FE039F">
        <w:rPr>
          <w:rFonts w:ascii="Century Gothic" w:hAnsi="Century Gothic" w:cs="Tahoma"/>
        </w:rPr>
        <w:t>,</w:t>
      </w:r>
      <w:r w:rsidRPr="0019063A">
        <w:rPr>
          <w:rFonts w:ascii="Century Gothic" w:hAnsi="Century Gothic" w:cs="Tahoma"/>
        </w:rPr>
        <w:t xml:space="preserve"> </w:t>
      </w:r>
    </w:p>
    <w:p w:rsidR="00E53D76" w:rsidRDefault="00E53D76" w:rsidP="00847AD5">
      <w:pPr>
        <w:numPr>
          <w:ilvl w:val="0"/>
          <w:numId w:val="54"/>
        </w:numPr>
        <w:jc w:val="both"/>
        <w:rPr>
          <w:rFonts w:ascii="Century Gothic" w:hAnsi="Century Gothic" w:cs="Tahoma"/>
        </w:rPr>
      </w:pPr>
      <w:proofErr w:type="spellStart"/>
      <w:r>
        <w:rPr>
          <w:rFonts w:ascii="Century Gothic" w:hAnsi="Century Gothic" w:cs="Tahoma"/>
        </w:rPr>
        <w:t>Biogazownia</w:t>
      </w:r>
      <w:proofErr w:type="spellEnd"/>
      <w:r>
        <w:rPr>
          <w:rFonts w:ascii="Century Gothic" w:hAnsi="Century Gothic" w:cs="Tahoma"/>
        </w:rPr>
        <w:t xml:space="preserve"> Bielany sp. z o.o.</w:t>
      </w:r>
      <w:r w:rsidR="00FE039F">
        <w:rPr>
          <w:rFonts w:ascii="Century Gothic" w:hAnsi="Century Gothic" w:cs="Tahoma"/>
        </w:rPr>
        <w:t>,</w:t>
      </w:r>
      <w:r>
        <w:rPr>
          <w:rFonts w:ascii="Century Gothic" w:hAnsi="Century Gothic" w:cs="Tahoma"/>
        </w:rPr>
        <w:t xml:space="preserve"> </w:t>
      </w:r>
    </w:p>
    <w:p w:rsidR="00E53D76" w:rsidRDefault="00E53D76" w:rsidP="00847AD5">
      <w:pPr>
        <w:numPr>
          <w:ilvl w:val="0"/>
          <w:numId w:val="54"/>
        </w:numPr>
        <w:jc w:val="both"/>
        <w:rPr>
          <w:rFonts w:ascii="Century Gothic" w:hAnsi="Century Gothic" w:cs="Tahoma"/>
        </w:rPr>
      </w:pPr>
      <w:proofErr w:type="spellStart"/>
      <w:r>
        <w:rPr>
          <w:rFonts w:ascii="Century Gothic" w:hAnsi="Century Gothic" w:cs="Tahoma"/>
        </w:rPr>
        <w:t>Viatron</w:t>
      </w:r>
      <w:proofErr w:type="spellEnd"/>
      <w:r>
        <w:rPr>
          <w:rFonts w:ascii="Century Gothic" w:hAnsi="Century Gothic" w:cs="Tahoma"/>
        </w:rPr>
        <w:t xml:space="preserve"> S.A.</w:t>
      </w:r>
      <w:r w:rsidR="00FE039F">
        <w:rPr>
          <w:rFonts w:ascii="Century Gothic" w:hAnsi="Century Gothic" w:cs="Tahoma"/>
        </w:rPr>
        <w:t>,</w:t>
      </w:r>
    </w:p>
    <w:p w:rsidR="00E53D76" w:rsidRPr="0019063A" w:rsidRDefault="00E53D76" w:rsidP="00847AD5">
      <w:pPr>
        <w:numPr>
          <w:ilvl w:val="0"/>
          <w:numId w:val="54"/>
        </w:numPr>
        <w:jc w:val="both"/>
        <w:rPr>
          <w:rFonts w:ascii="Century Gothic" w:hAnsi="Century Gothic" w:cs="Tahoma"/>
        </w:rPr>
      </w:pPr>
      <w:r>
        <w:rPr>
          <w:rFonts w:ascii="Century Gothic" w:hAnsi="Century Gothic" w:cs="Tahoma"/>
        </w:rPr>
        <w:t>Biogaz ZENERIS TECH Sp. z o.o.</w:t>
      </w:r>
    </w:p>
    <w:p w:rsidR="00E53D76" w:rsidRDefault="00E53D76" w:rsidP="00847AD5">
      <w:pPr>
        <w:ind w:left="360"/>
        <w:jc w:val="both"/>
        <w:rPr>
          <w:rFonts w:ascii="Century Gothic" w:hAnsi="Century Gothic" w:cs="Tahoma"/>
        </w:rPr>
      </w:pPr>
      <w:r w:rsidRPr="0019063A">
        <w:rPr>
          <w:rFonts w:ascii="Century Gothic" w:hAnsi="Century Gothic" w:cs="Tahoma"/>
        </w:rPr>
        <w:t>jako jednostki zal</w:t>
      </w:r>
      <w:r>
        <w:rPr>
          <w:rFonts w:ascii="Century Gothic" w:hAnsi="Century Gothic" w:cs="Tahoma"/>
        </w:rPr>
        <w:t>eżne konsolidowane metodą pełną</w:t>
      </w:r>
      <w:r w:rsidR="00A1260F">
        <w:rPr>
          <w:rFonts w:ascii="Century Gothic" w:hAnsi="Century Gothic" w:cs="Tahoma"/>
        </w:rPr>
        <w:t>.</w:t>
      </w:r>
      <w:r>
        <w:rPr>
          <w:rFonts w:ascii="Century Gothic" w:hAnsi="Century Gothic" w:cs="Tahoma"/>
        </w:rPr>
        <w:t xml:space="preserve"> </w:t>
      </w:r>
    </w:p>
    <w:p w:rsidR="00E53D76" w:rsidRPr="00F8739B" w:rsidRDefault="00E53D76" w:rsidP="00E53D76">
      <w:pPr>
        <w:pStyle w:val="Nagwek3"/>
        <w:ind w:left="426"/>
        <w:rPr>
          <w:rFonts w:ascii="Century Gothic" w:hAnsi="Century Gothic"/>
          <w:b/>
          <w:bCs/>
          <w:color w:val="0000FF"/>
          <w:sz w:val="20"/>
        </w:rPr>
      </w:pPr>
      <w:bookmarkStart w:id="72" w:name="_Toc324433747"/>
      <w:bookmarkStart w:id="73" w:name="_Toc334180286"/>
      <w:bookmarkStart w:id="74" w:name="_Toc228169554"/>
      <w:r w:rsidRPr="00F8739B">
        <w:rPr>
          <w:rFonts w:ascii="Century Gothic" w:hAnsi="Century Gothic"/>
          <w:b/>
          <w:bCs/>
          <w:color w:val="0000FF"/>
          <w:sz w:val="20"/>
        </w:rPr>
        <w:t>Zmiany w strukturze Grupy i ich skutki</w:t>
      </w:r>
      <w:bookmarkEnd w:id="72"/>
      <w:bookmarkEnd w:id="73"/>
    </w:p>
    <w:p w:rsidR="00E53D76" w:rsidRDefault="00E53D76" w:rsidP="00E53D76"/>
    <w:p w:rsidR="00E53D76" w:rsidRDefault="00CD7E51" w:rsidP="00E53D76">
      <w:pPr>
        <w:ind w:left="426"/>
        <w:jc w:val="both"/>
        <w:rPr>
          <w:rFonts w:ascii="Century Gothic" w:hAnsi="Century Gothic"/>
        </w:rPr>
      </w:pPr>
      <w:bookmarkStart w:id="75" w:name="_Toc334180287"/>
      <w:bookmarkEnd w:id="74"/>
      <w:r w:rsidRPr="00B11F51">
        <w:rPr>
          <w:rFonts w:ascii="Century Gothic" w:hAnsi="Century Gothic"/>
        </w:rPr>
        <w:t xml:space="preserve">W dniu 27 grudnia 2013 roku </w:t>
      </w:r>
      <w:proofErr w:type="spellStart"/>
      <w:r w:rsidRPr="00B11F51">
        <w:rPr>
          <w:rFonts w:ascii="Century Gothic" w:hAnsi="Century Gothic"/>
        </w:rPr>
        <w:t>Skystone</w:t>
      </w:r>
      <w:proofErr w:type="spellEnd"/>
      <w:r w:rsidRPr="00B11F51">
        <w:rPr>
          <w:rFonts w:ascii="Century Gothic" w:hAnsi="Century Gothic"/>
        </w:rPr>
        <w:t xml:space="preserve"> Capital SA sprzedał wszystkie akcje Energo-Eko I SA, w łącznej liczbie 7.053.900 sztuk za cenę 4.151.467,00 złotych.</w:t>
      </w:r>
    </w:p>
    <w:p w:rsidR="001A5965" w:rsidRDefault="001A5965" w:rsidP="00E53D76">
      <w:pPr>
        <w:ind w:left="426"/>
        <w:jc w:val="both"/>
        <w:rPr>
          <w:rFonts w:ascii="Century Gothic" w:hAnsi="Century Gothic"/>
        </w:rPr>
      </w:pPr>
    </w:p>
    <w:p w:rsidR="001A5965" w:rsidRPr="00E30685" w:rsidRDefault="001A5965" w:rsidP="001A5965">
      <w:pPr>
        <w:ind w:left="426"/>
        <w:jc w:val="both"/>
        <w:rPr>
          <w:rFonts w:ascii="Century Gothic" w:hAnsi="Century Gothic"/>
          <w:color w:val="000000"/>
        </w:rPr>
      </w:pPr>
      <w:r w:rsidRPr="00E30685">
        <w:rPr>
          <w:rFonts w:ascii="Century Gothic" w:hAnsi="Century Gothic"/>
          <w:color w:val="000000"/>
        </w:rPr>
        <w:t xml:space="preserve">W dniu 7 stycznia 2014 roku 140.000 udziałów w spółce Elektrownie Wodne </w:t>
      </w:r>
      <w:proofErr w:type="spellStart"/>
      <w:r w:rsidRPr="00E30685">
        <w:rPr>
          <w:rFonts w:ascii="Century Gothic" w:hAnsi="Century Gothic"/>
          <w:color w:val="000000"/>
        </w:rPr>
        <w:t>Zeneris</w:t>
      </w:r>
      <w:proofErr w:type="spellEnd"/>
      <w:r w:rsidRPr="00E30685">
        <w:rPr>
          <w:rFonts w:ascii="Century Gothic" w:hAnsi="Century Gothic"/>
          <w:color w:val="000000"/>
        </w:rPr>
        <w:t xml:space="preserve"> Sp. z o.o. zostały przejęte od </w:t>
      </w:r>
      <w:proofErr w:type="spellStart"/>
      <w:r w:rsidRPr="00E30685">
        <w:rPr>
          <w:rFonts w:ascii="Century Gothic" w:hAnsi="Century Gothic"/>
          <w:color w:val="000000"/>
        </w:rPr>
        <w:t>Skystone</w:t>
      </w:r>
      <w:proofErr w:type="spellEnd"/>
      <w:r w:rsidRPr="00E30685">
        <w:rPr>
          <w:rFonts w:ascii="Century Gothic" w:hAnsi="Century Gothic"/>
          <w:color w:val="000000"/>
        </w:rPr>
        <w:t xml:space="preserve"> Capital SA przez podmiot zewnętrzny za kwotę 214 tys. zł.</w:t>
      </w:r>
      <w:r>
        <w:rPr>
          <w:rFonts w:ascii="Century Gothic" w:hAnsi="Century Gothic"/>
          <w:color w:val="000000"/>
        </w:rPr>
        <w:t xml:space="preserve"> Tym samym </w:t>
      </w:r>
      <w:proofErr w:type="spellStart"/>
      <w:r>
        <w:rPr>
          <w:rFonts w:ascii="Century Gothic" w:hAnsi="Century Gothic"/>
          <w:color w:val="000000"/>
        </w:rPr>
        <w:t>Skystone</w:t>
      </w:r>
      <w:proofErr w:type="spellEnd"/>
      <w:r>
        <w:rPr>
          <w:rFonts w:ascii="Century Gothic" w:hAnsi="Century Gothic"/>
          <w:color w:val="000000"/>
        </w:rPr>
        <w:t xml:space="preserve"> Capital przestał być udziałowcem Elektrowni Wodnych </w:t>
      </w:r>
      <w:proofErr w:type="spellStart"/>
      <w:r>
        <w:rPr>
          <w:rFonts w:ascii="Century Gothic" w:hAnsi="Century Gothic"/>
          <w:color w:val="000000"/>
        </w:rPr>
        <w:t>Zeneris</w:t>
      </w:r>
      <w:proofErr w:type="spellEnd"/>
      <w:r>
        <w:rPr>
          <w:rFonts w:ascii="Century Gothic" w:hAnsi="Century Gothic"/>
          <w:color w:val="000000"/>
        </w:rPr>
        <w:t xml:space="preserve"> Sp. z o.o.</w:t>
      </w:r>
    </w:p>
    <w:p w:rsidR="001A5965" w:rsidRDefault="001A5965" w:rsidP="00E53D76">
      <w:pPr>
        <w:ind w:left="426"/>
        <w:jc w:val="both"/>
        <w:rPr>
          <w:rFonts w:ascii="Century Gothic" w:hAnsi="Century Gothic" w:cs="Arial"/>
          <w:b/>
          <w:bCs/>
          <w:iCs/>
          <w:color w:val="0000FF"/>
          <w:szCs w:val="28"/>
        </w:rPr>
      </w:pPr>
    </w:p>
    <w:p w:rsidR="003513DF" w:rsidRDefault="003513DF" w:rsidP="00E53D76">
      <w:pPr>
        <w:ind w:left="426"/>
        <w:jc w:val="both"/>
        <w:rPr>
          <w:rFonts w:ascii="Century Gothic" w:hAnsi="Century Gothic" w:cs="Arial"/>
          <w:b/>
          <w:bCs/>
          <w:iCs/>
          <w:color w:val="0000FF"/>
          <w:szCs w:val="28"/>
        </w:rPr>
      </w:pPr>
    </w:p>
    <w:p w:rsidR="00E53D76" w:rsidRPr="00F8739B" w:rsidRDefault="00E53D76" w:rsidP="00E53D76">
      <w:pPr>
        <w:ind w:left="426"/>
        <w:jc w:val="both"/>
        <w:rPr>
          <w:rFonts w:ascii="Century Gothic" w:hAnsi="Century Gothic" w:cs="Arial"/>
          <w:b/>
          <w:bCs/>
          <w:iCs/>
          <w:color w:val="0000FF"/>
          <w:szCs w:val="28"/>
        </w:rPr>
      </w:pPr>
      <w:r w:rsidRPr="00F8739B">
        <w:rPr>
          <w:rFonts w:ascii="Century Gothic" w:hAnsi="Century Gothic" w:cs="Arial"/>
          <w:b/>
          <w:bCs/>
          <w:iCs/>
          <w:color w:val="0000FF"/>
          <w:szCs w:val="28"/>
        </w:rPr>
        <w:t xml:space="preserve">Informacje o poszczególnych projektach inwestycyjnych i wpływ wyników poszczególnych spółek na wynik skonsolidowany grupy </w:t>
      </w:r>
      <w:proofErr w:type="spellStart"/>
      <w:r w:rsidRPr="00A21343">
        <w:rPr>
          <w:rFonts w:ascii="Century Gothic" w:hAnsi="Century Gothic" w:cs="Arial"/>
          <w:b/>
          <w:bCs/>
          <w:iCs/>
          <w:color w:val="0000FF"/>
          <w:szCs w:val="28"/>
        </w:rPr>
        <w:t>Skystone</w:t>
      </w:r>
      <w:proofErr w:type="spellEnd"/>
      <w:r w:rsidRPr="00A21343">
        <w:rPr>
          <w:rFonts w:ascii="Century Gothic" w:hAnsi="Century Gothic" w:cs="Arial"/>
          <w:b/>
          <w:bCs/>
          <w:iCs/>
          <w:color w:val="0000FF"/>
          <w:szCs w:val="28"/>
        </w:rPr>
        <w:t xml:space="preserve"> Capital</w:t>
      </w:r>
      <w:r w:rsidR="00543B50">
        <w:rPr>
          <w:rFonts w:ascii="Century Gothic" w:hAnsi="Century Gothic" w:cs="Arial"/>
          <w:b/>
          <w:bCs/>
          <w:iCs/>
          <w:color w:val="0000FF"/>
          <w:szCs w:val="28"/>
        </w:rPr>
        <w:t xml:space="preserve"> </w:t>
      </w:r>
      <w:r w:rsidRPr="00F8739B">
        <w:rPr>
          <w:rFonts w:ascii="Century Gothic" w:hAnsi="Century Gothic" w:cs="Arial"/>
          <w:b/>
          <w:bCs/>
          <w:iCs/>
          <w:color w:val="0000FF"/>
          <w:szCs w:val="28"/>
        </w:rPr>
        <w:t>S.A.</w:t>
      </w:r>
      <w:bookmarkEnd w:id="75"/>
    </w:p>
    <w:p w:rsidR="00E53D76" w:rsidRPr="00BF2DA0" w:rsidRDefault="00E53D76" w:rsidP="00E53D76">
      <w:bookmarkStart w:id="76" w:name="_Toc334180288"/>
      <w:bookmarkEnd w:id="76"/>
    </w:p>
    <w:tbl>
      <w:tblPr>
        <w:tblW w:w="0" w:type="auto"/>
        <w:tblInd w:w="496" w:type="dxa"/>
        <w:tblBorders>
          <w:bottom w:val="single" w:sz="4" w:space="0" w:color="auto"/>
        </w:tblBorders>
        <w:tblCellMar>
          <w:left w:w="70" w:type="dxa"/>
          <w:right w:w="70" w:type="dxa"/>
        </w:tblCellMar>
        <w:tblLook w:val="0000" w:firstRow="0" w:lastRow="0" w:firstColumn="0" w:lastColumn="0" w:noHBand="0" w:noVBand="0"/>
      </w:tblPr>
      <w:tblGrid>
        <w:gridCol w:w="8716"/>
      </w:tblGrid>
      <w:tr w:rsidR="00C66645" w:rsidRPr="00BF2DA0" w:rsidTr="00B11893">
        <w:tc>
          <w:tcPr>
            <w:tcW w:w="8716" w:type="dxa"/>
            <w:tcBorders>
              <w:bottom w:val="single" w:sz="4" w:space="0" w:color="auto"/>
            </w:tcBorders>
          </w:tcPr>
          <w:p w:rsidR="00C66645" w:rsidRPr="00BF2DA0" w:rsidRDefault="00C66645" w:rsidP="00B11893">
            <w:pPr>
              <w:ind w:left="426"/>
              <w:jc w:val="both"/>
              <w:rPr>
                <w:rFonts w:ascii="Century Gothic" w:hAnsi="Century Gothic" w:cs="Tahoma"/>
                <w:b/>
                <w:bCs/>
                <w:color w:val="0000FF"/>
              </w:rPr>
            </w:pPr>
            <w:bookmarkStart w:id="77" w:name="_Toc228169572"/>
            <w:bookmarkStart w:id="78" w:name="_Toc334180295"/>
            <w:r w:rsidRPr="00BF2DA0">
              <w:rPr>
                <w:rFonts w:ascii="Century Gothic" w:hAnsi="Century Gothic" w:cs="Tahoma"/>
                <w:b/>
                <w:bCs/>
                <w:color w:val="0000FF"/>
              </w:rPr>
              <w:t>OZEN Plus Sp. z o.o.</w:t>
            </w:r>
            <w:r>
              <w:rPr>
                <w:rFonts w:ascii="Century Gothic" w:hAnsi="Century Gothic" w:cs="Tahoma"/>
                <w:b/>
                <w:bCs/>
                <w:color w:val="0000FF"/>
              </w:rPr>
              <w:t xml:space="preserve"> („OZEN”)</w:t>
            </w:r>
          </w:p>
        </w:tc>
      </w:tr>
    </w:tbl>
    <w:p w:rsidR="00C66645" w:rsidRPr="00BF2DA0" w:rsidRDefault="00C66645" w:rsidP="00C66645">
      <w:pPr>
        <w:ind w:left="426" w:firstLine="426"/>
        <w:jc w:val="both"/>
        <w:rPr>
          <w:rFonts w:ascii="Century Gothic" w:hAnsi="Century Gothic" w:cs="Tahoma"/>
        </w:rPr>
      </w:pPr>
    </w:p>
    <w:p w:rsidR="00C66645" w:rsidRPr="009F71C0" w:rsidRDefault="00C66645" w:rsidP="00C66645">
      <w:pPr>
        <w:ind w:left="426"/>
        <w:jc w:val="both"/>
        <w:rPr>
          <w:rFonts w:ascii="Century Gothic" w:hAnsi="Century Gothic"/>
        </w:rPr>
      </w:pPr>
      <w:r w:rsidRPr="009F71C0">
        <w:rPr>
          <w:rFonts w:ascii="Century Gothic" w:hAnsi="Century Gothic"/>
        </w:rPr>
        <w:t xml:space="preserve">Siedziba spółki:                </w:t>
      </w:r>
      <w:r w:rsidRPr="009F71C0">
        <w:rPr>
          <w:rFonts w:ascii="Century Gothic" w:hAnsi="Century Gothic"/>
        </w:rPr>
        <w:tab/>
      </w:r>
      <w:r w:rsidRPr="009F71C0">
        <w:rPr>
          <w:rFonts w:ascii="Century Gothic" w:hAnsi="Century Gothic" w:cs="Tahoma"/>
        </w:rPr>
        <w:t>ul. Budowlanych 9, 78-600 Wałcz</w:t>
      </w:r>
    </w:p>
    <w:p w:rsidR="00C66645" w:rsidRPr="009F71C0" w:rsidRDefault="00C66645" w:rsidP="00C66645">
      <w:pPr>
        <w:ind w:left="426"/>
        <w:jc w:val="both"/>
        <w:rPr>
          <w:rFonts w:ascii="Century Gothic" w:hAnsi="Century Gothic"/>
        </w:rPr>
      </w:pPr>
      <w:r w:rsidRPr="009F71C0">
        <w:rPr>
          <w:rFonts w:ascii="Century Gothic" w:hAnsi="Century Gothic"/>
        </w:rPr>
        <w:t>KRS</w:t>
      </w:r>
      <w:r w:rsidRPr="009F71C0">
        <w:rPr>
          <w:rFonts w:ascii="Century Gothic" w:hAnsi="Century Gothic" w:cs="Tahoma"/>
        </w:rPr>
        <w:t xml:space="preserve">:                                   </w:t>
      </w:r>
      <w:r w:rsidRPr="009F71C0">
        <w:rPr>
          <w:rFonts w:ascii="Century Gothic" w:hAnsi="Century Gothic" w:cs="Tahoma"/>
        </w:rPr>
        <w:tab/>
        <w:t>0000164157</w:t>
      </w:r>
    </w:p>
    <w:p w:rsidR="00C66645" w:rsidRPr="009F71C0" w:rsidRDefault="00C66645" w:rsidP="00C66645">
      <w:pPr>
        <w:ind w:left="426"/>
        <w:jc w:val="both"/>
        <w:rPr>
          <w:rFonts w:ascii="Century Gothic" w:hAnsi="Century Gothic"/>
        </w:rPr>
      </w:pPr>
      <w:r w:rsidRPr="009F71C0">
        <w:rPr>
          <w:rFonts w:ascii="Century Gothic" w:hAnsi="Century Gothic"/>
        </w:rPr>
        <w:t>Kapitał zakładowy:      </w:t>
      </w:r>
      <w:r w:rsidRPr="009F71C0">
        <w:rPr>
          <w:rFonts w:ascii="Century Gothic" w:hAnsi="Century Gothic"/>
        </w:rPr>
        <w:tab/>
        <w:t>30 500 000 zł</w:t>
      </w:r>
    </w:p>
    <w:p w:rsidR="00C66645" w:rsidRPr="009F71C0" w:rsidRDefault="00C66645" w:rsidP="00C66645">
      <w:pPr>
        <w:ind w:left="426"/>
        <w:jc w:val="both"/>
        <w:rPr>
          <w:rFonts w:ascii="Century Gothic" w:hAnsi="Century Gothic"/>
        </w:rPr>
      </w:pPr>
      <w:r w:rsidRPr="009F71C0">
        <w:rPr>
          <w:rFonts w:ascii="Century Gothic" w:hAnsi="Century Gothic"/>
        </w:rPr>
        <w:t xml:space="preserve">Segment:                         </w:t>
      </w:r>
      <w:r w:rsidRPr="009F71C0">
        <w:rPr>
          <w:rFonts w:ascii="Century Gothic" w:hAnsi="Century Gothic"/>
        </w:rPr>
        <w:tab/>
        <w:t>Produkcja węgla drzewnego</w:t>
      </w:r>
    </w:p>
    <w:p w:rsidR="00C66645" w:rsidRPr="009F71C0" w:rsidRDefault="00C66645" w:rsidP="00C66645">
      <w:pPr>
        <w:ind w:left="426"/>
        <w:rPr>
          <w:rFonts w:ascii="Century Gothic" w:hAnsi="Century Gothic" w:cs="Tahoma"/>
        </w:rPr>
      </w:pPr>
    </w:p>
    <w:p w:rsidR="00C66645" w:rsidRPr="009F71C0" w:rsidRDefault="00C66645" w:rsidP="00C66645">
      <w:pPr>
        <w:ind w:left="426"/>
        <w:rPr>
          <w:rFonts w:ascii="Century Gothic" w:hAnsi="Century Gothic" w:cs="Tahoma"/>
        </w:rPr>
      </w:pPr>
    </w:p>
    <w:p w:rsidR="00C66645" w:rsidRPr="0045439F" w:rsidRDefault="00C66645" w:rsidP="00C66645">
      <w:pPr>
        <w:ind w:left="426"/>
        <w:rPr>
          <w:rFonts w:ascii="Century Gothic" w:hAnsi="Century Gothic" w:cs="Tahoma"/>
        </w:rPr>
      </w:pPr>
      <w:r w:rsidRPr="0045439F">
        <w:rPr>
          <w:rFonts w:ascii="Century Gothic" w:hAnsi="Century Gothic" w:cs="Tahoma"/>
        </w:rPr>
        <w:t xml:space="preserve">Podstawowy przedmiot działalności: </w:t>
      </w:r>
    </w:p>
    <w:p w:rsidR="00C66645" w:rsidRPr="0045439F" w:rsidRDefault="00C66645" w:rsidP="00C66645">
      <w:pPr>
        <w:ind w:left="426"/>
        <w:rPr>
          <w:rFonts w:ascii="Century Gothic" w:hAnsi="Century Gothic" w:cs="Tahoma"/>
        </w:rPr>
      </w:pPr>
      <w:r w:rsidRPr="0045439F">
        <w:rPr>
          <w:rFonts w:ascii="Century Gothic" w:hAnsi="Century Gothic" w:cs="Tahoma"/>
        </w:rPr>
        <w:t>     </w:t>
      </w:r>
    </w:p>
    <w:p w:rsidR="00C66645" w:rsidRPr="0045439F" w:rsidRDefault="00C66645" w:rsidP="00C66645">
      <w:pPr>
        <w:ind w:left="426"/>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Produkcja węgla drzewnego i brykietu z węgla drzewnego;</w:t>
      </w:r>
    </w:p>
    <w:p w:rsidR="00C66645" w:rsidRPr="0045439F" w:rsidRDefault="00C66645" w:rsidP="00C66645">
      <w:pPr>
        <w:ind w:left="426"/>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Wytwarzanie energii elektrycznej.</w:t>
      </w:r>
    </w:p>
    <w:p w:rsidR="00C66645" w:rsidRPr="0045439F" w:rsidRDefault="00C66645" w:rsidP="00C66645">
      <w:pPr>
        <w:jc w:val="both"/>
        <w:rPr>
          <w:rFonts w:ascii="Century Gothic" w:hAnsi="Century Gothic" w:cs="Tahoma"/>
          <w:highlight w:val="yellow"/>
        </w:rPr>
      </w:pPr>
    </w:p>
    <w:p w:rsidR="00C66645" w:rsidRPr="0045439F" w:rsidRDefault="00C66645" w:rsidP="00C66645">
      <w:pPr>
        <w:ind w:left="426"/>
        <w:jc w:val="both"/>
        <w:rPr>
          <w:rFonts w:ascii="Century Gothic" w:hAnsi="Century Gothic" w:cs="Tahoma"/>
        </w:rPr>
      </w:pPr>
      <w:r w:rsidRPr="0045439F">
        <w:rPr>
          <w:rFonts w:ascii="Century Gothic" w:hAnsi="Century Gothic" w:cs="Tahoma"/>
        </w:rPr>
        <w:t xml:space="preserve">Zakład produkcyjny w Wałczu charakteryzuje wysoki poziom rozwiązań </w:t>
      </w:r>
      <w:r>
        <w:rPr>
          <w:rFonts w:ascii="Century Gothic" w:hAnsi="Century Gothic" w:cs="Tahoma"/>
        </w:rPr>
        <w:t>technologicznych. Inwestycja wykorzystuje odpadową ( powstającą</w:t>
      </w:r>
      <w:r w:rsidRPr="0045439F">
        <w:rPr>
          <w:rFonts w:ascii="Century Gothic" w:hAnsi="Century Gothic" w:cs="Tahoma"/>
        </w:rPr>
        <w:t xml:space="preserve"> w procesach pr</w:t>
      </w:r>
      <w:r>
        <w:rPr>
          <w:rFonts w:ascii="Century Gothic" w:hAnsi="Century Gothic" w:cs="Tahoma"/>
        </w:rPr>
        <w:t>odukcji węgla drzewnego) energię cieplną</w:t>
      </w:r>
      <w:r w:rsidRPr="0045439F">
        <w:rPr>
          <w:rFonts w:ascii="Century Gothic" w:hAnsi="Century Gothic" w:cs="Tahoma"/>
        </w:rPr>
        <w:t xml:space="preserve"> do produkcji energii elektrycznej. Wytwarzana w skojarzeniu dwóch technologii energia elektryczna posiada status energii wytwarzanej ze źródeł odnawialnych, potwierdzony uzyskaną w dniu 23 lutego 2012 r. koncesją.  Produkcja węgla drzewnego polega na zgazowaniu (proces suchej destylacji) drewna liściastego. W procesie tym,  częściowo w sposób samoistny, a częściowo w procesie spalania gazu drzewnego powstaje energia cieplna, która w typowych zakładach</w:t>
      </w:r>
      <w:r>
        <w:rPr>
          <w:rFonts w:ascii="Century Gothic" w:hAnsi="Century Gothic" w:cs="Tahoma"/>
        </w:rPr>
        <w:t xml:space="preserve"> produkcji samego węgla drzewnego</w:t>
      </w:r>
      <w:r w:rsidRPr="0045439F">
        <w:rPr>
          <w:rFonts w:ascii="Century Gothic" w:hAnsi="Century Gothic" w:cs="Tahoma"/>
        </w:rPr>
        <w:t xml:space="preserve"> nie jest dalej wykorzystywana lub jest wykorzystywana w stopniu bardzo ograniczonym. </w:t>
      </w:r>
    </w:p>
    <w:p w:rsidR="00C66645" w:rsidRPr="0045439F" w:rsidRDefault="00C66645" w:rsidP="00C66645">
      <w:pPr>
        <w:ind w:left="426"/>
        <w:jc w:val="both"/>
        <w:rPr>
          <w:rFonts w:ascii="Century Gothic" w:hAnsi="Century Gothic" w:cs="Tahoma"/>
        </w:rPr>
      </w:pPr>
      <w:r w:rsidRPr="0045439F">
        <w:rPr>
          <w:rFonts w:ascii="Century Gothic" w:hAnsi="Century Gothic" w:cs="Tahoma"/>
        </w:rPr>
        <w:t xml:space="preserve">Moc instalacji do produkcji energii elektrycznej wynosi 7,23 </w:t>
      </w:r>
      <w:proofErr w:type="spellStart"/>
      <w:r w:rsidRPr="0045439F">
        <w:rPr>
          <w:rFonts w:ascii="Century Gothic" w:hAnsi="Century Gothic" w:cs="Tahoma"/>
        </w:rPr>
        <w:t>MWe</w:t>
      </w:r>
      <w:proofErr w:type="spellEnd"/>
      <w:r w:rsidRPr="0045439F">
        <w:rPr>
          <w:rFonts w:ascii="Century Gothic" w:hAnsi="Century Gothic" w:cs="Tahoma"/>
        </w:rPr>
        <w:t xml:space="preserve"> co powoduje, że jest ona jedną z większych instalacji z zakresu OZE, </w:t>
      </w:r>
      <w:r>
        <w:rPr>
          <w:rFonts w:ascii="Century Gothic" w:hAnsi="Century Gothic" w:cs="Tahoma"/>
        </w:rPr>
        <w:t>wy</w:t>
      </w:r>
      <w:r w:rsidRPr="0045439F">
        <w:rPr>
          <w:rFonts w:ascii="Century Gothic" w:hAnsi="Century Gothic" w:cs="Tahoma"/>
        </w:rPr>
        <w:t>budowanych niezależnie od energetyki zawodowej, a w zakresie produkcji węgla drzewnego, najbardziej nowoczesną i przyjazną środowisku fabryką w Europie.</w:t>
      </w:r>
    </w:p>
    <w:p w:rsidR="00C66645" w:rsidRPr="0045439F" w:rsidRDefault="00C66645" w:rsidP="00C66645">
      <w:pPr>
        <w:ind w:left="426"/>
        <w:jc w:val="both"/>
        <w:rPr>
          <w:rFonts w:ascii="Century Gothic" w:hAnsi="Century Gothic" w:cs="Tahoma"/>
        </w:rPr>
      </w:pPr>
      <w:r w:rsidRPr="0045439F">
        <w:rPr>
          <w:rFonts w:ascii="Century Gothic" w:hAnsi="Century Gothic" w:cs="Tahoma"/>
        </w:rPr>
        <w:t>Rozruch technologiczny instalacji rozpoczął się w 2011</w:t>
      </w:r>
      <w:r>
        <w:rPr>
          <w:rFonts w:ascii="Century Gothic" w:hAnsi="Century Gothic" w:cs="Tahoma"/>
        </w:rPr>
        <w:t xml:space="preserve"> </w:t>
      </w:r>
      <w:r w:rsidRPr="0045439F">
        <w:rPr>
          <w:rFonts w:ascii="Century Gothic" w:hAnsi="Century Gothic" w:cs="Tahoma"/>
        </w:rPr>
        <w:t xml:space="preserve">r., produkcję węgla drzewnego rozpoczęto w lipcu 2011 r., a energii elektrycznej w sierpniu 2011 r. </w:t>
      </w:r>
      <w:r>
        <w:rPr>
          <w:rFonts w:ascii="Century Gothic" w:hAnsi="Century Gothic" w:cs="Tahoma"/>
        </w:rPr>
        <w:t xml:space="preserve">W kolejnych okresach firma </w:t>
      </w:r>
      <w:r w:rsidRPr="0045439F">
        <w:rPr>
          <w:rFonts w:ascii="Century Gothic" w:hAnsi="Century Gothic" w:cs="Tahoma"/>
        </w:rPr>
        <w:t xml:space="preserve">koncentrowała się na podnoszeniu sprawności i wydajności poszczególnych elementów instalacji i proces ten, ze względu na szereg </w:t>
      </w:r>
      <w:r>
        <w:rPr>
          <w:rFonts w:ascii="Century Gothic" w:hAnsi="Century Gothic" w:cs="Tahoma"/>
        </w:rPr>
        <w:t>zaistniałych w jego trakcie przestojów i awarii znacznie wydłużył czas dochodzenia do zakładanych w biznesplanie parametrów.</w:t>
      </w:r>
    </w:p>
    <w:p w:rsidR="00C66645" w:rsidRPr="0045439F" w:rsidRDefault="00C66645" w:rsidP="00C66645">
      <w:pPr>
        <w:ind w:left="426"/>
        <w:jc w:val="both"/>
        <w:rPr>
          <w:rFonts w:ascii="Century Gothic" w:hAnsi="Century Gothic" w:cs="Tahoma"/>
        </w:rPr>
      </w:pPr>
      <w:r>
        <w:rPr>
          <w:rFonts w:ascii="Century Gothic" w:hAnsi="Century Gothic" w:cs="Tahoma"/>
        </w:rPr>
        <w:t>Fabryka, zgodnie z projektem, osiąga maksymalną efektywność ekonomiczną wtedy, gdy działają równocześnie i to na założonych w biznesplanie parametrach wszystkie linie produkcyjne ( 2 linie węglowe, linia do produkcji brykietu i linia do produkcji energii), które się wzajemnie</w:t>
      </w:r>
      <w:r w:rsidRPr="0045439F">
        <w:rPr>
          <w:rFonts w:ascii="Century Gothic" w:hAnsi="Century Gothic" w:cs="Tahoma"/>
        </w:rPr>
        <w:t xml:space="preserve"> wspierają i zasilają </w:t>
      </w:r>
      <w:r>
        <w:rPr>
          <w:rFonts w:ascii="Century Gothic" w:hAnsi="Century Gothic" w:cs="Tahoma"/>
        </w:rPr>
        <w:t>nadwyżkami energii, powstającymi</w:t>
      </w:r>
      <w:r w:rsidRPr="0045439F">
        <w:rPr>
          <w:rFonts w:ascii="Century Gothic" w:hAnsi="Century Gothic" w:cs="Tahoma"/>
        </w:rPr>
        <w:t xml:space="preserve"> w zachodzących w nich procesach. Wszelkie zakłócenia lub przesto</w:t>
      </w:r>
      <w:r>
        <w:rPr>
          <w:rFonts w:ascii="Century Gothic" w:hAnsi="Century Gothic" w:cs="Tahoma"/>
        </w:rPr>
        <w:t>je powodują, że albo brakuje</w:t>
      </w:r>
      <w:r w:rsidRPr="0045439F">
        <w:rPr>
          <w:rFonts w:ascii="Century Gothic" w:hAnsi="Century Gothic" w:cs="Tahoma"/>
        </w:rPr>
        <w:t xml:space="preserve"> pary</w:t>
      </w:r>
      <w:r>
        <w:rPr>
          <w:rFonts w:ascii="Century Gothic" w:hAnsi="Century Gothic" w:cs="Tahoma"/>
        </w:rPr>
        <w:t xml:space="preserve"> wodnej</w:t>
      </w:r>
      <w:r w:rsidRPr="0045439F">
        <w:rPr>
          <w:rFonts w:ascii="Century Gothic" w:hAnsi="Century Gothic" w:cs="Tahoma"/>
        </w:rPr>
        <w:t xml:space="preserve"> </w:t>
      </w:r>
      <w:r>
        <w:rPr>
          <w:rFonts w:ascii="Century Gothic" w:hAnsi="Century Gothic" w:cs="Tahoma"/>
        </w:rPr>
        <w:t>niezbędnej do osiągniecia</w:t>
      </w:r>
      <w:r w:rsidRPr="0045439F">
        <w:rPr>
          <w:rFonts w:ascii="Century Gothic" w:hAnsi="Century Gothic" w:cs="Tahoma"/>
        </w:rPr>
        <w:t xml:space="preserve"> optymalnej wydajności</w:t>
      </w:r>
      <w:r>
        <w:rPr>
          <w:rFonts w:ascii="Century Gothic" w:hAnsi="Century Gothic" w:cs="Tahoma"/>
        </w:rPr>
        <w:t xml:space="preserve"> turbiny generującej </w:t>
      </w:r>
      <w:proofErr w:type="spellStart"/>
      <w:r>
        <w:rPr>
          <w:rFonts w:ascii="Century Gothic" w:hAnsi="Century Gothic" w:cs="Tahoma"/>
        </w:rPr>
        <w:t>ee</w:t>
      </w:r>
      <w:proofErr w:type="spellEnd"/>
      <w:r>
        <w:rPr>
          <w:rFonts w:ascii="Century Gothic" w:hAnsi="Century Gothic" w:cs="Tahoma"/>
        </w:rPr>
        <w:t>, i spada ilość taniej energii zużywanej</w:t>
      </w:r>
      <w:r w:rsidRPr="0045439F">
        <w:rPr>
          <w:rFonts w:ascii="Century Gothic" w:hAnsi="Century Gothic" w:cs="Tahoma"/>
        </w:rPr>
        <w:t xml:space="preserve"> na potrzeby własne Zakładu, albo nie starcza ciepła</w:t>
      </w:r>
      <w:r>
        <w:rPr>
          <w:rFonts w:ascii="Century Gothic" w:hAnsi="Century Gothic" w:cs="Tahoma"/>
        </w:rPr>
        <w:t xml:space="preserve"> odpadowego</w:t>
      </w:r>
      <w:r w:rsidRPr="0045439F">
        <w:rPr>
          <w:rFonts w:ascii="Century Gothic" w:hAnsi="Century Gothic" w:cs="Tahoma"/>
        </w:rPr>
        <w:t xml:space="preserve"> na ogrzanie i suszenie </w:t>
      </w:r>
      <w:r>
        <w:rPr>
          <w:rFonts w:ascii="Century Gothic" w:hAnsi="Century Gothic" w:cs="Tahoma"/>
        </w:rPr>
        <w:t xml:space="preserve">drewna w procesie pirolizy i trzeba korzystać z drogiego w zakupie gazu. W skrajnym przypadku fabryka musi kupować energię elektryczną u operatora (za dwukrotnie </w:t>
      </w:r>
      <w:r>
        <w:rPr>
          <w:rFonts w:ascii="Century Gothic" w:hAnsi="Century Gothic" w:cs="Tahoma"/>
        </w:rPr>
        <w:lastRenderedPageBreak/>
        <w:t>wyższą cenę) lub suszyć drewno parą o wysokich parametrach , która skierowana na turbinę dałaby dodatkową ilość energii na potrzeby własne lub na sprzedaż.</w:t>
      </w:r>
      <w:r w:rsidRPr="0045439F">
        <w:rPr>
          <w:rFonts w:ascii="Century Gothic" w:hAnsi="Century Gothic" w:cs="Tahoma"/>
        </w:rPr>
        <w:t xml:space="preserve"> </w:t>
      </w:r>
    </w:p>
    <w:p w:rsidR="00C66645" w:rsidRPr="0045439F" w:rsidRDefault="00C66645" w:rsidP="00C66645">
      <w:pPr>
        <w:ind w:left="426"/>
        <w:jc w:val="both"/>
        <w:rPr>
          <w:rFonts w:ascii="Century Gothic" w:hAnsi="Century Gothic"/>
        </w:rPr>
      </w:pPr>
      <w:r>
        <w:rPr>
          <w:rFonts w:ascii="Century Gothic" w:hAnsi="Century Gothic"/>
        </w:rPr>
        <w:t>Po pokonaniu szeregu trudności zaistniałych podczas uruchamia Zakładu, na dzień dzisiejszy fabryka jest gotowa do pracy w taki sposób, żeby w stosunkowo niedługim okresie mogła osiągnąć zakładane technicznie wydajności wszystkich linii produkcyjnych i zacząć zarabiać na zwrot z inwestycji. Poszczególne części instalacji osiągały wydajności przekraczające zakładane w biznesplanie wartości, jednakże z powodów technicznych lub tak, jak w ostatnim okresie, z powodu braku kapitału obrotowego fabryka nigdy jeszcze nie pracowała w ciągu choćby kilku miesięcy równocześnie na wszystkich liniach, z pełnym zaopatrzeniem w surowiec i paliwo. Warunkiem osiągnięcia wszystkich zakładanych parametrów fabryki jest zasilenie OZEN kapitałem obrotowym, pozwalającym na sfinansowanie zaopatrzenia w sezonowany surowiec i paliwo oraz niezbędnych zapasów magazynowych.</w:t>
      </w:r>
    </w:p>
    <w:p w:rsidR="00C66645" w:rsidRPr="0055405E" w:rsidRDefault="00C66645" w:rsidP="00C66645">
      <w:pPr>
        <w:ind w:left="426"/>
        <w:jc w:val="both"/>
        <w:rPr>
          <w:rFonts w:ascii="Century Gothic" w:hAnsi="Century Gothic"/>
        </w:rPr>
      </w:pPr>
      <w:r>
        <w:rPr>
          <w:rFonts w:ascii="Century Gothic" w:hAnsi="Century Gothic"/>
        </w:rPr>
        <w:t xml:space="preserve">W I kwartale 2014 poszczególne linie produkcyjne pracowały naprzemiennie, z uwagi na dostępność kapitału obrotowego, przekładającego się na zaopatrzenie w surowiec. W takich warunkach, </w:t>
      </w:r>
      <w:r>
        <w:rPr>
          <w:rFonts w:ascii="Century Gothic" w:hAnsi="Century Gothic" w:cs="Tahoma"/>
        </w:rPr>
        <w:t>w</w:t>
      </w:r>
      <w:r w:rsidRPr="0045439F">
        <w:rPr>
          <w:rFonts w:ascii="Century Gothic" w:hAnsi="Century Gothic" w:cs="Tahoma"/>
        </w:rPr>
        <w:t xml:space="preserve"> okresie od stycznia do </w:t>
      </w:r>
      <w:r>
        <w:rPr>
          <w:rFonts w:ascii="Century Gothic" w:hAnsi="Century Gothic" w:cs="Tahoma"/>
        </w:rPr>
        <w:t>marca 2014</w:t>
      </w:r>
      <w:r w:rsidRPr="0045439F">
        <w:rPr>
          <w:rFonts w:ascii="Century Gothic" w:hAnsi="Century Gothic" w:cs="Tahoma"/>
        </w:rPr>
        <w:t xml:space="preserve"> r. Spółka wygenerowała przychody ze sprzedaży produktów i usług</w:t>
      </w:r>
      <w:r>
        <w:rPr>
          <w:rFonts w:ascii="Century Gothic" w:hAnsi="Century Gothic" w:cs="Tahoma"/>
        </w:rPr>
        <w:t xml:space="preserve"> w wysokości </w:t>
      </w:r>
      <w:r w:rsidR="00342CCA">
        <w:rPr>
          <w:rFonts w:ascii="Century Gothic" w:hAnsi="Century Gothic" w:cs="Tahoma"/>
        </w:rPr>
        <w:t>2 777,9</w:t>
      </w:r>
      <w:r w:rsidR="00BE1388">
        <w:rPr>
          <w:rFonts w:ascii="Century Gothic" w:hAnsi="Century Gothic" w:cs="Tahoma"/>
        </w:rPr>
        <w:t xml:space="preserve"> tys. zł.</w:t>
      </w:r>
    </w:p>
    <w:p w:rsidR="00C66645" w:rsidRPr="0045439F" w:rsidRDefault="00C66645" w:rsidP="00C66645">
      <w:pPr>
        <w:ind w:left="426"/>
        <w:jc w:val="both"/>
        <w:rPr>
          <w:rFonts w:ascii="Century Gothic" w:hAnsi="Century Gothic" w:cs="Tahoma"/>
        </w:rPr>
      </w:pPr>
      <w:r w:rsidRPr="0045439F">
        <w:rPr>
          <w:rFonts w:ascii="Century Gothic" w:hAnsi="Century Gothic" w:cs="Tahoma"/>
        </w:rPr>
        <w:t xml:space="preserve"> </w:t>
      </w:r>
    </w:p>
    <w:p w:rsidR="00C66645" w:rsidRPr="0045439F" w:rsidRDefault="00C66645" w:rsidP="00C66645">
      <w:pPr>
        <w:ind w:left="426"/>
        <w:jc w:val="both"/>
        <w:rPr>
          <w:rFonts w:ascii="Century Gothic" w:hAnsi="Century Gothic" w:cs="Tahoma"/>
        </w:rPr>
      </w:pPr>
      <w:r w:rsidRPr="0045439F">
        <w:rPr>
          <w:rFonts w:ascii="Century Gothic" w:hAnsi="Century Gothic" w:cs="Tahoma"/>
        </w:rPr>
        <w:t xml:space="preserve">Strukturę przychodów ze sprzedaży </w:t>
      </w:r>
      <w:r>
        <w:rPr>
          <w:rFonts w:ascii="Century Gothic" w:hAnsi="Century Gothic" w:cs="Tahoma"/>
        </w:rPr>
        <w:t xml:space="preserve">produktów orz towarów oraz materiałów za I kwartał 2014 r. </w:t>
      </w:r>
      <w:r w:rsidRPr="0045439F">
        <w:rPr>
          <w:rFonts w:ascii="Century Gothic" w:hAnsi="Century Gothic" w:cs="Tahoma"/>
        </w:rPr>
        <w:t>przedstawia poniższy wykres:</w:t>
      </w:r>
    </w:p>
    <w:p w:rsidR="00C66645" w:rsidRPr="0045439F" w:rsidRDefault="00C66645" w:rsidP="00C66645">
      <w:pPr>
        <w:ind w:left="426"/>
        <w:jc w:val="both"/>
        <w:rPr>
          <w:rFonts w:ascii="Century Gothic" w:hAnsi="Century Gothic" w:cs="Tahoma"/>
        </w:rPr>
      </w:pPr>
    </w:p>
    <w:p w:rsidR="00C66645" w:rsidRPr="00F05287" w:rsidRDefault="00C66645" w:rsidP="00C66645">
      <w:pPr>
        <w:ind w:left="426"/>
        <w:jc w:val="both"/>
        <w:rPr>
          <w:noProof/>
          <w:color w:val="FF0000"/>
        </w:rPr>
      </w:pPr>
      <w:r w:rsidRPr="0085737F">
        <w:rPr>
          <w:noProof/>
        </w:rPr>
        <w:drawing>
          <wp:inline distT="0" distB="0" distL="0" distR="0" wp14:anchorId="5AB38A33" wp14:editId="34C9A311">
            <wp:extent cx="5869172" cy="2753832"/>
            <wp:effectExtent l="0" t="0" r="0"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2574" cy="2755428"/>
                    </a:xfrm>
                    <a:prstGeom prst="rect">
                      <a:avLst/>
                    </a:prstGeom>
                    <a:noFill/>
                    <a:ln>
                      <a:noFill/>
                    </a:ln>
                  </pic:spPr>
                </pic:pic>
              </a:graphicData>
            </a:graphic>
          </wp:inline>
        </w:drawing>
      </w:r>
    </w:p>
    <w:p w:rsidR="00C66645" w:rsidRPr="0045439F" w:rsidRDefault="00C66645" w:rsidP="00C66645">
      <w:pPr>
        <w:ind w:left="426"/>
        <w:jc w:val="both"/>
        <w:rPr>
          <w:rFonts w:ascii="Century Gothic" w:hAnsi="Century Gothic" w:cs="Tahoma"/>
        </w:rPr>
      </w:pPr>
    </w:p>
    <w:p w:rsidR="00C66645" w:rsidRPr="0045439F" w:rsidRDefault="00C66645" w:rsidP="00C66645">
      <w:pPr>
        <w:pStyle w:val="Tytu"/>
        <w:jc w:val="both"/>
        <w:rPr>
          <w:rFonts w:ascii="Century Gothic" w:hAnsi="Century Gothic" w:cs="Tahoma"/>
          <w:b w:val="0"/>
          <w:bCs/>
          <w:sz w:val="20"/>
        </w:rPr>
      </w:pPr>
    </w:p>
    <w:p w:rsidR="00C66645" w:rsidRDefault="00C66645" w:rsidP="00C66645">
      <w:pPr>
        <w:ind w:left="426"/>
        <w:jc w:val="both"/>
        <w:rPr>
          <w:rFonts w:ascii="Century Gothic" w:hAnsi="Century Gothic"/>
        </w:rPr>
      </w:pPr>
      <w:r>
        <w:rPr>
          <w:rFonts w:ascii="Century Gothic" w:hAnsi="Century Gothic"/>
        </w:rPr>
        <w:t xml:space="preserve">W I kwartale 2014 r. </w:t>
      </w:r>
      <w:r w:rsidRPr="0045439F">
        <w:rPr>
          <w:rFonts w:ascii="Century Gothic" w:hAnsi="Century Gothic"/>
        </w:rPr>
        <w:t>Spółka poniosła stratę</w:t>
      </w:r>
      <w:r>
        <w:rPr>
          <w:rFonts w:ascii="Century Gothic" w:hAnsi="Century Gothic"/>
        </w:rPr>
        <w:t xml:space="preserve"> na sprzedaży w wysokości 3 468,7 tys. zł, co w zestawieniu z analogicznym okresem roku ubiegłego ( 3 743,07 tys. zł.) jest stratą o prawie 7,5% niższą. </w:t>
      </w:r>
    </w:p>
    <w:p w:rsidR="00C66645" w:rsidRDefault="00C66645" w:rsidP="00C66645">
      <w:pPr>
        <w:ind w:left="426"/>
        <w:jc w:val="both"/>
        <w:rPr>
          <w:rFonts w:ascii="Century Gothic" w:hAnsi="Century Gothic"/>
        </w:rPr>
      </w:pPr>
      <w:r w:rsidRPr="0045439F">
        <w:rPr>
          <w:rFonts w:ascii="Century Gothic" w:hAnsi="Century Gothic"/>
        </w:rPr>
        <w:t xml:space="preserve">Na poziomie wyniku finansowego (brutto i </w:t>
      </w:r>
      <w:r>
        <w:rPr>
          <w:rFonts w:ascii="Century Gothic" w:hAnsi="Century Gothic"/>
        </w:rPr>
        <w:t xml:space="preserve">netto) Spółka poniosła w I kwartale roku 2014 stratę w wysokości 5 094,9 tys. zł, co w relacji do analogicznego okresu roku ubiegłego roku (6 1022,50 zł) jest stratą o 16,5% niższą. </w:t>
      </w:r>
      <w:r w:rsidRPr="0045439F">
        <w:rPr>
          <w:rFonts w:ascii="Century Gothic" w:hAnsi="Century Gothic"/>
        </w:rPr>
        <w:t xml:space="preserve"> </w:t>
      </w:r>
    </w:p>
    <w:p w:rsidR="00C66645" w:rsidRDefault="00C66645" w:rsidP="00C66645">
      <w:pPr>
        <w:ind w:left="426"/>
        <w:jc w:val="both"/>
        <w:rPr>
          <w:rFonts w:ascii="Century Gothic" w:hAnsi="Century Gothic"/>
        </w:rPr>
      </w:pPr>
      <w:r w:rsidRPr="0045439F">
        <w:rPr>
          <w:rFonts w:ascii="Century Gothic" w:hAnsi="Century Gothic"/>
        </w:rPr>
        <w:t xml:space="preserve">W </w:t>
      </w:r>
      <w:r>
        <w:rPr>
          <w:rFonts w:ascii="Century Gothic" w:hAnsi="Century Gothic"/>
        </w:rPr>
        <w:t>I kwartale 2014 r.</w:t>
      </w:r>
      <w:r w:rsidRPr="0045439F">
        <w:rPr>
          <w:rFonts w:ascii="Century Gothic" w:hAnsi="Century Gothic"/>
        </w:rPr>
        <w:t xml:space="preserve"> Spółka zanotowała wartoś</w:t>
      </w:r>
      <w:r>
        <w:rPr>
          <w:rFonts w:ascii="Century Gothic" w:hAnsi="Century Gothic"/>
        </w:rPr>
        <w:t xml:space="preserve">ć EBITDA na poziomie minus 1 260,5 tys. zł, co w relacji do I kwartału roku 2013  (minus 1 563,6 tys. zł), jest wynikiem o 18 % lepszym. </w:t>
      </w:r>
    </w:p>
    <w:p w:rsidR="00C66645" w:rsidRDefault="00C66645" w:rsidP="00C66645">
      <w:pPr>
        <w:ind w:left="426"/>
        <w:jc w:val="both"/>
        <w:rPr>
          <w:rFonts w:ascii="Century Gothic" w:hAnsi="Century Gothic"/>
        </w:rPr>
      </w:pPr>
      <w:r w:rsidRPr="0045439F">
        <w:rPr>
          <w:rFonts w:ascii="Century Gothic" w:hAnsi="Century Gothic"/>
        </w:rPr>
        <w:t xml:space="preserve">Należy podkreślić, iż </w:t>
      </w:r>
      <w:r>
        <w:rPr>
          <w:rFonts w:ascii="Century Gothic" w:hAnsi="Century Gothic"/>
        </w:rPr>
        <w:t>poprawa w wyniku EBITDA w I kwartale 2014 r. nastąpiła pomimo braku w tym okresie jakichkolwiek przychodów ze sprzedaży energii elektrycznej.</w:t>
      </w:r>
    </w:p>
    <w:p w:rsidR="00C66645" w:rsidRPr="00CA1C44" w:rsidRDefault="00C66645" w:rsidP="00C66645">
      <w:pPr>
        <w:ind w:left="426"/>
        <w:jc w:val="both"/>
        <w:rPr>
          <w:rFonts w:ascii="Century Gothic" w:hAnsi="Century Gothic" w:cs="Arial"/>
          <w:color w:val="FF0000"/>
          <w:sz w:val="18"/>
          <w:szCs w:val="18"/>
        </w:rPr>
      </w:pPr>
      <w:r>
        <w:rPr>
          <w:rFonts w:ascii="Century Gothic" w:hAnsi="Century Gothic" w:cs="Arial"/>
          <w:color w:val="FF0000"/>
          <w:sz w:val="18"/>
          <w:szCs w:val="18"/>
        </w:rPr>
        <w:t xml:space="preserve">        </w:t>
      </w:r>
      <w:r w:rsidRPr="0045439F">
        <w:rPr>
          <w:rFonts w:ascii="Century Gothic" w:hAnsi="Century Gothic"/>
        </w:rPr>
        <w:br/>
      </w:r>
      <w:r>
        <w:rPr>
          <w:rFonts w:ascii="Century Gothic" w:hAnsi="Century Gothic"/>
        </w:rPr>
        <w:t xml:space="preserve">W I kwartale 2014 r. </w:t>
      </w:r>
      <w:r w:rsidRPr="0045439F">
        <w:rPr>
          <w:rFonts w:ascii="Century Gothic" w:hAnsi="Century Gothic"/>
        </w:rPr>
        <w:t xml:space="preserve">koszty amortyzacji i koszty finansowe wyniosły łącznie </w:t>
      </w:r>
      <w:r>
        <w:rPr>
          <w:rFonts w:ascii="Century Gothic" w:hAnsi="Century Gothic"/>
        </w:rPr>
        <w:t>4 290 tys. zł, stanowiąc niespełna</w:t>
      </w:r>
      <w:r w:rsidRPr="0045439F">
        <w:rPr>
          <w:rFonts w:ascii="Century Gothic" w:hAnsi="Century Gothic"/>
        </w:rPr>
        <w:t xml:space="preserve"> 85% całkowitej straty tego okresu.</w:t>
      </w:r>
    </w:p>
    <w:p w:rsidR="00C66645" w:rsidRDefault="00C66645" w:rsidP="00C66645">
      <w:pPr>
        <w:ind w:left="426"/>
        <w:jc w:val="both"/>
        <w:rPr>
          <w:rFonts w:ascii="Century Gothic" w:hAnsi="Century Gothic"/>
        </w:rPr>
      </w:pPr>
    </w:p>
    <w:p w:rsidR="00C66645" w:rsidRDefault="00C66645" w:rsidP="00C66645">
      <w:pPr>
        <w:ind w:left="426"/>
        <w:jc w:val="both"/>
        <w:rPr>
          <w:rFonts w:ascii="Century Gothic" w:hAnsi="Century Gothic"/>
        </w:rPr>
      </w:pPr>
      <w:r w:rsidRPr="0045439F">
        <w:rPr>
          <w:rFonts w:ascii="Century Gothic" w:hAnsi="Century Gothic"/>
        </w:rPr>
        <w:t xml:space="preserve">Strukturę kosztów operacyjnych Spółki </w:t>
      </w:r>
      <w:r>
        <w:rPr>
          <w:rFonts w:ascii="Century Gothic" w:hAnsi="Century Gothic"/>
        </w:rPr>
        <w:t>zanotowaną w okresie I kwartału roku 2014</w:t>
      </w:r>
      <w:r w:rsidRPr="0045439F">
        <w:rPr>
          <w:rFonts w:ascii="Century Gothic" w:hAnsi="Century Gothic"/>
        </w:rPr>
        <w:t xml:space="preserve"> przedstawia poniższy wykres:</w:t>
      </w:r>
    </w:p>
    <w:p w:rsidR="00C66645" w:rsidRPr="0045439F" w:rsidRDefault="00C66645" w:rsidP="00C66645">
      <w:pPr>
        <w:ind w:left="426"/>
        <w:jc w:val="both"/>
        <w:rPr>
          <w:rFonts w:ascii="Century Gothic" w:hAnsi="Century Gothic"/>
        </w:rPr>
      </w:pPr>
    </w:p>
    <w:p w:rsidR="00C66645" w:rsidRPr="0045439F" w:rsidRDefault="00C66645" w:rsidP="00C66645">
      <w:pPr>
        <w:ind w:left="426"/>
        <w:jc w:val="center"/>
        <w:rPr>
          <w:rFonts w:ascii="Century Gothic" w:hAnsi="Century Gothic"/>
        </w:rPr>
      </w:pPr>
      <w:r w:rsidRPr="00687DD7">
        <w:rPr>
          <w:noProof/>
        </w:rPr>
        <w:lastRenderedPageBreak/>
        <w:drawing>
          <wp:inline distT="0" distB="0" distL="0" distR="0" wp14:anchorId="3681832A" wp14:editId="2191C0BF">
            <wp:extent cx="5943600" cy="2560362"/>
            <wp:effectExtent l="0" t="0" r="0"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4448" cy="2560727"/>
                    </a:xfrm>
                    <a:prstGeom prst="rect">
                      <a:avLst/>
                    </a:prstGeom>
                    <a:noFill/>
                    <a:ln>
                      <a:noFill/>
                    </a:ln>
                  </pic:spPr>
                </pic:pic>
              </a:graphicData>
            </a:graphic>
          </wp:inline>
        </w:drawing>
      </w:r>
    </w:p>
    <w:p w:rsidR="00C66645" w:rsidRPr="0045439F" w:rsidRDefault="00C66645" w:rsidP="00C66645">
      <w:pPr>
        <w:ind w:left="426"/>
        <w:jc w:val="center"/>
        <w:rPr>
          <w:rFonts w:ascii="Century Gothic" w:hAnsi="Century Gothic"/>
        </w:rPr>
      </w:pPr>
    </w:p>
    <w:p w:rsidR="00C66645" w:rsidRDefault="00C66645" w:rsidP="00C66645">
      <w:pPr>
        <w:ind w:left="426"/>
        <w:jc w:val="both"/>
        <w:rPr>
          <w:rFonts w:ascii="Century Gothic" w:hAnsi="Century Gothic" w:cs="Tahoma"/>
        </w:rPr>
      </w:pPr>
    </w:p>
    <w:p w:rsidR="00C66645" w:rsidRPr="0045439F" w:rsidRDefault="00C66645" w:rsidP="00C66645">
      <w:pPr>
        <w:ind w:left="426"/>
        <w:jc w:val="both"/>
        <w:rPr>
          <w:rFonts w:ascii="Century Gothic" w:hAnsi="Century Gothic" w:cs="Tahoma"/>
        </w:rPr>
      </w:pPr>
      <w:r w:rsidRPr="0045439F">
        <w:rPr>
          <w:rFonts w:ascii="Century Gothic" w:hAnsi="Century Gothic" w:cs="Tahoma"/>
        </w:rPr>
        <w:t>Zmiana polityki sprzedażowej, w połączeniu ze zdobytym przez Spółkę doświadczeniem w sprzedaży pozwoliły w sezonie 2012/2013 istotnie zwiększ</w:t>
      </w:r>
      <w:r>
        <w:rPr>
          <w:rFonts w:ascii="Century Gothic" w:hAnsi="Century Gothic" w:cs="Tahoma"/>
        </w:rPr>
        <w:t xml:space="preserve">yć ceny sprzedawanych produktów w stosunku do sezonu poprzedniego,  tym niemniej </w:t>
      </w:r>
      <w:r w:rsidRPr="0045439F">
        <w:rPr>
          <w:rFonts w:ascii="Century Gothic" w:hAnsi="Century Gothic" w:cs="Tahoma"/>
        </w:rPr>
        <w:t xml:space="preserve">ich poziom jest </w:t>
      </w:r>
      <w:r>
        <w:rPr>
          <w:rFonts w:ascii="Century Gothic" w:hAnsi="Century Gothic" w:cs="Tahoma"/>
        </w:rPr>
        <w:t xml:space="preserve">nadal </w:t>
      </w:r>
      <w:r w:rsidRPr="0045439F">
        <w:rPr>
          <w:rFonts w:ascii="Century Gothic" w:hAnsi="Century Gothic" w:cs="Tahoma"/>
        </w:rPr>
        <w:t xml:space="preserve">niższy od cen osiąganych przez konkurencję Spółki, przy sprzedaży produktów o tym samym poziomie jakościowym.  Wynika to głównie z krótkiej obecności na rynku, a także z braku sprzedaży bezpośredniej do zagranicznych sieci handlowych i korzystania z pośredników. </w:t>
      </w:r>
    </w:p>
    <w:p w:rsidR="00C66645" w:rsidRPr="0045439F" w:rsidRDefault="00C66645" w:rsidP="00C66645">
      <w:pPr>
        <w:ind w:left="426"/>
        <w:jc w:val="both"/>
        <w:rPr>
          <w:rFonts w:ascii="Century Gothic" w:hAnsi="Century Gothic" w:cs="Tahoma"/>
        </w:rPr>
      </w:pPr>
    </w:p>
    <w:p w:rsidR="00C66645" w:rsidRPr="0045439F" w:rsidRDefault="00C66645" w:rsidP="00C66645">
      <w:pPr>
        <w:ind w:left="426"/>
        <w:jc w:val="both"/>
        <w:rPr>
          <w:rFonts w:ascii="Century Gothic" w:hAnsi="Century Gothic" w:cs="Tahoma"/>
        </w:rPr>
      </w:pPr>
      <w:r>
        <w:rPr>
          <w:rFonts w:ascii="Century Gothic" w:hAnsi="Century Gothic" w:cs="Tahoma"/>
        </w:rPr>
        <w:t xml:space="preserve">Spółka prowadzi szeroko zakrojone działania handlowe do sieci handlowych w Polsce i za granicą, a także do pośredników działających na tym rynku i prognozuje dalszy wzrost cen sprzedaży produktów w kolejnych latach. Warunkiem osiągnięcia tych wyników jest natychmiastowe zasilenie Spółki w kapitał obrotowy, który pozwoli realizować bieżącą produkcję, a także podtrzymać wypracowaną z ogromnym wysiłkiem w minionym sezonie relatywnie dobrą wiarygodność OZEN, jako dostawcy. </w:t>
      </w:r>
    </w:p>
    <w:p w:rsidR="00C66645" w:rsidRPr="0045439F" w:rsidRDefault="00C66645" w:rsidP="00C66645">
      <w:pPr>
        <w:jc w:val="both"/>
        <w:rPr>
          <w:rFonts w:ascii="Century Gothic" w:hAnsi="Century Gothic" w:cs="Tahoma"/>
        </w:rPr>
      </w:pPr>
    </w:p>
    <w:p w:rsidR="00C66645" w:rsidRPr="00D37183" w:rsidRDefault="00C66645" w:rsidP="00C66645">
      <w:pPr>
        <w:ind w:left="426"/>
        <w:jc w:val="both"/>
        <w:rPr>
          <w:rFonts w:ascii="Century Gothic" w:hAnsi="Century Gothic"/>
        </w:rPr>
      </w:pPr>
      <w:r w:rsidRPr="00D37183">
        <w:rPr>
          <w:rFonts w:ascii="Century Gothic" w:hAnsi="Century Gothic"/>
        </w:rPr>
        <w:t>Spółka w miesiącu styczniu 2014 r. zawarła z belgijskim odbiorcą  ramowy kontrakt handlowy na sprzedaż węgla drzewnego dla sezonu 2013 / 2014, a także ramowy kontrakt z duńskim odbiorcą brykietu węgla drzewnego. Funkcjonują także wcześniejsze kontrakty z odbiorcami niemieckimi i japońskim.</w:t>
      </w:r>
    </w:p>
    <w:p w:rsidR="00C66645" w:rsidRPr="00D37183" w:rsidRDefault="00C66645" w:rsidP="00C66645">
      <w:pPr>
        <w:jc w:val="both"/>
        <w:rPr>
          <w:rFonts w:ascii="Century Gothic" w:hAnsi="Century Gothic"/>
        </w:rPr>
      </w:pPr>
    </w:p>
    <w:p w:rsidR="00C66645" w:rsidRPr="00D37183" w:rsidRDefault="00C66645" w:rsidP="00C66645">
      <w:pPr>
        <w:ind w:left="426"/>
        <w:jc w:val="both"/>
      </w:pPr>
      <w:r w:rsidRPr="00D37183">
        <w:rPr>
          <w:rFonts w:ascii="Century Gothic" w:hAnsi="Century Gothic"/>
        </w:rPr>
        <w:t>Ponadto zostały zawarte ramowe kontrakty handlowe z niemieckimi, duńskimi, szwedzkimi oraz polskimi  odbiorcami brykietu węgla drzewnego.</w:t>
      </w:r>
    </w:p>
    <w:p w:rsidR="00C66645" w:rsidRPr="0045439F" w:rsidRDefault="00C66645" w:rsidP="00C66645">
      <w:pPr>
        <w:jc w:val="both"/>
        <w:rPr>
          <w:rFonts w:ascii="Century Gothic" w:hAnsi="Century Gothic"/>
        </w:rPr>
      </w:pPr>
    </w:p>
    <w:p w:rsidR="00C66645" w:rsidRPr="0045439F" w:rsidRDefault="00C66645" w:rsidP="00C66645">
      <w:pPr>
        <w:ind w:left="426"/>
        <w:jc w:val="both"/>
        <w:rPr>
          <w:rFonts w:ascii="Century Gothic" w:hAnsi="Century Gothic"/>
        </w:rPr>
      </w:pPr>
      <w:r w:rsidRPr="0045439F">
        <w:rPr>
          <w:rFonts w:ascii="Century Gothic" w:hAnsi="Century Gothic" w:cs="Tahoma"/>
        </w:rPr>
        <w:t>Niezależnie od powyższego Spółka prowadzi już działania mające na celu sprzedaż swoich produktów bezpośrednio do zachodnich sieci handlowych na kolejny sezon 2014/2015, efektem czego winno być zarówno istotne zwiększ</w:t>
      </w:r>
      <w:r>
        <w:rPr>
          <w:rFonts w:ascii="Century Gothic" w:hAnsi="Century Gothic" w:cs="Tahoma"/>
        </w:rPr>
        <w:t>enie cen sprzedaży i wzmocnienie</w:t>
      </w:r>
      <w:r w:rsidRPr="0045439F">
        <w:rPr>
          <w:rFonts w:ascii="Century Gothic" w:hAnsi="Century Gothic" w:cs="Tahoma"/>
        </w:rPr>
        <w:t xml:space="preserve"> pozycji Spółki na zachodnio europ</w:t>
      </w:r>
      <w:r>
        <w:rPr>
          <w:rFonts w:ascii="Century Gothic" w:hAnsi="Century Gothic" w:cs="Tahoma"/>
        </w:rPr>
        <w:t>ejskim  rynku jak również budowa</w:t>
      </w:r>
      <w:r w:rsidRPr="0045439F">
        <w:rPr>
          <w:rFonts w:ascii="Century Gothic" w:hAnsi="Century Gothic" w:cs="Tahoma"/>
        </w:rPr>
        <w:t xml:space="preserve"> własnej marki.</w:t>
      </w:r>
      <w:r w:rsidRPr="0045439F">
        <w:rPr>
          <w:rFonts w:ascii="Century Gothic" w:hAnsi="Century Gothic"/>
        </w:rPr>
        <w:t xml:space="preserve"> </w:t>
      </w:r>
    </w:p>
    <w:p w:rsidR="00C66645" w:rsidRPr="0045439F" w:rsidRDefault="00C66645" w:rsidP="00C66645">
      <w:pPr>
        <w:jc w:val="both"/>
        <w:rPr>
          <w:rFonts w:ascii="Century Gothic" w:hAnsi="Century Gothic" w:cs="Tahoma"/>
        </w:rPr>
      </w:pPr>
    </w:p>
    <w:p w:rsidR="00C66645" w:rsidRPr="0045439F" w:rsidRDefault="00C66645" w:rsidP="00C66645">
      <w:pPr>
        <w:tabs>
          <w:tab w:val="left" w:pos="0"/>
        </w:tabs>
        <w:ind w:left="426"/>
        <w:jc w:val="both"/>
        <w:rPr>
          <w:rFonts w:ascii="Century Gothic" w:hAnsi="Century Gothic" w:cs="Tahoma"/>
        </w:rPr>
      </w:pPr>
      <w:r w:rsidRPr="0045439F">
        <w:rPr>
          <w:rFonts w:ascii="Century Gothic" w:hAnsi="Century Gothic" w:cs="Tahoma"/>
        </w:rPr>
        <w:t xml:space="preserve">Obok dalszego wzrostu cen sprzedaży produktów oraz podnoszenia sprawności operacyjnej i wydajności instalacji produkcyjnych, dodatkowym źródłem wzrostu efektywności działalności Spółki jest możliwość obniżania cen zakupu surowca i paliwa do produkcji. Wynika ona ze stosunkowo krótkiego okresu współpracy z jedynym praktycznie dostawcą drewna na rynku polskim, Lasami Państwowymi. W modelu sprzedaży drewna przez LP, kolejne lata współpracy skutkują obniżaniem średnich cen zakupu drewna przez kontrahenta. Spółka zakłada osiągnięcie w najbliższych 2-3 latach obniżki cen zakupu drewna o ok.  10% w stosunku do obecnych cen. </w:t>
      </w:r>
    </w:p>
    <w:p w:rsidR="00C66645" w:rsidRPr="0045439F" w:rsidRDefault="00C66645" w:rsidP="00C66645">
      <w:pPr>
        <w:tabs>
          <w:tab w:val="left" w:pos="0"/>
        </w:tabs>
        <w:ind w:left="709" w:hanging="283"/>
        <w:jc w:val="both"/>
        <w:rPr>
          <w:rFonts w:ascii="Century Gothic" w:hAnsi="Century Gothic" w:cs="Tahoma"/>
        </w:rPr>
      </w:pPr>
    </w:p>
    <w:p w:rsidR="00C66645" w:rsidRPr="0045439F" w:rsidRDefault="00C66645" w:rsidP="00C66645">
      <w:pPr>
        <w:tabs>
          <w:tab w:val="left" w:pos="0"/>
        </w:tabs>
        <w:ind w:left="426"/>
        <w:jc w:val="both"/>
        <w:rPr>
          <w:rFonts w:ascii="Century Gothic" w:hAnsi="Century Gothic" w:cs="Tahoma"/>
          <w:bCs/>
        </w:rPr>
      </w:pPr>
      <w:r w:rsidRPr="0045439F">
        <w:rPr>
          <w:rFonts w:ascii="Century Gothic" w:hAnsi="Century Gothic" w:cs="Tahoma"/>
        </w:rPr>
        <w:t>Ważnym zadaniem Spółki jest dalsza optymalizacja kosztów jej finansowania, mająca na celu poprawę płynności finansowej, wzrost bezpieczeństwa prowadzonego biznesu, a także wzrost wyników prowadzonej działalności</w:t>
      </w:r>
      <w:r>
        <w:rPr>
          <w:rFonts w:ascii="Century Gothic" w:hAnsi="Century Gothic" w:cs="Tahoma"/>
        </w:rPr>
        <w:t>. Osiągnięte w październiku 2013 r.</w:t>
      </w:r>
      <w:r w:rsidRPr="0045439F">
        <w:rPr>
          <w:rFonts w:ascii="Century Gothic" w:hAnsi="Century Gothic" w:cs="Tahoma"/>
        </w:rPr>
        <w:t xml:space="preserve"> porozumienie z Bankiem Polskiej Spółdzielczości wprowadziło szereg zmian do warunków obsługi linii kredytowych takich, jak:</w:t>
      </w:r>
    </w:p>
    <w:p w:rsidR="00C66645" w:rsidRPr="0045439F" w:rsidRDefault="00C66645" w:rsidP="00C66645">
      <w:pPr>
        <w:tabs>
          <w:tab w:val="left" w:pos="0"/>
        </w:tabs>
        <w:ind w:left="709" w:hanging="283"/>
        <w:jc w:val="both"/>
        <w:rPr>
          <w:rFonts w:ascii="Century Gothic" w:hAnsi="Century Gothic" w:cs="Tahoma"/>
        </w:rPr>
      </w:pPr>
      <w:r w:rsidRPr="0045439F">
        <w:rPr>
          <w:rFonts w:ascii="Century Gothic" w:hAnsi="Century Gothic" w:cs="Tahoma"/>
        </w:rPr>
        <w:lastRenderedPageBreak/>
        <w:t>-</w:t>
      </w:r>
      <w:r w:rsidRPr="0045439F">
        <w:rPr>
          <w:rFonts w:ascii="Century Gothic" w:hAnsi="Century Gothic" w:cs="Tahoma"/>
        </w:rPr>
        <w:tab/>
        <w:t>znaczące obniżenie rat kredytu inwestycyjnego, w okresie objętym umową. Kredyt inwestycyjny (kwota kapitału wynosi 50.256.900.00 zł) spłacony zostanie w 51 ratach miesięcznych płatnych począwszy od 31.01.2014 r. do 31.03.2018 r., przy czym 50 rat płatnych będzie w równych kwotach po 293.900,00 zł w okresie od 31.01.2014 r. do 28.02.2018 r., ostatnia 51-sza rata wyrównująca płatna w kwocie 35.561.900,00 zł.;</w:t>
      </w:r>
    </w:p>
    <w:p w:rsidR="00C66645" w:rsidRPr="0045439F" w:rsidRDefault="00C66645" w:rsidP="00C66645">
      <w:pPr>
        <w:tabs>
          <w:tab w:val="left" w:pos="0"/>
        </w:tabs>
        <w:ind w:left="709" w:hanging="283"/>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przekształcenie kredytu w rachunku bieżącym z dnia 15.03.2010 w kredyt obrotowy, spłacany w 31 ratach po 58.479,53 zł i wprowadzenie ostatniej raty w kwocie 8.187.134,57 zł.;</w:t>
      </w:r>
    </w:p>
    <w:p w:rsidR="00C66645" w:rsidRPr="0045439F" w:rsidRDefault="00C66645" w:rsidP="00C66645">
      <w:pPr>
        <w:tabs>
          <w:tab w:val="left" w:pos="0"/>
        </w:tabs>
        <w:ind w:left="709" w:hanging="283"/>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rozłożenie spłaty kredytu obrotowego z dnia 04.02.2013 na 31 rat po 58.479,53 zł i wprowadzenie ostatniej raty w kwocie 8.187.134,57 zł.;</w:t>
      </w:r>
    </w:p>
    <w:p w:rsidR="00C66645" w:rsidRPr="0045439F" w:rsidRDefault="00C66645" w:rsidP="00C66645">
      <w:pPr>
        <w:tabs>
          <w:tab w:val="left" w:pos="0"/>
        </w:tabs>
        <w:ind w:left="426"/>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rozłożenie spłaty naliczonych do 31.12.2013 r odsetek od kredytów, na 24 raty miesięczne.</w:t>
      </w:r>
    </w:p>
    <w:p w:rsidR="00C66645" w:rsidRPr="0045439F" w:rsidRDefault="00C66645" w:rsidP="00C66645">
      <w:pPr>
        <w:tabs>
          <w:tab w:val="left" w:pos="0"/>
        </w:tabs>
        <w:jc w:val="both"/>
        <w:rPr>
          <w:rFonts w:ascii="Century Gothic" w:hAnsi="Century Gothic" w:cs="Tahoma"/>
        </w:rPr>
      </w:pPr>
    </w:p>
    <w:p w:rsidR="00C66645" w:rsidRPr="0045439F" w:rsidRDefault="00C66645" w:rsidP="00C66645">
      <w:pPr>
        <w:tabs>
          <w:tab w:val="left" w:pos="0"/>
        </w:tabs>
        <w:ind w:left="426"/>
        <w:jc w:val="both"/>
        <w:rPr>
          <w:rFonts w:ascii="Century Gothic" w:hAnsi="Century Gothic" w:cs="Tahoma"/>
        </w:rPr>
      </w:pPr>
      <w:r w:rsidRPr="0045439F">
        <w:rPr>
          <w:rFonts w:ascii="Century Gothic" w:hAnsi="Century Gothic" w:cs="Tahoma"/>
        </w:rPr>
        <w:t>Ponadto, poza utrzymaniem aktualnie obowiązujących zabezpieczeń prawnych kredytu w rachunku bieżącym, ustanowiono dodatkowe zabezpieczenia kredytu w postaci:</w:t>
      </w:r>
    </w:p>
    <w:p w:rsidR="00C66645" w:rsidRPr="0045439F" w:rsidRDefault="00C66645" w:rsidP="00C66645">
      <w:pPr>
        <w:tabs>
          <w:tab w:val="left" w:pos="0"/>
        </w:tabs>
        <w:ind w:left="709" w:hanging="283"/>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zastawu rejestrowego na udziałach w spółce OZEN Plus Sp. z o.o.,</w:t>
      </w:r>
    </w:p>
    <w:p w:rsidR="00C66645" w:rsidRPr="0045439F" w:rsidRDefault="00C66645" w:rsidP="00C66645">
      <w:pPr>
        <w:ind w:left="709" w:hanging="283"/>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zastawu rejestrowego na mieniu ruchomym przedsiębiorstwa Kredytobiorcy, wg pozycji B1 katalogu opisu przedmiotu zastawu, zabezpieczającego wszystkie wierzytelności  Kredytobiorcy wobec Banku BPS S.A.</w:t>
      </w:r>
    </w:p>
    <w:p w:rsidR="00C66645" w:rsidRPr="0045439F" w:rsidRDefault="00C66645" w:rsidP="00C66645">
      <w:pPr>
        <w:ind w:left="709" w:hanging="283"/>
        <w:jc w:val="both"/>
        <w:rPr>
          <w:rFonts w:ascii="Century Gothic" w:hAnsi="Century Gothic" w:cs="Tahoma"/>
        </w:rPr>
      </w:pPr>
      <w:r w:rsidRPr="0045439F">
        <w:rPr>
          <w:rFonts w:ascii="Century Gothic" w:hAnsi="Century Gothic" w:cs="Tahoma"/>
        </w:rPr>
        <w:t>-</w:t>
      </w:r>
      <w:r w:rsidRPr="0045439F">
        <w:rPr>
          <w:rFonts w:ascii="Century Gothic" w:hAnsi="Century Gothic" w:cs="Tahoma"/>
        </w:rPr>
        <w:tab/>
        <w:t>zwiększenia zastawu rejestrowego na udziałach w Spółce OZEN Plus Sp. z o.o. z 35.400 sztuk na 60.000 sztuk tj. dodatkowe zabezpieczenie na 24.600 sztuk udziałów.</w:t>
      </w:r>
    </w:p>
    <w:p w:rsidR="00C66645" w:rsidRPr="0045439F" w:rsidRDefault="00C66645" w:rsidP="00C66645">
      <w:pPr>
        <w:jc w:val="both"/>
        <w:rPr>
          <w:rFonts w:ascii="Century Gothic" w:hAnsi="Century Gothic" w:cs="Tahoma"/>
        </w:rPr>
      </w:pPr>
    </w:p>
    <w:p w:rsidR="00C66645" w:rsidRPr="0045439F" w:rsidRDefault="00C66645" w:rsidP="00C66645">
      <w:pPr>
        <w:ind w:left="426"/>
        <w:jc w:val="both"/>
        <w:rPr>
          <w:rFonts w:ascii="Century Gothic" w:hAnsi="Century Gothic" w:cs="Tahoma"/>
        </w:rPr>
      </w:pPr>
      <w:r w:rsidRPr="0045439F">
        <w:rPr>
          <w:rFonts w:ascii="Century Gothic" w:hAnsi="Century Gothic" w:cs="Tahoma"/>
        </w:rPr>
        <w:t xml:space="preserve">Kolejne działania operacyjne jakie są podejmowane w celu poprawy sytuacji finansowej Spółki dotyczą m.in. zmiany warunków handlowych w zakresie </w:t>
      </w:r>
      <w:r>
        <w:rPr>
          <w:rFonts w:ascii="Century Gothic" w:hAnsi="Century Gothic" w:cs="Tahoma"/>
        </w:rPr>
        <w:t xml:space="preserve">skrócenia </w:t>
      </w:r>
      <w:r w:rsidRPr="0045439F">
        <w:rPr>
          <w:rFonts w:ascii="Century Gothic" w:hAnsi="Century Gothic" w:cs="Tahoma"/>
        </w:rPr>
        <w:t>terminów płatności za sprzedane pr</w:t>
      </w:r>
      <w:r>
        <w:rPr>
          <w:rFonts w:ascii="Century Gothic" w:hAnsi="Century Gothic" w:cs="Tahoma"/>
        </w:rPr>
        <w:t>odukty</w:t>
      </w:r>
      <w:r w:rsidRPr="0045439F">
        <w:rPr>
          <w:rFonts w:ascii="Century Gothic" w:hAnsi="Century Gothic" w:cs="Tahoma"/>
        </w:rPr>
        <w:t>, a także zmian w organizacji pracy i systemie szkolenia załogi, wpływających na eliminację wąskich gardeł produkcyjnych, zależnych od czynnika ludzkiego.</w:t>
      </w:r>
    </w:p>
    <w:p w:rsidR="00C66645" w:rsidRPr="0045439F" w:rsidRDefault="00C66645" w:rsidP="00C66645">
      <w:pPr>
        <w:ind w:left="1200"/>
        <w:jc w:val="both"/>
        <w:rPr>
          <w:rFonts w:ascii="Century Gothic" w:hAnsi="Century Gothic" w:cs="Tahoma"/>
        </w:rPr>
      </w:pPr>
    </w:p>
    <w:p w:rsidR="00C66645" w:rsidRDefault="00C66645" w:rsidP="00C66645">
      <w:pPr>
        <w:ind w:left="426"/>
        <w:jc w:val="both"/>
        <w:rPr>
          <w:rFonts w:ascii="Century Gothic" w:hAnsi="Century Gothic" w:cs="Tahoma"/>
        </w:rPr>
      </w:pPr>
      <w:r>
        <w:rPr>
          <w:rFonts w:ascii="Century Gothic" w:hAnsi="Century Gothic" w:cs="Tahoma"/>
        </w:rPr>
        <w:t>W dniach 5 marca 2013 r.</w:t>
      </w:r>
      <w:r w:rsidRPr="0045439F">
        <w:rPr>
          <w:rFonts w:ascii="Century Gothic" w:hAnsi="Century Gothic" w:cs="Tahoma"/>
        </w:rPr>
        <w:t>, 7 maja 2013 oraz 29 listopada 2013 r. oraz nastąpiły zmiany w Zarządzie Spółki. Aktualny Zarząd Spółki tworzą 2 osoby:  Andrzej Marciniak – Prezes Zarządu oraz Maciej Figiel - Członek Zarządu.</w:t>
      </w:r>
    </w:p>
    <w:p w:rsidR="00C66645" w:rsidRPr="0045439F" w:rsidRDefault="00C66645" w:rsidP="00C66645">
      <w:pPr>
        <w:ind w:left="426"/>
        <w:jc w:val="both"/>
        <w:rPr>
          <w:rFonts w:ascii="Century Gothic" w:hAnsi="Century Gothic" w:cs="Tahoma"/>
        </w:rPr>
      </w:pPr>
    </w:p>
    <w:p w:rsidR="00C66645" w:rsidRPr="001E256E" w:rsidRDefault="00C66645" w:rsidP="00C66645">
      <w:pPr>
        <w:ind w:left="426"/>
        <w:jc w:val="both"/>
        <w:rPr>
          <w:rFonts w:ascii="Century Gothic" w:hAnsi="Century Gothic" w:cs="Tahoma"/>
        </w:rPr>
      </w:pPr>
      <w:r w:rsidRPr="001E256E">
        <w:rPr>
          <w:rFonts w:ascii="Century Gothic" w:hAnsi="Century Gothic" w:cs="Tahoma"/>
        </w:rPr>
        <w:t xml:space="preserve">Obecnie największym problemem Spółki jest brak wystarczającej ilości kapitału obrotowego, co uniemożliwia zakupienie odpowiednich ilości surowca i paliwa do produkcji. Stan ten uniemożliwia utrzymanie ciągłości produkcji na wszystkich liniach oraz osiągnięcie </w:t>
      </w:r>
      <w:proofErr w:type="spellStart"/>
      <w:r w:rsidRPr="001E256E">
        <w:rPr>
          <w:rFonts w:ascii="Century Gothic" w:hAnsi="Century Gothic" w:cs="Tahoma"/>
        </w:rPr>
        <w:t>biznesplanowej</w:t>
      </w:r>
      <w:proofErr w:type="spellEnd"/>
      <w:r w:rsidRPr="001E256E">
        <w:rPr>
          <w:rFonts w:ascii="Century Gothic" w:hAnsi="Century Gothic" w:cs="Tahoma"/>
        </w:rPr>
        <w:t xml:space="preserve"> efektywności procesów technologicznych, co obniża bieżące wyniki finansowe.</w:t>
      </w:r>
    </w:p>
    <w:p w:rsidR="00C66645" w:rsidRDefault="00C66645" w:rsidP="00C66645">
      <w:pPr>
        <w:ind w:left="426"/>
        <w:jc w:val="both"/>
        <w:rPr>
          <w:rFonts w:ascii="Century Gothic" w:hAnsi="Century Gothic" w:cs="Tahoma"/>
        </w:rPr>
      </w:pPr>
      <w:r w:rsidRPr="001E256E">
        <w:rPr>
          <w:rFonts w:ascii="Century Gothic" w:hAnsi="Century Gothic" w:cs="Tahoma"/>
        </w:rPr>
        <w:t xml:space="preserve">Zarząd </w:t>
      </w:r>
      <w:proofErr w:type="spellStart"/>
      <w:r w:rsidRPr="001E256E">
        <w:rPr>
          <w:rFonts w:ascii="Century Gothic" w:hAnsi="Century Gothic" w:cs="Tahoma"/>
        </w:rPr>
        <w:t>Skystone</w:t>
      </w:r>
      <w:proofErr w:type="spellEnd"/>
      <w:r w:rsidRPr="001E256E">
        <w:rPr>
          <w:rFonts w:ascii="Century Gothic" w:hAnsi="Century Gothic" w:cs="Tahoma"/>
        </w:rPr>
        <w:t xml:space="preserve"> Capital, wobec braku możliwości pozyskania kapitału dłużnego, podjął próbę sprzedaży emisji akcji z prawem poboru dla akcjonariuszy, z przeznaczeniem tak pozyskanych środków na dofinansowanie OZEN i zaprezentował, popartą prognozą wyników finansowych nową strategię dla Spółki, polegającą na sprzedaży wszystkich pozostałych aktywów z portfela inwestycyjnego oraz koncentracji wszystkich zasobów na utrzymaniu i rozwijaniu zakładu w Wałczu. Niestety, odzew ze strony akcjonariuszy był śladowy, nie udało się także pozyskać inwestorów spoza grona dotychczasowych akcjonariuszy i emisja ta nie doszła do skutku. </w:t>
      </w:r>
    </w:p>
    <w:p w:rsidR="00C66645" w:rsidRPr="00FF0017" w:rsidRDefault="00C66645" w:rsidP="00C66645">
      <w:pPr>
        <w:ind w:left="426"/>
        <w:jc w:val="both"/>
        <w:rPr>
          <w:rFonts w:ascii="Century Gothic" w:hAnsi="Century Gothic" w:cs="Tahoma"/>
        </w:rPr>
      </w:pPr>
      <w:r>
        <w:rPr>
          <w:rFonts w:ascii="Century Gothic" w:hAnsi="Century Gothic" w:cs="Tahoma"/>
        </w:rPr>
        <w:t xml:space="preserve">Zarząd </w:t>
      </w:r>
      <w:proofErr w:type="spellStart"/>
      <w:r>
        <w:rPr>
          <w:rFonts w:ascii="Century Gothic" w:hAnsi="Century Gothic" w:cs="Tahoma"/>
        </w:rPr>
        <w:t>Skystone</w:t>
      </w:r>
      <w:proofErr w:type="spellEnd"/>
      <w:r>
        <w:rPr>
          <w:rFonts w:ascii="Century Gothic" w:hAnsi="Century Gothic" w:cs="Tahoma"/>
        </w:rPr>
        <w:t xml:space="preserve"> Capital - </w:t>
      </w:r>
      <w:r w:rsidRPr="001E256E">
        <w:rPr>
          <w:rFonts w:ascii="Century Gothic" w:hAnsi="Century Gothic" w:cs="Tahoma"/>
        </w:rPr>
        <w:t>dla podtrzymania produkcji Zakładu oraz, co niezmiernie ważne</w:t>
      </w:r>
      <w:r>
        <w:rPr>
          <w:rFonts w:ascii="Century Gothic" w:hAnsi="Century Gothic" w:cs="Tahoma"/>
        </w:rPr>
        <w:t>,</w:t>
      </w:r>
      <w:r w:rsidRPr="001E256E">
        <w:rPr>
          <w:rFonts w:ascii="Century Gothic" w:hAnsi="Century Gothic" w:cs="Tahoma"/>
        </w:rPr>
        <w:t xml:space="preserve"> kontynuacji procesu pozyskania inwestora </w:t>
      </w:r>
      <w:r>
        <w:rPr>
          <w:rFonts w:ascii="Century Gothic" w:hAnsi="Century Gothic" w:cs="Tahoma"/>
        </w:rPr>
        <w:t>do spółki OZEN</w:t>
      </w:r>
      <w:r w:rsidRPr="001E256E">
        <w:rPr>
          <w:rFonts w:ascii="Century Gothic" w:hAnsi="Century Gothic" w:cs="Tahoma"/>
        </w:rPr>
        <w:t xml:space="preserve"> </w:t>
      </w:r>
      <w:r>
        <w:rPr>
          <w:rFonts w:ascii="Century Gothic" w:hAnsi="Century Gothic" w:cs="Tahoma"/>
        </w:rPr>
        <w:t xml:space="preserve">- </w:t>
      </w:r>
      <w:r w:rsidRPr="001E256E">
        <w:rPr>
          <w:rFonts w:ascii="Century Gothic" w:hAnsi="Century Gothic" w:cs="Tahoma"/>
        </w:rPr>
        <w:t xml:space="preserve"> przeznaczył w grudniu 2013 r. kwotę 1,85 mln zł ze środków pozyskanych ze sprzedaży spółki Energo Eko 1,na dofinansowanie spółki </w:t>
      </w:r>
      <w:r w:rsidRPr="00FF0017">
        <w:rPr>
          <w:rFonts w:ascii="Century Gothic" w:hAnsi="Century Gothic" w:cs="Tahoma"/>
        </w:rPr>
        <w:t xml:space="preserve">OZEN. </w:t>
      </w:r>
    </w:p>
    <w:p w:rsidR="00C66645" w:rsidRPr="00FF0017" w:rsidRDefault="00C66645" w:rsidP="00C66645">
      <w:pPr>
        <w:jc w:val="both"/>
        <w:rPr>
          <w:rFonts w:ascii="Century Gothic" w:hAnsi="Century Gothic" w:cs="Tahoma"/>
        </w:rPr>
      </w:pPr>
    </w:p>
    <w:p w:rsidR="00C66645" w:rsidRPr="00FF0017" w:rsidRDefault="00C66645" w:rsidP="00C66645">
      <w:pPr>
        <w:ind w:left="426"/>
        <w:jc w:val="both"/>
        <w:rPr>
          <w:rFonts w:ascii="Century Gothic" w:hAnsi="Century Gothic"/>
        </w:rPr>
      </w:pPr>
      <w:r>
        <w:rPr>
          <w:rFonts w:ascii="Century Gothic" w:hAnsi="Century Gothic"/>
        </w:rPr>
        <w:t>Aktualnie prowadzone</w:t>
      </w:r>
      <w:r w:rsidRPr="00FF0017">
        <w:rPr>
          <w:rFonts w:ascii="Century Gothic" w:hAnsi="Century Gothic"/>
        </w:rPr>
        <w:t xml:space="preserve"> </w:t>
      </w:r>
      <w:r>
        <w:rPr>
          <w:rFonts w:ascii="Century Gothic" w:hAnsi="Century Gothic"/>
        </w:rPr>
        <w:t xml:space="preserve">są wysoce </w:t>
      </w:r>
      <w:r w:rsidRPr="00FF0017">
        <w:rPr>
          <w:rFonts w:ascii="Century Gothic" w:hAnsi="Century Gothic"/>
        </w:rPr>
        <w:t xml:space="preserve">zaawansowane działania mające na celu pozyskanie do Spółki inwestora, który rozwiąże problem kapitału obrotowego i umożliwi Spółce skupienie się </w:t>
      </w:r>
      <w:r w:rsidR="00907234">
        <w:rPr>
          <w:rFonts w:ascii="Century Gothic" w:hAnsi="Century Gothic"/>
        </w:rPr>
        <w:t xml:space="preserve">na </w:t>
      </w:r>
      <w:r w:rsidRPr="00FF0017">
        <w:rPr>
          <w:rFonts w:ascii="Century Gothic" w:hAnsi="Century Gothic"/>
        </w:rPr>
        <w:t>działaniach średnioterminowych, umożliwiających pozyskiwanie wysoko marżowych kontraktów han</w:t>
      </w:r>
      <w:r>
        <w:rPr>
          <w:rFonts w:ascii="Century Gothic" w:hAnsi="Century Gothic"/>
        </w:rPr>
        <w:t>dlowych i eliminację</w:t>
      </w:r>
      <w:r w:rsidRPr="00FF0017">
        <w:rPr>
          <w:rFonts w:ascii="Century Gothic" w:hAnsi="Century Gothic"/>
        </w:rPr>
        <w:t xml:space="preserve"> w strukturze kontrahentów pośredników, przejmujących część marży handlowej producenta w zamian za krótkie terminy płatności.</w:t>
      </w:r>
    </w:p>
    <w:p w:rsidR="00C66645" w:rsidRDefault="00C66645" w:rsidP="00C66645">
      <w:pPr>
        <w:ind w:left="426"/>
        <w:jc w:val="both"/>
        <w:rPr>
          <w:rFonts w:ascii="Century Gothic" w:hAnsi="Century Gothic"/>
        </w:rPr>
      </w:pPr>
      <w:r>
        <w:rPr>
          <w:rFonts w:ascii="Century Gothic" w:hAnsi="Century Gothic"/>
        </w:rPr>
        <w:t>Przed</w:t>
      </w:r>
      <w:r w:rsidRPr="00FF0017">
        <w:rPr>
          <w:rFonts w:ascii="Century Gothic" w:hAnsi="Century Gothic"/>
        </w:rPr>
        <w:t xml:space="preserve"> Bankiem Polskiej Spółdzielczości S.A. jest prowadzony proces akceptacji przyszłego inwestora, zainteresowanego rozwoj</w:t>
      </w:r>
      <w:r w:rsidR="00907234">
        <w:rPr>
          <w:rFonts w:ascii="Century Gothic" w:hAnsi="Century Gothic"/>
        </w:rPr>
        <w:t>em Spółki OZEN Plus na niszowym</w:t>
      </w:r>
      <w:r w:rsidRPr="00FF0017">
        <w:rPr>
          <w:rFonts w:ascii="Century Gothic" w:hAnsi="Century Gothic"/>
        </w:rPr>
        <w:t xml:space="preserve">, a jednocześnie wyjątkowo interesującym rynku węgla drzewnego PREMIUM. </w:t>
      </w:r>
    </w:p>
    <w:p w:rsidR="00C66645" w:rsidRPr="00FF0017" w:rsidRDefault="00C66645" w:rsidP="00C66645">
      <w:pPr>
        <w:ind w:left="426"/>
        <w:jc w:val="both"/>
        <w:rPr>
          <w:rFonts w:ascii="Century Gothic" w:hAnsi="Century Gothic"/>
        </w:rPr>
      </w:pPr>
    </w:p>
    <w:p w:rsidR="00C66645" w:rsidRDefault="00C66645" w:rsidP="00C66645">
      <w:pPr>
        <w:ind w:left="426"/>
        <w:jc w:val="both"/>
        <w:rPr>
          <w:rFonts w:ascii="Century Gothic" w:hAnsi="Century Gothic" w:cs="Tahoma"/>
        </w:rPr>
      </w:pPr>
      <w:r>
        <w:rPr>
          <w:rFonts w:ascii="Century Gothic" w:hAnsi="Century Gothic" w:cs="Tahoma"/>
        </w:rPr>
        <w:t>Zakładamy, iż zamknięcie procesu inwestycyjnego nastąpi w perspektywie najbliższych kilku tygodni.</w:t>
      </w:r>
    </w:p>
    <w:p w:rsidR="00C66645" w:rsidRDefault="00C66645" w:rsidP="00C66645">
      <w:pPr>
        <w:ind w:left="426"/>
        <w:rPr>
          <w:rFonts w:ascii="Century Gothic" w:hAnsi="Century Gothic" w:cs="Tahoma"/>
          <w:highlight w:val="yellow"/>
        </w:rPr>
      </w:pPr>
    </w:p>
    <w:p w:rsidR="0075383A" w:rsidRDefault="0075383A" w:rsidP="00C66645">
      <w:pPr>
        <w:ind w:left="426"/>
        <w:rPr>
          <w:rFonts w:ascii="Century Gothic" w:hAnsi="Century Gothic" w:cs="Tahoma"/>
          <w:highlight w:val="yellow"/>
        </w:rPr>
      </w:pPr>
    </w:p>
    <w:p w:rsidR="00C66645" w:rsidRDefault="00C66645" w:rsidP="00C66645">
      <w:pPr>
        <w:ind w:left="426"/>
        <w:rPr>
          <w:rFonts w:ascii="Century Gothic" w:hAnsi="Century Gothic" w:cs="Tahoma"/>
          <w:highlight w:val="yellow"/>
        </w:rPr>
      </w:pPr>
    </w:p>
    <w:p w:rsidR="00C66645" w:rsidRDefault="00C66645" w:rsidP="00C66645">
      <w:pPr>
        <w:ind w:left="426"/>
        <w:jc w:val="both"/>
        <w:rPr>
          <w:rFonts w:ascii="Century Gothic" w:hAnsi="Century Gothic" w:cs="Tahoma"/>
          <w:highlight w:val="yellow"/>
        </w:rPr>
      </w:pPr>
      <w:r w:rsidRPr="005B27E8">
        <w:rPr>
          <w:rFonts w:ascii="Century Gothic" w:hAnsi="Century Gothic" w:cs="Tahoma"/>
        </w:rPr>
        <w:t xml:space="preserve"> </w:t>
      </w:r>
    </w:p>
    <w:tbl>
      <w:tblPr>
        <w:tblW w:w="0" w:type="auto"/>
        <w:tblInd w:w="496" w:type="dxa"/>
        <w:tblBorders>
          <w:bottom w:val="single" w:sz="4" w:space="0" w:color="auto"/>
        </w:tblBorders>
        <w:tblCellMar>
          <w:left w:w="70" w:type="dxa"/>
          <w:right w:w="70" w:type="dxa"/>
        </w:tblCellMar>
        <w:tblLook w:val="00A0" w:firstRow="1" w:lastRow="0" w:firstColumn="1" w:lastColumn="0" w:noHBand="0" w:noVBand="0"/>
      </w:tblPr>
      <w:tblGrid>
        <w:gridCol w:w="8716"/>
      </w:tblGrid>
      <w:tr w:rsidR="00C66645" w:rsidRPr="00BF2DA0" w:rsidTr="00B11893">
        <w:tc>
          <w:tcPr>
            <w:tcW w:w="8716" w:type="dxa"/>
            <w:tcBorders>
              <w:top w:val="nil"/>
              <w:left w:val="nil"/>
              <w:bottom w:val="single" w:sz="4" w:space="0" w:color="auto"/>
              <w:right w:val="nil"/>
            </w:tcBorders>
          </w:tcPr>
          <w:p w:rsidR="00C66645" w:rsidRPr="00BF2DA0" w:rsidRDefault="00C66645" w:rsidP="00B11893">
            <w:pPr>
              <w:ind w:left="426"/>
              <w:rPr>
                <w:rFonts w:ascii="Century Gothic" w:hAnsi="Century Gothic" w:cs="Tahoma"/>
                <w:b/>
                <w:bCs/>
                <w:color w:val="0000FF"/>
              </w:rPr>
            </w:pPr>
            <w:r w:rsidRPr="00BF2DA0">
              <w:rPr>
                <w:rFonts w:ascii="Century Gothic" w:hAnsi="Century Gothic" w:cs="Tahoma"/>
                <w:b/>
                <w:bCs/>
                <w:color w:val="0000FF"/>
              </w:rPr>
              <w:lastRenderedPageBreak/>
              <w:t xml:space="preserve">Biogaz </w:t>
            </w:r>
            <w:proofErr w:type="spellStart"/>
            <w:r w:rsidRPr="00BF2DA0">
              <w:rPr>
                <w:rFonts w:ascii="Century Gothic" w:hAnsi="Century Gothic" w:cs="Tahoma"/>
                <w:b/>
                <w:bCs/>
                <w:color w:val="0000FF"/>
              </w:rPr>
              <w:t>Zeneris</w:t>
            </w:r>
            <w:proofErr w:type="spellEnd"/>
            <w:r w:rsidRPr="00BF2DA0">
              <w:rPr>
                <w:rFonts w:ascii="Century Gothic" w:hAnsi="Century Gothic" w:cs="Tahoma"/>
                <w:b/>
                <w:bCs/>
                <w:color w:val="0000FF"/>
              </w:rPr>
              <w:t xml:space="preserve"> Sp. z o.o.</w:t>
            </w:r>
          </w:p>
        </w:tc>
      </w:tr>
    </w:tbl>
    <w:p w:rsidR="00C66645" w:rsidRPr="00BF2DA0" w:rsidRDefault="00C66645" w:rsidP="00C66645">
      <w:pPr>
        <w:ind w:left="426" w:firstLine="426"/>
        <w:jc w:val="both"/>
        <w:rPr>
          <w:rFonts w:ascii="Century Gothic" w:hAnsi="Century Gothic" w:cs="Tahoma"/>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Siedziba Spółki: </w:t>
      </w:r>
      <w:r w:rsidRPr="00B11F51">
        <w:rPr>
          <w:rFonts w:ascii="Century Gothic" w:hAnsi="Century Gothic"/>
        </w:rPr>
        <w:tab/>
      </w:r>
      <w:r w:rsidR="00182211">
        <w:rPr>
          <w:rFonts w:ascii="Century Gothic" w:hAnsi="Century Gothic"/>
        </w:rPr>
        <w:tab/>
      </w:r>
      <w:r w:rsidRPr="00B11F51">
        <w:rPr>
          <w:rFonts w:ascii="Century Gothic" w:hAnsi="Century Gothic"/>
        </w:rPr>
        <w:t>ul. Paderewskiego 7, 61-770 Poznań</w:t>
      </w:r>
    </w:p>
    <w:p w:rsidR="00C66645" w:rsidRPr="00B11F51" w:rsidRDefault="00C66645" w:rsidP="00C66645">
      <w:pPr>
        <w:ind w:left="426"/>
        <w:jc w:val="both"/>
        <w:rPr>
          <w:rFonts w:ascii="Century Gothic" w:hAnsi="Century Gothic"/>
        </w:rPr>
      </w:pPr>
      <w:r w:rsidRPr="00B11F51">
        <w:rPr>
          <w:rFonts w:ascii="Century Gothic" w:hAnsi="Century Gothic"/>
        </w:rPr>
        <w:t>KRS:</w:t>
      </w:r>
      <w:r w:rsidRPr="00B11F51">
        <w:rPr>
          <w:rFonts w:ascii="Century Gothic" w:hAnsi="Century Gothic"/>
        </w:rPr>
        <w:tab/>
      </w:r>
      <w:r w:rsidRPr="00B11F51">
        <w:rPr>
          <w:rFonts w:ascii="Century Gothic" w:hAnsi="Century Gothic"/>
        </w:rPr>
        <w:tab/>
      </w:r>
      <w:r w:rsidRPr="00B11F51">
        <w:rPr>
          <w:rFonts w:ascii="Century Gothic" w:hAnsi="Century Gothic"/>
        </w:rPr>
        <w:tab/>
        <w:t>0000294648</w:t>
      </w:r>
    </w:p>
    <w:p w:rsidR="00C66645" w:rsidRPr="00B11F51" w:rsidRDefault="00C66645" w:rsidP="00C66645">
      <w:pPr>
        <w:ind w:left="426"/>
        <w:jc w:val="both"/>
        <w:rPr>
          <w:rFonts w:ascii="Century Gothic" w:hAnsi="Century Gothic"/>
        </w:rPr>
      </w:pPr>
      <w:r w:rsidRPr="00B11F51">
        <w:rPr>
          <w:rFonts w:ascii="Century Gothic" w:hAnsi="Century Gothic"/>
        </w:rPr>
        <w:t>Kapitał zakładowy:</w:t>
      </w:r>
      <w:r w:rsidRPr="00B11F51">
        <w:rPr>
          <w:rFonts w:ascii="Century Gothic" w:hAnsi="Century Gothic"/>
        </w:rPr>
        <w:tab/>
        <w:t>4 300 000 zł</w:t>
      </w:r>
    </w:p>
    <w:p w:rsidR="00C66645" w:rsidRPr="00B11F51" w:rsidRDefault="00C66645" w:rsidP="00C66645">
      <w:pPr>
        <w:ind w:left="426"/>
        <w:jc w:val="both"/>
        <w:rPr>
          <w:rFonts w:ascii="Century Gothic" w:hAnsi="Century Gothic"/>
        </w:rPr>
      </w:pPr>
      <w:r w:rsidRPr="00B11F51">
        <w:rPr>
          <w:rFonts w:ascii="Century Gothic" w:hAnsi="Century Gothic"/>
        </w:rPr>
        <w:t xml:space="preserve">Segment: </w:t>
      </w:r>
      <w:r w:rsidRPr="00B11F51">
        <w:rPr>
          <w:rFonts w:ascii="Century Gothic" w:hAnsi="Century Gothic"/>
        </w:rPr>
        <w:tab/>
      </w:r>
      <w:r w:rsidRPr="00B11F51">
        <w:rPr>
          <w:rFonts w:ascii="Century Gothic" w:hAnsi="Century Gothic"/>
        </w:rPr>
        <w:tab/>
      </w:r>
      <w:r w:rsidR="00182211">
        <w:rPr>
          <w:rFonts w:ascii="Century Gothic" w:hAnsi="Century Gothic"/>
        </w:rPr>
        <w:tab/>
      </w:r>
      <w:r w:rsidRPr="00B11F51">
        <w:rPr>
          <w:rFonts w:ascii="Century Gothic" w:hAnsi="Century Gothic"/>
        </w:rPr>
        <w:t>Energia z biogazu</w:t>
      </w:r>
    </w:p>
    <w:p w:rsidR="00C66645" w:rsidRPr="00B11F51" w:rsidRDefault="00C66645" w:rsidP="00C66645">
      <w:pPr>
        <w:ind w:left="426"/>
        <w:jc w:val="both"/>
        <w:rPr>
          <w:rFonts w:ascii="Century Gothic" w:hAnsi="Century Gothic"/>
        </w:rPr>
      </w:pPr>
      <w:r w:rsidRPr="00B11F51">
        <w:rPr>
          <w:rFonts w:ascii="Century Gothic" w:hAnsi="Century Gothic"/>
        </w:rPr>
        <w:t xml:space="preserve">Podstawowy przedmiot działalności: </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Roboty związane z budową pozostałych obiektów inżynierii lądowej i wodnej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Wytwarzanie energii elektrycznej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Działalność w zakresie inżynierii i związane z nią doradztwo techniczne</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Biogaz </w:t>
      </w:r>
      <w:proofErr w:type="spellStart"/>
      <w:r w:rsidRPr="00B11F51">
        <w:rPr>
          <w:rFonts w:ascii="Century Gothic" w:hAnsi="Century Gothic"/>
        </w:rPr>
        <w:t>Zeneris</w:t>
      </w:r>
      <w:proofErr w:type="spellEnd"/>
      <w:r w:rsidRPr="00B11F51">
        <w:rPr>
          <w:rFonts w:ascii="Century Gothic" w:hAnsi="Century Gothic"/>
        </w:rPr>
        <w:t xml:space="preserve"> Sp. z o.o. prowadzi obecnie działalność wyłącznie w zakresie eksploatacji </w:t>
      </w:r>
      <w:proofErr w:type="spellStart"/>
      <w:r w:rsidRPr="00B11F51">
        <w:rPr>
          <w:rFonts w:ascii="Century Gothic" w:hAnsi="Century Gothic"/>
        </w:rPr>
        <w:t>biogazowni</w:t>
      </w:r>
      <w:proofErr w:type="spellEnd"/>
      <w:r w:rsidRPr="00B11F51">
        <w:rPr>
          <w:rFonts w:ascii="Century Gothic" w:hAnsi="Century Gothic"/>
        </w:rPr>
        <w:t xml:space="preserve">, położonej w miejscowości Skrzatusz (powiat pilski, gmina Szydłowo). Pozostała, dotychczasowa działalność związana z projektowaniem, realizacją inwestycji  i świadczeniem usług dla </w:t>
      </w:r>
      <w:proofErr w:type="spellStart"/>
      <w:r w:rsidRPr="00B11F51">
        <w:rPr>
          <w:rFonts w:ascii="Century Gothic" w:hAnsi="Century Gothic"/>
        </w:rPr>
        <w:t>biogazowni</w:t>
      </w:r>
      <w:proofErr w:type="spellEnd"/>
      <w:r w:rsidRPr="00B11F51">
        <w:rPr>
          <w:rFonts w:ascii="Century Gothic" w:hAnsi="Century Gothic"/>
        </w:rPr>
        <w:t xml:space="preserve"> została dnia </w:t>
      </w:r>
      <w:smartTag w:uri="urn:schemas-microsoft-com:office:smarttags" w:element="date">
        <w:smartTagPr>
          <w:attr w:name="Year" w:val="2012"/>
          <w:attr w:name="Day" w:val="2"/>
          <w:attr w:name="Month" w:val="4"/>
          <w:attr w:name="ls" w:val="trans"/>
        </w:smartTagPr>
        <w:r w:rsidRPr="00B11F51">
          <w:rPr>
            <w:rFonts w:ascii="Century Gothic" w:hAnsi="Century Gothic"/>
          </w:rPr>
          <w:t>2 kwietnia 2012 r.</w:t>
        </w:r>
      </w:smartTag>
      <w:r w:rsidRPr="00B11F51">
        <w:rPr>
          <w:rFonts w:ascii="Century Gothic" w:hAnsi="Century Gothic"/>
        </w:rPr>
        <w:t xml:space="preserve"> sprzedana w formie zorganizowanej części przedsiębiorstwa do spółki BIOGAZ ZENERIS TECH Sp. z o.o. (dalej „BZT”), również zależnej w 100% od </w:t>
      </w:r>
      <w:proofErr w:type="spellStart"/>
      <w:r w:rsidRPr="00B11F51">
        <w:rPr>
          <w:rFonts w:ascii="Century Gothic" w:hAnsi="Century Gothic"/>
        </w:rPr>
        <w:t>Skystone</w:t>
      </w:r>
      <w:proofErr w:type="spellEnd"/>
      <w:r w:rsidRPr="00B11F51">
        <w:rPr>
          <w:rFonts w:ascii="Century Gothic" w:hAnsi="Century Gothic"/>
        </w:rPr>
        <w:t xml:space="preserve"> Capital.</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DB3D82">
        <w:rPr>
          <w:rFonts w:ascii="Century Gothic" w:hAnsi="Century Gothic"/>
        </w:rPr>
        <w:t xml:space="preserve">W okresie </w:t>
      </w:r>
      <w:r>
        <w:rPr>
          <w:rFonts w:ascii="Century Gothic" w:hAnsi="Century Gothic"/>
        </w:rPr>
        <w:t>I kwartału 2014</w:t>
      </w:r>
      <w:r w:rsidRPr="00DB3D82">
        <w:rPr>
          <w:rFonts w:ascii="Century Gothic" w:hAnsi="Century Gothic"/>
        </w:rPr>
        <w:t xml:space="preserve"> r. </w:t>
      </w:r>
      <w:proofErr w:type="spellStart"/>
      <w:r w:rsidRPr="00DB3D82">
        <w:rPr>
          <w:rFonts w:ascii="Century Gothic" w:hAnsi="Century Gothic"/>
        </w:rPr>
        <w:t>biogazownia</w:t>
      </w:r>
      <w:proofErr w:type="spellEnd"/>
      <w:r w:rsidRPr="00DB3D82">
        <w:rPr>
          <w:rFonts w:ascii="Century Gothic" w:hAnsi="Century Gothic"/>
        </w:rPr>
        <w:t xml:space="preserve"> w Skrzatuszu pracowała ze średnią miesięczną wydajnością na poziomie </w:t>
      </w:r>
      <w:r>
        <w:rPr>
          <w:rFonts w:ascii="Century Gothic" w:hAnsi="Century Gothic"/>
        </w:rPr>
        <w:t xml:space="preserve">86% i poziom ten był o kilka punktów procentowych niższy od średniej za poprzedni rok, a także analogiczny okres 2013 r, </w:t>
      </w:r>
      <w:r w:rsidRPr="00DB3D82">
        <w:rPr>
          <w:rFonts w:ascii="Century Gothic" w:hAnsi="Century Gothic"/>
        </w:rPr>
        <w:t xml:space="preserve"> </w:t>
      </w:r>
      <w:r>
        <w:rPr>
          <w:rFonts w:ascii="Century Gothic" w:hAnsi="Century Gothic"/>
        </w:rPr>
        <w:t>Powodem były tu drobne przestoje związane pracami konserwacyjnymi i naprawczymi.</w:t>
      </w:r>
      <w:r w:rsidRPr="00DB3D82">
        <w:rPr>
          <w:rFonts w:ascii="Century Gothic" w:hAnsi="Century Gothic"/>
        </w:rPr>
        <w:t xml:space="preserve"> W stosunku do </w:t>
      </w:r>
      <w:r>
        <w:rPr>
          <w:rFonts w:ascii="Century Gothic" w:hAnsi="Century Gothic"/>
        </w:rPr>
        <w:t xml:space="preserve">pierwszego kwartału ubiegłego </w:t>
      </w:r>
      <w:r w:rsidRPr="00DB3D82">
        <w:rPr>
          <w:rFonts w:ascii="Century Gothic" w:hAnsi="Century Gothic"/>
        </w:rPr>
        <w:t xml:space="preserve">roku </w:t>
      </w:r>
      <w:r>
        <w:rPr>
          <w:rFonts w:ascii="Century Gothic" w:hAnsi="Century Gothic"/>
        </w:rPr>
        <w:t>w I kwartale 2014 r.</w:t>
      </w:r>
      <w:r w:rsidRPr="00DB3D82">
        <w:rPr>
          <w:rFonts w:ascii="Century Gothic" w:hAnsi="Century Gothic"/>
        </w:rPr>
        <w:t xml:space="preserve"> przychody</w:t>
      </w:r>
      <w:r>
        <w:rPr>
          <w:rFonts w:ascii="Century Gothic" w:hAnsi="Century Gothic"/>
        </w:rPr>
        <w:t xml:space="preserve"> ze sprzedaży były wyższe o 7,5</w:t>
      </w:r>
      <w:r w:rsidRPr="00DB3D82">
        <w:rPr>
          <w:rFonts w:ascii="Century Gothic" w:hAnsi="Century Gothic"/>
        </w:rPr>
        <w:t xml:space="preserve">%, </w:t>
      </w:r>
    </w:p>
    <w:p w:rsidR="00C66645" w:rsidRDefault="00C66645" w:rsidP="00C66645">
      <w:pPr>
        <w:ind w:left="426"/>
        <w:jc w:val="both"/>
        <w:rPr>
          <w:rFonts w:ascii="Century Gothic" w:hAnsi="Century Gothic"/>
        </w:rPr>
      </w:pPr>
      <w:r w:rsidRPr="00B11F51">
        <w:rPr>
          <w:rFonts w:ascii="Century Gothic" w:hAnsi="Century Gothic"/>
        </w:rPr>
        <w:t xml:space="preserve">Odnotowana </w:t>
      </w:r>
      <w:r>
        <w:rPr>
          <w:rFonts w:ascii="Century Gothic" w:hAnsi="Century Gothic"/>
        </w:rPr>
        <w:t>aktualnie strata była o 56,2% mniejsza niż w analogicznym czasie roku 2013</w:t>
      </w:r>
      <w:r w:rsidRPr="00B11F51">
        <w:rPr>
          <w:rFonts w:ascii="Century Gothic" w:hAnsi="Century Gothic"/>
        </w:rPr>
        <w:t>.</w:t>
      </w:r>
      <w:r>
        <w:rPr>
          <w:rFonts w:ascii="Century Gothic" w:hAnsi="Century Gothic"/>
        </w:rPr>
        <w:t xml:space="preserve">  Poziom EBIDTA osiągnięto w kwocie dodatniej 150,4 tys. zł. Systematyczna poprawa rentowności Biogaz </w:t>
      </w:r>
      <w:proofErr w:type="spellStart"/>
      <w:r>
        <w:rPr>
          <w:rFonts w:ascii="Century Gothic" w:hAnsi="Century Gothic"/>
        </w:rPr>
        <w:t>Zeneris</w:t>
      </w:r>
      <w:proofErr w:type="spellEnd"/>
      <w:r>
        <w:rPr>
          <w:rFonts w:ascii="Century Gothic" w:hAnsi="Century Gothic"/>
        </w:rPr>
        <w:t xml:space="preserve"> jest efektem:</w:t>
      </w:r>
    </w:p>
    <w:p w:rsidR="00C66645" w:rsidRDefault="00C66645" w:rsidP="00C66645">
      <w:pPr>
        <w:ind w:left="426"/>
        <w:jc w:val="both"/>
        <w:rPr>
          <w:rFonts w:ascii="Century Gothic" w:hAnsi="Century Gothic"/>
        </w:rPr>
      </w:pPr>
      <w:r>
        <w:rPr>
          <w:rFonts w:ascii="Century Gothic" w:hAnsi="Century Gothic"/>
        </w:rPr>
        <w:t>-</w:t>
      </w:r>
      <w:r>
        <w:rPr>
          <w:rFonts w:ascii="Century Gothic" w:hAnsi="Century Gothic"/>
        </w:rPr>
        <w:tab/>
        <w:t>wprowadzonej restrukturyzacji kosztów działalności.</w:t>
      </w: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t>wyższym niż na początku ubiegłego roku poziomem cen świadectw pochodzenia energii (tzw. certyfikatów energetycznych).</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Pr>
          <w:rFonts w:ascii="Century Gothic" w:hAnsi="Century Gothic"/>
        </w:rPr>
        <w:t>P</w:t>
      </w:r>
      <w:r w:rsidRPr="00B11F51">
        <w:rPr>
          <w:rFonts w:ascii="Century Gothic" w:hAnsi="Century Gothic"/>
        </w:rPr>
        <w:t>rzedsiębiorstwo ma realne szanse na odzyskanie bezpieczeństwa finansowego i stabilną pracę, oczywiście pod warunkiem dalszej poprawy warunków funkcjonowania rynku OZE, na którym działa Spółka.</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Pr>
          <w:rFonts w:ascii="Century Gothic" w:hAnsi="Century Gothic"/>
        </w:rPr>
        <w:t xml:space="preserve">Odnotowywana </w:t>
      </w:r>
      <w:r w:rsidRPr="00B11F51">
        <w:rPr>
          <w:rFonts w:ascii="Century Gothic" w:hAnsi="Century Gothic"/>
        </w:rPr>
        <w:t>st</w:t>
      </w:r>
      <w:r>
        <w:rPr>
          <w:rFonts w:ascii="Century Gothic" w:hAnsi="Century Gothic"/>
        </w:rPr>
        <w:t>rata finansowa  spowodowana jest</w:t>
      </w:r>
      <w:r w:rsidRPr="00B11F51">
        <w:rPr>
          <w:rFonts w:ascii="Century Gothic" w:hAnsi="Century Gothic"/>
        </w:rPr>
        <w:t xml:space="preserve"> przede wszystkim sytuacj</w:t>
      </w:r>
      <w:r>
        <w:rPr>
          <w:rFonts w:ascii="Century Gothic" w:hAnsi="Century Gothic"/>
        </w:rPr>
        <w:t>ą na rynku OZE, która skutkuje</w:t>
      </w:r>
      <w:r w:rsidRPr="00B11F51">
        <w:rPr>
          <w:rFonts w:ascii="Century Gothic" w:hAnsi="Century Gothic"/>
        </w:rPr>
        <w:t xml:space="preserve"> </w:t>
      </w:r>
      <w:r>
        <w:rPr>
          <w:rFonts w:ascii="Century Gothic" w:hAnsi="Century Gothic"/>
        </w:rPr>
        <w:t>wahaniami</w:t>
      </w:r>
      <w:r w:rsidRPr="00B11F51">
        <w:rPr>
          <w:rFonts w:ascii="Century Gothic" w:hAnsi="Century Gothic"/>
        </w:rPr>
        <w:t xml:space="preserve"> cen</w:t>
      </w:r>
      <w:r w:rsidR="00692E88">
        <w:rPr>
          <w:rFonts w:ascii="Century Gothic" w:hAnsi="Century Gothic"/>
        </w:rPr>
        <w:t xml:space="preserve"> </w:t>
      </w:r>
      <w:r w:rsidRPr="00B11F51">
        <w:rPr>
          <w:rFonts w:ascii="Century Gothic" w:hAnsi="Century Gothic"/>
        </w:rPr>
        <w:t>świadectw pochodzenia energii</w:t>
      </w:r>
      <w:r>
        <w:rPr>
          <w:rFonts w:ascii="Century Gothic" w:hAnsi="Century Gothic"/>
        </w:rPr>
        <w:t xml:space="preserve"> oraz samej energii (w kategoriach rocznych)</w:t>
      </w:r>
      <w:r w:rsidRPr="00B11F51">
        <w:rPr>
          <w:rFonts w:ascii="Century Gothic" w:hAnsi="Century Gothic"/>
        </w:rPr>
        <w:t>. Obrót świadectwami pochodzenia na Towarowej Giełdzie Energii (TGE) – poz</w:t>
      </w:r>
      <w:r>
        <w:rPr>
          <w:rFonts w:ascii="Century Gothic" w:hAnsi="Century Gothic"/>
        </w:rPr>
        <w:t>a sprzedażą samej energii -  jest</w:t>
      </w:r>
      <w:r w:rsidRPr="00B11F51">
        <w:rPr>
          <w:rFonts w:ascii="Century Gothic" w:hAnsi="Century Gothic"/>
        </w:rPr>
        <w:t xml:space="preserve"> jednym z dwóch głównych źródeł przychodów spółki</w:t>
      </w:r>
      <w:r>
        <w:rPr>
          <w:rFonts w:ascii="Century Gothic" w:hAnsi="Century Gothic"/>
        </w:rPr>
        <w:t>.</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Ze względu na zachwianie opłacalności działania w całej branży OZE, w tym w segmencie biogazowym, w którym funkcjonuje Spółka Biogaz </w:t>
      </w:r>
      <w:proofErr w:type="spellStart"/>
      <w:r w:rsidRPr="00B11F51">
        <w:rPr>
          <w:rFonts w:ascii="Century Gothic" w:hAnsi="Century Gothic"/>
        </w:rPr>
        <w:t>Zeneris</w:t>
      </w:r>
      <w:proofErr w:type="spellEnd"/>
      <w:r w:rsidRPr="00B11F51">
        <w:rPr>
          <w:rFonts w:ascii="Century Gothic" w:hAnsi="Century Gothic"/>
        </w:rPr>
        <w:t>, oczekiwane są kompleksowe rozwiązania prawne, które uregulują zasady rozwoju energetyki odnawialnej w Polsce i wprowadzą mechanizmy stabilizujące rynek zielonej energii. Zakłada się, że, w tym kontekście problemy Spółki mają charakter tymczasowy i zostaną zażegnane wraz ze zmianą sytuacji prawnej na rynku OZE.</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Niezależnie od tego, kontynuowany jest program restrukturyzacji Spółki, którego celem jest odzyskanie pełnej płynności finansowej  oraz poprawienie wyników operacyjnych. </w:t>
      </w:r>
    </w:p>
    <w:p w:rsidR="00C66645" w:rsidRDefault="00C66645" w:rsidP="00C66645">
      <w:pPr>
        <w:ind w:left="426"/>
        <w:jc w:val="both"/>
        <w:rPr>
          <w:rFonts w:ascii="Century Gothic" w:hAnsi="Century Gothic"/>
        </w:rPr>
      </w:pPr>
    </w:p>
    <w:p w:rsidR="00C66645" w:rsidRDefault="00C66645" w:rsidP="00C66645">
      <w:pPr>
        <w:ind w:left="426"/>
        <w:jc w:val="both"/>
        <w:rPr>
          <w:rFonts w:ascii="Century Gothic" w:hAnsi="Century Gothic"/>
        </w:rPr>
      </w:pPr>
      <w:r>
        <w:rPr>
          <w:rFonts w:ascii="Century Gothic" w:hAnsi="Century Gothic"/>
        </w:rPr>
        <w:t>Istotne zdarzenia w historii spółki po rezygnacji z działalności projektowej i laboratoryjnej  :</w:t>
      </w:r>
    </w:p>
    <w:p w:rsidR="00C66645" w:rsidRPr="00B11F51" w:rsidRDefault="00C66645" w:rsidP="00C66645">
      <w:pPr>
        <w:ind w:left="426"/>
        <w:jc w:val="both"/>
        <w:rPr>
          <w:rFonts w:ascii="Century Gothic" w:hAnsi="Century Gothic"/>
        </w:rPr>
      </w:pP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r>
      <w:r w:rsidRPr="00B11F51">
        <w:rPr>
          <w:rFonts w:ascii="Century Gothic" w:hAnsi="Century Gothic"/>
        </w:rPr>
        <w:t>W I kwa</w:t>
      </w:r>
      <w:r w:rsidR="00692E88">
        <w:rPr>
          <w:rFonts w:ascii="Century Gothic" w:hAnsi="Century Gothic"/>
        </w:rPr>
        <w:t>r</w:t>
      </w:r>
      <w:r w:rsidRPr="00B11F51">
        <w:rPr>
          <w:rFonts w:ascii="Century Gothic" w:hAnsi="Century Gothic"/>
        </w:rPr>
        <w:t xml:space="preserve">tale 2013 r. do Spółki wpłynęły środki z pożyczki w kwocie 300 tys. zł w ramach Inicjatywy </w:t>
      </w:r>
      <w:proofErr w:type="spellStart"/>
      <w:r w:rsidRPr="00B11F51">
        <w:rPr>
          <w:rFonts w:ascii="Century Gothic" w:hAnsi="Century Gothic"/>
        </w:rPr>
        <w:t>Jeremie</w:t>
      </w:r>
      <w:proofErr w:type="spellEnd"/>
      <w:r w:rsidRPr="00B11F51">
        <w:rPr>
          <w:rFonts w:ascii="Century Gothic" w:hAnsi="Century Gothic"/>
        </w:rPr>
        <w:t xml:space="preserve">. W kwietniu 2013 r. poniesione zostały pierwsze nakłady na uruchomienie suszarni, dzięki którym Spółka zyskała prawo do dodatkowego wolumenu certyfikatów z kogeneracji i w efekcie całość wytworzonej w </w:t>
      </w:r>
      <w:proofErr w:type="spellStart"/>
      <w:r w:rsidRPr="00B11F51">
        <w:rPr>
          <w:rFonts w:ascii="Century Gothic" w:hAnsi="Century Gothic"/>
        </w:rPr>
        <w:t>biogazowni</w:t>
      </w:r>
      <w:proofErr w:type="spellEnd"/>
      <w:r w:rsidRPr="00B11F51">
        <w:rPr>
          <w:rFonts w:ascii="Century Gothic" w:hAnsi="Century Gothic"/>
        </w:rPr>
        <w:t xml:space="preserve"> energii elektrycznej może mieć status energii wytworzonej w wysokosprawnej kogeneracji. Przekłada się to na zwiększenie efektywności finansowej </w:t>
      </w:r>
      <w:proofErr w:type="spellStart"/>
      <w:r w:rsidRPr="00B11F51">
        <w:rPr>
          <w:rFonts w:ascii="Century Gothic" w:hAnsi="Century Gothic"/>
        </w:rPr>
        <w:t>biogazowni</w:t>
      </w:r>
      <w:proofErr w:type="spellEnd"/>
      <w:r w:rsidRPr="00B11F51">
        <w:rPr>
          <w:rFonts w:ascii="Century Gothic" w:hAnsi="Century Gothic"/>
        </w:rPr>
        <w:t xml:space="preserve">. </w:t>
      </w: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r>
      <w:r w:rsidRPr="00B11F51">
        <w:rPr>
          <w:rFonts w:ascii="Century Gothic" w:hAnsi="Century Gothic"/>
        </w:rPr>
        <w:t xml:space="preserve">W sierpniu 2013 r. dokonano przekształcenia pożyczek uzyskanych od </w:t>
      </w:r>
      <w:proofErr w:type="spellStart"/>
      <w:r w:rsidRPr="00B11F51">
        <w:rPr>
          <w:rFonts w:ascii="Century Gothic" w:hAnsi="Century Gothic"/>
        </w:rPr>
        <w:t>Skystone</w:t>
      </w:r>
      <w:proofErr w:type="spellEnd"/>
      <w:r w:rsidRPr="00B11F51">
        <w:rPr>
          <w:rFonts w:ascii="Century Gothic" w:hAnsi="Century Gothic"/>
        </w:rPr>
        <w:t xml:space="preserve"> Capital S.A. w kwocie 2.523 tys. zł (wraz z niespłaconymi odsetkami: 444 tys. zł) na kapitał udziałowy i zapasowy.  </w:t>
      </w:r>
    </w:p>
    <w:p w:rsidR="00C66645" w:rsidRPr="00B11F51" w:rsidRDefault="00C66645" w:rsidP="00C66645">
      <w:pPr>
        <w:ind w:left="708" w:hanging="282"/>
        <w:jc w:val="both"/>
        <w:rPr>
          <w:rFonts w:ascii="Century Gothic" w:hAnsi="Century Gothic"/>
        </w:rPr>
      </w:pPr>
      <w:r>
        <w:rPr>
          <w:rFonts w:ascii="Century Gothic" w:hAnsi="Century Gothic"/>
        </w:rPr>
        <w:lastRenderedPageBreak/>
        <w:t>-</w:t>
      </w:r>
      <w:r>
        <w:rPr>
          <w:rFonts w:ascii="Century Gothic" w:hAnsi="Century Gothic"/>
        </w:rPr>
        <w:tab/>
        <w:t>W</w:t>
      </w:r>
      <w:r w:rsidRPr="00B11F51">
        <w:rPr>
          <w:rFonts w:ascii="Century Gothic" w:hAnsi="Century Gothic"/>
        </w:rPr>
        <w:t xml:space="preserve"> listopadzie 2013 r. zawarto</w:t>
      </w:r>
      <w:r>
        <w:rPr>
          <w:rFonts w:ascii="Century Gothic" w:hAnsi="Century Gothic"/>
        </w:rPr>
        <w:t xml:space="preserve"> z Bankiem Ochrony Środowiska aneksy do umów kredytowych restrukturyzujących ich spłatę</w:t>
      </w: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t>W</w:t>
      </w:r>
      <w:r w:rsidRPr="00B11F51">
        <w:rPr>
          <w:rFonts w:ascii="Century Gothic" w:hAnsi="Century Gothic"/>
        </w:rPr>
        <w:t xml:space="preserve"> dniu 29 października 2013 r. Prezes Zarządu </w:t>
      </w:r>
      <w:smartTag w:uri="urn:schemas-microsoft-com:office:smarttags" w:element="PersonName">
        <w:smartTagPr>
          <w:attr w:name="ProductID" w:val="Roman Trębacz"/>
        </w:smartTagPr>
        <w:r w:rsidRPr="00B11F51">
          <w:rPr>
            <w:rFonts w:ascii="Century Gothic" w:hAnsi="Century Gothic"/>
          </w:rPr>
          <w:t>Roman Trębacz</w:t>
        </w:r>
      </w:smartTag>
      <w:r w:rsidRPr="00B11F51">
        <w:rPr>
          <w:rFonts w:ascii="Century Gothic" w:hAnsi="Century Gothic"/>
        </w:rPr>
        <w:t xml:space="preserve"> złożył rezygnację z pełnionej funkcji i obecnie sprawy Spółki tymczasowo prowadzone są przez dwoje prokurentów.</w:t>
      </w: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t>W listopadzie 2013 r.</w:t>
      </w:r>
      <w:r w:rsidRPr="00B11F51">
        <w:rPr>
          <w:rFonts w:ascii="Century Gothic" w:hAnsi="Century Gothic"/>
        </w:rPr>
        <w:t xml:space="preserve"> Władze Gminy Szydłowo wydały zgodę na rozłożenie na raty zaległości płatniczych Spółki z tytułu podatku od nieruchomości. Zaległości spółki z tego tytułu obejmowały okres ponad 1,5 roku i wynosiły 333,9 tys. zł.</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Zgodnie z przyjętą strategią Zarząd </w:t>
      </w:r>
      <w:proofErr w:type="spellStart"/>
      <w:r w:rsidRPr="00B11F51">
        <w:rPr>
          <w:rFonts w:ascii="Century Gothic" w:hAnsi="Century Gothic"/>
        </w:rPr>
        <w:t>Skystone</w:t>
      </w:r>
      <w:proofErr w:type="spellEnd"/>
      <w:r w:rsidRPr="00B11F51">
        <w:rPr>
          <w:rFonts w:ascii="Century Gothic" w:hAnsi="Century Gothic"/>
        </w:rPr>
        <w:t xml:space="preserve"> Capital prowadzi działania w celu znalezienia dla Spółki inwestora branżowego. </w:t>
      </w:r>
    </w:p>
    <w:p w:rsidR="00C66645" w:rsidRPr="00EB42E5" w:rsidRDefault="00C66645" w:rsidP="00C66645">
      <w:pPr>
        <w:ind w:left="426"/>
        <w:rPr>
          <w:rFonts w:ascii="Arial" w:hAnsi="Arial" w:cs="Arial"/>
        </w:rPr>
      </w:pPr>
    </w:p>
    <w:p w:rsidR="00C66645" w:rsidRPr="005C54C3" w:rsidRDefault="00C66645" w:rsidP="00C66645">
      <w:pPr>
        <w:ind w:left="426"/>
        <w:rPr>
          <w:rFonts w:ascii="Arial" w:hAnsi="Arial" w:cs="Arial"/>
        </w:rPr>
      </w:pPr>
    </w:p>
    <w:tbl>
      <w:tblPr>
        <w:tblW w:w="0" w:type="auto"/>
        <w:tblInd w:w="496" w:type="dxa"/>
        <w:tblBorders>
          <w:bottom w:val="single" w:sz="4" w:space="0" w:color="auto"/>
        </w:tblBorders>
        <w:tblCellMar>
          <w:left w:w="70" w:type="dxa"/>
          <w:right w:w="70" w:type="dxa"/>
        </w:tblCellMar>
        <w:tblLook w:val="00A0" w:firstRow="1" w:lastRow="0" w:firstColumn="1" w:lastColumn="0" w:noHBand="0" w:noVBand="0"/>
      </w:tblPr>
      <w:tblGrid>
        <w:gridCol w:w="8716"/>
      </w:tblGrid>
      <w:tr w:rsidR="00C66645" w:rsidRPr="00BF2DA0" w:rsidTr="00B11893">
        <w:tc>
          <w:tcPr>
            <w:tcW w:w="8716" w:type="dxa"/>
            <w:tcBorders>
              <w:top w:val="nil"/>
              <w:left w:val="nil"/>
              <w:bottom w:val="single" w:sz="4" w:space="0" w:color="auto"/>
              <w:right w:val="nil"/>
            </w:tcBorders>
          </w:tcPr>
          <w:p w:rsidR="00C66645" w:rsidRPr="00BF2DA0" w:rsidRDefault="00C66645" w:rsidP="00B11893">
            <w:pPr>
              <w:ind w:left="426"/>
              <w:rPr>
                <w:rFonts w:ascii="Century Gothic" w:hAnsi="Century Gothic" w:cs="Tahoma"/>
                <w:b/>
                <w:bCs/>
                <w:color w:val="0000FF"/>
              </w:rPr>
            </w:pPr>
            <w:r>
              <w:br w:type="page"/>
            </w:r>
            <w:r w:rsidRPr="00BF2DA0">
              <w:rPr>
                <w:rFonts w:ascii="Century Gothic" w:hAnsi="Century Gothic" w:cs="Tahoma"/>
                <w:b/>
                <w:bCs/>
                <w:color w:val="0000FF"/>
              </w:rPr>
              <w:t xml:space="preserve">Biogaz </w:t>
            </w:r>
            <w:proofErr w:type="spellStart"/>
            <w:r w:rsidRPr="00BF2DA0">
              <w:rPr>
                <w:rFonts w:ascii="Century Gothic" w:hAnsi="Century Gothic" w:cs="Tahoma"/>
                <w:b/>
                <w:bCs/>
                <w:color w:val="0000FF"/>
              </w:rPr>
              <w:t>Zeneris</w:t>
            </w:r>
            <w:proofErr w:type="spellEnd"/>
            <w:r w:rsidRPr="00BF2DA0">
              <w:rPr>
                <w:rFonts w:ascii="Century Gothic" w:hAnsi="Century Gothic" w:cs="Tahoma"/>
                <w:b/>
                <w:bCs/>
                <w:color w:val="0000FF"/>
              </w:rPr>
              <w:t xml:space="preserve"> Tech Sp. z o.o.</w:t>
            </w:r>
            <w:r>
              <w:rPr>
                <w:rFonts w:ascii="Century Gothic" w:hAnsi="Century Gothic" w:cs="Tahoma"/>
                <w:b/>
                <w:bCs/>
                <w:color w:val="0000FF"/>
              </w:rPr>
              <w:t xml:space="preserve"> („BZT”)</w:t>
            </w:r>
          </w:p>
        </w:tc>
      </w:tr>
    </w:tbl>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Siedziba Spółki: </w:t>
      </w:r>
      <w:r w:rsidRPr="00B11F51">
        <w:rPr>
          <w:rFonts w:ascii="Century Gothic" w:hAnsi="Century Gothic"/>
        </w:rPr>
        <w:tab/>
      </w:r>
      <w:r w:rsidR="00182211">
        <w:rPr>
          <w:rFonts w:ascii="Century Gothic" w:hAnsi="Century Gothic"/>
        </w:rPr>
        <w:tab/>
      </w:r>
      <w:r w:rsidRPr="00B11F51">
        <w:rPr>
          <w:rFonts w:ascii="Century Gothic" w:hAnsi="Century Gothic"/>
        </w:rPr>
        <w:t>ul. Paderewskiego 7, 61-770 Poznań</w:t>
      </w:r>
    </w:p>
    <w:p w:rsidR="00C66645" w:rsidRPr="00B11F51" w:rsidRDefault="00C66645" w:rsidP="00C66645">
      <w:pPr>
        <w:ind w:left="426"/>
        <w:jc w:val="both"/>
        <w:rPr>
          <w:rFonts w:ascii="Century Gothic" w:hAnsi="Century Gothic"/>
        </w:rPr>
      </w:pPr>
      <w:r w:rsidRPr="00B11F51">
        <w:rPr>
          <w:rFonts w:ascii="Century Gothic" w:hAnsi="Century Gothic"/>
        </w:rPr>
        <w:t>KRS:</w:t>
      </w:r>
      <w:r w:rsidRPr="00B11F51">
        <w:rPr>
          <w:rFonts w:ascii="Century Gothic" w:hAnsi="Century Gothic"/>
        </w:rPr>
        <w:tab/>
      </w:r>
      <w:r w:rsidRPr="00B11F51">
        <w:rPr>
          <w:rFonts w:ascii="Century Gothic" w:hAnsi="Century Gothic"/>
        </w:rPr>
        <w:tab/>
      </w:r>
      <w:r w:rsidRPr="00B11F51">
        <w:rPr>
          <w:rFonts w:ascii="Century Gothic" w:hAnsi="Century Gothic"/>
        </w:rPr>
        <w:tab/>
        <w:t>0000393421</w:t>
      </w:r>
    </w:p>
    <w:p w:rsidR="00C66645" w:rsidRPr="00B11F51" w:rsidRDefault="00C66645" w:rsidP="00C66645">
      <w:pPr>
        <w:ind w:left="426"/>
        <w:jc w:val="both"/>
        <w:rPr>
          <w:rFonts w:ascii="Century Gothic" w:hAnsi="Century Gothic"/>
        </w:rPr>
      </w:pPr>
      <w:r w:rsidRPr="00B11F51">
        <w:rPr>
          <w:rFonts w:ascii="Century Gothic" w:hAnsi="Century Gothic"/>
        </w:rPr>
        <w:t>Kapitał zakładowy:</w:t>
      </w:r>
      <w:r w:rsidRPr="00B11F51">
        <w:rPr>
          <w:rFonts w:ascii="Century Gothic" w:hAnsi="Century Gothic"/>
        </w:rPr>
        <w:tab/>
        <w:t xml:space="preserve">245 000 zł </w:t>
      </w:r>
    </w:p>
    <w:p w:rsidR="00C66645" w:rsidRPr="00B11F51" w:rsidRDefault="00C66645" w:rsidP="00C66645">
      <w:pPr>
        <w:ind w:left="426"/>
        <w:jc w:val="both"/>
        <w:rPr>
          <w:rFonts w:ascii="Century Gothic" w:hAnsi="Century Gothic"/>
        </w:rPr>
      </w:pPr>
      <w:r w:rsidRPr="00B11F51">
        <w:rPr>
          <w:rFonts w:ascii="Century Gothic" w:hAnsi="Century Gothic"/>
        </w:rPr>
        <w:t xml:space="preserve">Segment: </w:t>
      </w:r>
      <w:r w:rsidRPr="00B11F51">
        <w:rPr>
          <w:rFonts w:ascii="Century Gothic" w:hAnsi="Century Gothic"/>
        </w:rPr>
        <w:tab/>
      </w:r>
      <w:r w:rsidRPr="00B11F51">
        <w:rPr>
          <w:rFonts w:ascii="Century Gothic" w:hAnsi="Century Gothic"/>
        </w:rPr>
        <w:tab/>
      </w:r>
      <w:r w:rsidR="00182211">
        <w:rPr>
          <w:rFonts w:ascii="Century Gothic" w:hAnsi="Century Gothic"/>
        </w:rPr>
        <w:tab/>
      </w:r>
      <w:r w:rsidRPr="00B11F51">
        <w:rPr>
          <w:rFonts w:ascii="Century Gothic" w:hAnsi="Century Gothic"/>
        </w:rPr>
        <w:t xml:space="preserve">Energia z biogazu </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Podstawowy przedmiot działalności: </w:t>
      </w:r>
    </w:p>
    <w:p w:rsidR="00C66645" w:rsidRPr="00B11F51" w:rsidRDefault="00C66645" w:rsidP="00C66645">
      <w:pPr>
        <w:ind w:left="426" w:hanging="705"/>
        <w:jc w:val="both"/>
        <w:rPr>
          <w:rFonts w:ascii="Century Gothic" w:hAnsi="Century Gothic"/>
        </w:rPr>
      </w:pPr>
      <w:r w:rsidRPr="00B11F51">
        <w:rPr>
          <w:rFonts w:ascii="Century Gothic" w:hAnsi="Century Gothic"/>
        </w:rPr>
        <w:t>-</w:t>
      </w:r>
      <w:r w:rsidRPr="00B11F51">
        <w:rPr>
          <w:rFonts w:ascii="Century Gothic" w:hAnsi="Century Gothic"/>
        </w:rPr>
        <w:tab/>
        <w:t>Roboty budowlane związane ze wznoszeniem budynków mieszkalnych i niemieszkalnych</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Roboty związane z budową pozostałych obiektów inżynierii lądowej i wodnej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 xml:space="preserve">Realizacja projektów budowlanych związanych ze wznoszeniem budynków </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W 2013 r. w spółce nastąpiły istotne zmiany osobowe, w tym zmiana zarządu. Prezesem Zarządu został przejściowo Roman Trębacz, który w dniu 29 października 2013 r.  złożył rezygnację z pełnionej funkcji i obecnie sprawy Spółki tymczasowo prowadzone są przez dwoje prokurentów.</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Spółka, po rezygnacji z działalności polegającej na pełnieniu roli generalnego wykonawcy i udziału w projektach budowy biogazowi, skoncentrowała się na rozwoju sektora usług doradczych i modernizacyjnych dla istniejących biogazowi. </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W chwili obecnej Spółka znajduje się w bardzo złej kondycji finansowej, która przejawia się między innymi wysokimi – jak na obecną skalę działania – zobowiązaniami i stratą na działalności statutowej.</w:t>
      </w:r>
    </w:p>
    <w:p w:rsidR="00C66645" w:rsidRPr="00B11F51" w:rsidRDefault="00C66645" w:rsidP="00C66645">
      <w:pPr>
        <w:ind w:left="426"/>
        <w:jc w:val="both"/>
        <w:rPr>
          <w:rFonts w:ascii="Century Gothic" w:hAnsi="Century Gothic"/>
        </w:rPr>
      </w:pPr>
      <w:r w:rsidRPr="00B11F51">
        <w:rPr>
          <w:rFonts w:ascii="Century Gothic" w:hAnsi="Century Gothic"/>
        </w:rPr>
        <w:t xml:space="preserve">Za </w:t>
      </w:r>
      <w:r>
        <w:rPr>
          <w:rFonts w:ascii="Century Gothic" w:hAnsi="Century Gothic"/>
        </w:rPr>
        <w:t xml:space="preserve">pierwszy kwartał 2014 r. </w:t>
      </w:r>
      <w:r w:rsidRPr="00B11F51">
        <w:rPr>
          <w:rFonts w:ascii="Century Gothic" w:hAnsi="Century Gothic"/>
        </w:rPr>
        <w:t xml:space="preserve"> Spółka odnotowała:</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 xml:space="preserve">sprzedaż na poziomie </w:t>
      </w:r>
      <w:r>
        <w:rPr>
          <w:rFonts w:ascii="Century Gothic" w:hAnsi="Century Gothic"/>
        </w:rPr>
        <w:t>5,3</w:t>
      </w:r>
      <w:r w:rsidRPr="00B11F51">
        <w:rPr>
          <w:rFonts w:ascii="Century Gothic" w:hAnsi="Century Gothic"/>
        </w:rPr>
        <w:t xml:space="preserve"> tys. zł</w:t>
      </w: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t>stratę</w:t>
      </w:r>
      <w:r w:rsidRPr="00B11F51">
        <w:rPr>
          <w:rFonts w:ascii="Century Gothic" w:hAnsi="Century Gothic"/>
        </w:rPr>
        <w:t xml:space="preserve"> ne</w:t>
      </w:r>
      <w:r>
        <w:rPr>
          <w:rFonts w:ascii="Century Gothic" w:hAnsi="Century Gothic"/>
        </w:rPr>
        <w:t xml:space="preserve">tto w kwocie </w:t>
      </w:r>
      <w:r w:rsidRPr="00954C13">
        <w:rPr>
          <w:rFonts w:ascii="Century Gothic" w:hAnsi="Century Gothic"/>
        </w:rPr>
        <w:t xml:space="preserve"> </w:t>
      </w:r>
      <w:r>
        <w:rPr>
          <w:rFonts w:ascii="Century Gothic" w:hAnsi="Century Gothic"/>
        </w:rPr>
        <w:t xml:space="preserve">88,8 </w:t>
      </w:r>
      <w:r w:rsidRPr="00B11F51">
        <w:rPr>
          <w:rFonts w:ascii="Century Gothic" w:hAnsi="Century Gothic"/>
        </w:rPr>
        <w:t>tys. zł</w:t>
      </w:r>
      <w:r>
        <w:rPr>
          <w:rFonts w:ascii="Century Gothic" w:hAnsi="Century Gothic"/>
        </w:rPr>
        <w:t xml:space="preserve"> wg standardów PSR i 56,0 tys. zł wg standardów MSSF.</w:t>
      </w:r>
    </w:p>
    <w:p w:rsidR="00C66645"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Główne przyczyny słabej kondycji ekonomicznej Spółki to: </w:t>
      </w:r>
    </w:p>
    <w:p w:rsidR="00C66645" w:rsidRPr="00B11F51" w:rsidRDefault="00C66645" w:rsidP="00C66645">
      <w:pPr>
        <w:ind w:left="708" w:hanging="282"/>
        <w:jc w:val="both"/>
        <w:rPr>
          <w:rFonts w:ascii="Century Gothic" w:hAnsi="Century Gothic"/>
        </w:rPr>
      </w:pPr>
      <w:r w:rsidRPr="00B11F51">
        <w:rPr>
          <w:rFonts w:ascii="Century Gothic" w:hAnsi="Century Gothic"/>
        </w:rPr>
        <w:t>-</w:t>
      </w:r>
      <w:r w:rsidRPr="00B11F51">
        <w:rPr>
          <w:rFonts w:ascii="Century Gothic" w:hAnsi="Century Gothic"/>
        </w:rPr>
        <w:tab/>
        <w:t>konieczność pokrywania strat z tytułu niekorzystnie zawartych i źle realizowanych kontraktów w roku 2012, z których Spółka nie tylko nie odzyskała swoich należności, ale narażona została na roszczenia z tytułu kar umownych,</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zbyt wolne tempo pozyskiwania przychodów w nowym modelu biznesowym.</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Dokonana ocena kondycji ekonomicznej Spółki przez jej Zarząd, a także Zarząd </w:t>
      </w:r>
      <w:proofErr w:type="spellStart"/>
      <w:r w:rsidRPr="00B11F51">
        <w:rPr>
          <w:rFonts w:ascii="Century Gothic" w:hAnsi="Century Gothic"/>
        </w:rPr>
        <w:t>Skystone</w:t>
      </w:r>
      <w:proofErr w:type="spellEnd"/>
      <w:r w:rsidRPr="00B11F51">
        <w:rPr>
          <w:rFonts w:ascii="Century Gothic" w:hAnsi="Century Gothic"/>
        </w:rPr>
        <w:t xml:space="preserve"> Capital S.A. wskazała na konieczność przeprowadzenia głębokiej restrukturyzacji Spółki w obszarze kosztów jej funkcjonowania oraz redukcji poziomu zadłużenia.</w:t>
      </w:r>
    </w:p>
    <w:p w:rsidR="00C66645" w:rsidRPr="00B11F51" w:rsidRDefault="00C66645" w:rsidP="00C66645">
      <w:pPr>
        <w:ind w:left="426"/>
        <w:jc w:val="both"/>
        <w:rPr>
          <w:rFonts w:ascii="Century Gothic" w:hAnsi="Century Gothic"/>
        </w:rPr>
      </w:pPr>
      <w:r w:rsidRPr="00B11F51">
        <w:rPr>
          <w:rFonts w:ascii="Century Gothic" w:hAnsi="Century Gothic"/>
        </w:rPr>
        <w:t>W związku z powyższym:</w:t>
      </w:r>
    </w:p>
    <w:p w:rsidR="00C66645" w:rsidRPr="00B11F51" w:rsidRDefault="00C66645" w:rsidP="00C66645">
      <w:pPr>
        <w:ind w:left="708" w:hanging="282"/>
        <w:jc w:val="both"/>
        <w:rPr>
          <w:rFonts w:ascii="Century Gothic" w:hAnsi="Century Gothic"/>
        </w:rPr>
      </w:pPr>
      <w:r w:rsidRPr="00B11F51">
        <w:rPr>
          <w:rFonts w:ascii="Century Gothic" w:hAnsi="Century Gothic"/>
        </w:rPr>
        <w:t>-</w:t>
      </w:r>
      <w:r w:rsidRPr="00B11F51">
        <w:rPr>
          <w:rFonts w:ascii="Century Gothic" w:hAnsi="Century Gothic"/>
        </w:rPr>
        <w:tab/>
        <w:t xml:space="preserve"> </w:t>
      </w:r>
      <w:proofErr w:type="spellStart"/>
      <w:r w:rsidRPr="00B11F51">
        <w:rPr>
          <w:rFonts w:ascii="Century Gothic" w:hAnsi="Century Gothic"/>
        </w:rPr>
        <w:t>Skystone</w:t>
      </w:r>
      <w:proofErr w:type="spellEnd"/>
      <w:r w:rsidRPr="00B11F51">
        <w:rPr>
          <w:rFonts w:ascii="Century Gothic" w:hAnsi="Century Gothic"/>
        </w:rPr>
        <w:t xml:space="preserve"> Capital S.A. dokonał na dzień </w:t>
      </w:r>
      <w:smartTag w:uri="urn:schemas-microsoft-com:office:smarttags" w:element="date">
        <w:smartTagPr>
          <w:attr w:name="Year" w:val="2013"/>
          <w:attr w:name="Day" w:val="30"/>
          <w:attr w:name="Month" w:val="6"/>
          <w:attr w:name="ls" w:val="trans"/>
        </w:smartTagPr>
        <w:r w:rsidRPr="00B11F51">
          <w:rPr>
            <w:rFonts w:ascii="Century Gothic" w:hAnsi="Century Gothic"/>
          </w:rPr>
          <w:t>30 czerwca 2013 r.</w:t>
        </w:r>
      </w:smartTag>
      <w:r w:rsidRPr="00B11F51">
        <w:rPr>
          <w:rFonts w:ascii="Century Gothic" w:hAnsi="Century Gothic"/>
        </w:rPr>
        <w:t xml:space="preserve"> odpisu aktualizacyjnego - w ciężar kosztów - należności z tytułu wykorzystania przez BZT kaucji zabezpieczającej gwarancję bankową udzieloną wcześniej dla Biogaz </w:t>
      </w:r>
      <w:proofErr w:type="spellStart"/>
      <w:r w:rsidRPr="00B11F51">
        <w:rPr>
          <w:rFonts w:ascii="Century Gothic" w:hAnsi="Century Gothic"/>
        </w:rPr>
        <w:t>Zeneris</w:t>
      </w:r>
      <w:proofErr w:type="spellEnd"/>
      <w:r w:rsidRPr="00B11F51">
        <w:rPr>
          <w:rFonts w:ascii="Century Gothic" w:hAnsi="Century Gothic"/>
        </w:rPr>
        <w:t xml:space="preserve"> Sp. z o.o., a przeniesioną później na Biogaz </w:t>
      </w:r>
      <w:proofErr w:type="spellStart"/>
      <w:r w:rsidRPr="00B11F51">
        <w:rPr>
          <w:rFonts w:ascii="Century Gothic" w:hAnsi="Century Gothic"/>
        </w:rPr>
        <w:t>Zeneris</w:t>
      </w:r>
      <w:proofErr w:type="spellEnd"/>
      <w:r w:rsidRPr="00B11F51">
        <w:rPr>
          <w:rFonts w:ascii="Century Gothic" w:hAnsi="Century Gothic"/>
        </w:rPr>
        <w:t xml:space="preserve"> Tech Sp. z o.o.  w kwocie: 601,3 tys. zł. </w:t>
      </w:r>
    </w:p>
    <w:p w:rsidR="00C66645" w:rsidRPr="00B11F51" w:rsidRDefault="00C66645" w:rsidP="00C66645">
      <w:pPr>
        <w:ind w:left="708" w:hanging="282"/>
        <w:jc w:val="both"/>
        <w:rPr>
          <w:rFonts w:ascii="Century Gothic" w:hAnsi="Century Gothic"/>
        </w:rPr>
      </w:pPr>
      <w:r>
        <w:rPr>
          <w:rFonts w:ascii="Century Gothic" w:hAnsi="Century Gothic"/>
        </w:rPr>
        <w:t xml:space="preserve">- </w:t>
      </w:r>
      <w:r>
        <w:rPr>
          <w:rFonts w:ascii="Century Gothic" w:hAnsi="Century Gothic"/>
        </w:rPr>
        <w:tab/>
      </w:r>
      <w:proofErr w:type="spellStart"/>
      <w:r w:rsidRPr="00B11F51">
        <w:rPr>
          <w:rFonts w:ascii="Century Gothic" w:hAnsi="Century Gothic"/>
        </w:rPr>
        <w:t>Skystone</w:t>
      </w:r>
      <w:proofErr w:type="spellEnd"/>
      <w:r w:rsidRPr="00B11F51">
        <w:rPr>
          <w:rFonts w:ascii="Century Gothic" w:hAnsi="Century Gothic"/>
        </w:rPr>
        <w:t xml:space="preserve"> Capital S.A. dokonał w sierpniu 2013 r. umorzenia powyżej opisanej należności.</w:t>
      </w:r>
    </w:p>
    <w:p w:rsidR="00C66645" w:rsidRPr="00B11F51" w:rsidRDefault="00C66645" w:rsidP="00C66645">
      <w:pPr>
        <w:ind w:left="708" w:hanging="282"/>
        <w:jc w:val="both"/>
        <w:rPr>
          <w:rFonts w:ascii="Century Gothic" w:hAnsi="Century Gothic"/>
        </w:rPr>
      </w:pPr>
      <w:r>
        <w:rPr>
          <w:rFonts w:ascii="Century Gothic" w:hAnsi="Century Gothic"/>
        </w:rPr>
        <w:t>-</w:t>
      </w:r>
      <w:r>
        <w:rPr>
          <w:rFonts w:ascii="Century Gothic" w:hAnsi="Century Gothic"/>
        </w:rPr>
        <w:tab/>
      </w:r>
      <w:proofErr w:type="spellStart"/>
      <w:r w:rsidRPr="00B11F51">
        <w:rPr>
          <w:rFonts w:ascii="Century Gothic" w:hAnsi="Century Gothic"/>
        </w:rPr>
        <w:t>Skystone</w:t>
      </w:r>
      <w:proofErr w:type="spellEnd"/>
      <w:r w:rsidRPr="00B11F51">
        <w:rPr>
          <w:rFonts w:ascii="Century Gothic" w:hAnsi="Century Gothic"/>
        </w:rPr>
        <w:t xml:space="preserve"> Capital S.A. dokonał konwersji pożyczki udzielonej BZT w kwocie 645,0 tys. zł wraz z niespłaconymi odsetkami, na kapitały własne BZT.</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Spółka posiada ponadto nierozstrzygnięte spory z kontrahentem, na którego rzecz realizowała (jeszcze jako Biogaz </w:t>
      </w:r>
      <w:proofErr w:type="spellStart"/>
      <w:r w:rsidRPr="00B11F51">
        <w:rPr>
          <w:rFonts w:ascii="Century Gothic" w:hAnsi="Century Gothic"/>
        </w:rPr>
        <w:t>Zeneris</w:t>
      </w:r>
      <w:proofErr w:type="spellEnd"/>
      <w:r w:rsidRPr="00B11F51">
        <w:rPr>
          <w:rFonts w:ascii="Century Gothic" w:hAnsi="Century Gothic"/>
        </w:rPr>
        <w:t xml:space="preserve"> Sp. z o.o.) budowę </w:t>
      </w:r>
      <w:proofErr w:type="spellStart"/>
      <w:r w:rsidRPr="00B11F51">
        <w:rPr>
          <w:rFonts w:ascii="Century Gothic" w:hAnsi="Century Gothic"/>
        </w:rPr>
        <w:t>biogazowni</w:t>
      </w:r>
      <w:proofErr w:type="spellEnd"/>
      <w:r w:rsidRPr="00B11F51">
        <w:rPr>
          <w:rFonts w:ascii="Century Gothic" w:hAnsi="Century Gothic"/>
        </w:rPr>
        <w:t xml:space="preserve"> w Boleszynie, które mogą, przy negatywnych rozstrzygnięciach, dodatkowo obciążyć wyniki Spółki.</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W opinii Zarządu </w:t>
      </w:r>
      <w:proofErr w:type="spellStart"/>
      <w:r w:rsidRPr="00B11F51">
        <w:rPr>
          <w:rFonts w:ascii="Century Gothic" w:hAnsi="Century Gothic"/>
        </w:rPr>
        <w:t>Skystone</w:t>
      </w:r>
      <w:proofErr w:type="spellEnd"/>
      <w:r w:rsidRPr="00B11F51">
        <w:rPr>
          <w:rFonts w:ascii="Century Gothic" w:hAnsi="Century Gothic"/>
        </w:rPr>
        <w:t xml:space="preserve">, kontynuacja działalności Biogaz </w:t>
      </w:r>
      <w:proofErr w:type="spellStart"/>
      <w:r w:rsidRPr="00B11F51">
        <w:rPr>
          <w:rFonts w:ascii="Century Gothic" w:hAnsi="Century Gothic"/>
        </w:rPr>
        <w:t>Zeneris</w:t>
      </w:r>
      <w:proofErr w:type="spellEnd"/>
      <w:r w:rsidRPr="00B11F51">
        <w:rPr>
          <w:rFonts w:ascii="Century Gothic" w:hAnsi="Century Gothic"/>
        </w:rPr>
        <w:t xml:space="preserve"> Tech bez jej jak najszybszego dokapitalizowania nie jest możliwa.</w:t>
      </w:r>
    </w:p>
    <w:p w:rsidR="00C66645" w:rsidRDefault="00C66645" w:rsidP="00C66645"/>
    <w:p w:rsidR="00C66645" w:rsidRDefault="00C66645" w:rsidP="00C66645">
      <w:pPr>
        <w:ind w:left="426"/>
        <w:jc w:val="both"/>
        <w:rPr>
          <w:rFonts w:ascii="Century Gothic" w:hAnsi="Century Gothic" w:cs="Tahoma"/>
        </w:rPr>
      </w:pPr>
    </w:p>
    <w:tbl>
      <w:tblPr>
        <w:tblW w:w="99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0"/>
      </w:tblGrid>
      <w:tr w:rsidR="00C66645" w:rsidRPr="00BF2DA0" w:rsidTr="00B11893">
        <w:tc>
          <w:tcPr>
            <w:tcW w:w="9920" w:type="dxa"/>
            <w:tcBorders>
              <w:top w:val="nil"/>
              <w:left w:val="nil"/>
              <w:right w:val="nil"/>
            </w:tcBorders>
          </w:tcPr>
          <w:p w:rsidR="00C66645" w:rsidRPr="00BF2DA0" w:rsidRDefault="00C66645" w:rsidP="00B11893">
            <w:pPr>
              <w:ind w:left="459"/>
              <w:rPr>
                <w:rFonts w:ascii="Century Gothic" w:hAnsi="Century Gothic" w:cs="Tahoma"/>
                <w:b/>
                <w:bCs/>
                <w:color w:val="0000FF"/>
              </w:rPr>
            </w:pPr>
            <w:proofErr w:type="spellStart"/>
            <w:r w:rsidRPr="00BF2DA0">
              <w:rPr>
                <w:rFonts w:ascii="Century Gothic" w:hAnsi="Century Gothic" w:cs="Tahoma"/>
                <w:b/>
                <w:bCs/>
                <w:color w:val="0000FF"/>
              </w:rPr>
              <w:t>Biogazownia</w:t>
            </w:r>
            <w:proofErr w:type="spellEnd"/>
            <w:r w:rsidRPr="00BF2DA0">
              <w:rPr>
                <w:rFonts w:ascii="Century Gothic" w:hAnsi="Century Gothic" w:cs="Tahoma"/>
                <w:b/>
                <w:bCs/>
                <w:color w:val="0000FF"/>
              </w:rPr>
              <w:t xml:space="preserve"> Bielany Sp. z o.o.</w:t>
            </w:r>
          </w:p>
        </w:tc>
      </w:tr>
    </w:tbl>
    <w:p w:rsidR="00C66645" w:rsidRPr="00BF2DA0" w:rsidRDefault="00C66645" w:rsidP="00C66645">
      <w:pPr>
        <w:ind w:left="426"/>
        <w:jc w:val="both"/>
        <w:rPr>
          <w:rFonts w:ascii="Century Gothic" w:hAnsi="Century Gothic" w:cs="Tahoma"/>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Siedziba Spółki: </w:t>
      </w:r>
      <w:r w:rsidRPr="00B11F51">
        <w:rPr>
          <w:rFonts w:ascii="Century Gothic" w:hAnsi="Century Gothic"/>
        </w:rPr>
        <w:tab/>
      </w:r>
      <w:r w:rsidR="00182211">
        <w:rPr>
          <w:rFonts w:ascii="Century Gothic" w:hAnsi="Century Gothic"/>
        </w:rPr>
        <w:tab/>
      </w:r>
      <w:r w:rsidRPr="00B11F51">
        <w:rPr>
          <w:rFonts w:ascii="Century Gothic" w:hAnsi="Century Gothic"/>
        </w:rPr>
        <w:t>Bielany, 05-620 Błędów (woj. mazowieckie)</w:t>
      </w:r>
    </w:p>
    <w:p w:rsidR="00C66645" w:rsidRPr="00B11F51" w:rsidRDefault="00C66645" w:rsidP="00C66645">
      <w:pPr>
        <w:ind w:left="426"/>
        <w:jc w:val="both"/>
        <w:rPr>
          <w:rFonts w:ascii="Century Gothic" w:hAnsi="Century Gothic"/>
        </w:rPr>
      </w:pPr>
      <w:r w:rsidRPr="00B11F51">
        <w:rPr>
          <w:rFonts w:ascii="Century Gothic" w:hAnsi="Century Gothic"/>
        </w:rPr>
        <w:t>KRS:</w:t>
      </w:r>
      <w:r w:rsidRPr="00B11F51">
        <w:rPr>
          <w:rFonts w:ascii="Century Gothic" w:hAnsi="Century Gothic"/>
        </w:rPr>
        <w:tab/>
      </w:r>
      <w:r w:rsidRPr="00B11F51">
        <w:rPr>
          <w:rFonts w:ascii="Century Gothic" w:hAnsi="Century Gothic"/>
        </w:rPr>
        <w:tab/>
      </w:r>
      <w:r w:rsidRPr="00B11F51">
        <w:rPr>
          <w:rFonts w:ascii="Century Gothic" w:hAnsi="Century Gothic"/>
        </w:rPr>
        <w:tab/>
        <w:t>0000356760</w:t>
      </w:r>
    </w:p>
    <w:p w:rsidR="00C66645" w:rsidRPr="00B11F51" w:rsidRDefault="00C66645" w:rsidP="00C66645">
      <w:pPr>
        <w:ind w:left="426"/>
        <w:jc w:val="both"/>
        <w:rPr>
          <w:rFonts w:ascii="Century Gothic" w:hAnsi="Century Gothic"/>
        </w:rPr>
      </w:pPr>
      <w:r w:rsidRPr="00B11F51">
        <w:rPr>
          <w:rFonts w:ascii="Century Gothic" w:hAnsi="Century Gothic"/>
        </w:rPr>
        <w:t>Kapitał zakładowy:</w:t>
      </w:r>
      <w:r w:rsidRPr="00B11F51">
        <w:rPr>
          <w:rFonts w:ascii="Century Gothic" w:hAnsi="Century Gothic"/>
        </w:rPr>
        <w:tab/>
        <w:t>20 000 zł</w:t>
      </w:r>
    </w:p>
    <w:p w:rsidR="00C66645" w:rsidRPr="00B11F51" w:rsidRDefault="00C66645" w:rsidP="00C66645">
      <w:pPr>
        <w:ind w:left="426"/>
        <w:jc w:val="both"/>
        <w:rPr>
          <w:rFonts w:ascii="Century Gothic" w:hAnsi="Century Gothic"/>
        </w:rPr>
      </w:pPr>
      <w:r w:rsidRPr="00B11F51">
        <w:rPr>
          <w:rFonts w:ascii="Century Gothic" w:hAnsi="Century Gothic"/>
        </w:rPr>
        <w:t xml:space="preserve">Segment: </w:t>
      </w:r>
      <w:r w:rsidRPr="00B11F51">
        <w:rPr>
          <w:rFonts w:ascii="Century Gothic" w:hAnsi="Century Gothic"/>
        </w:rPr>
        <w:tab/>
      </w:r>
      <w:r w:rsidRPr="00B11F51">
        <w:rPr>
          <w:rFonts w:ascii="Century Gothic" w:hAnsi="Century Gothic"/>
        </w:rPr>
        <w:tab/>
      </w:r>
      <w:r w:rsidR="00182211">
        <w:rPr>
          <w:rFonts w:ascii="Century Gothic" w:hAnsi="Century Gothic"/>
        </w:rPr>
        <w:tab/>
      </w:r>
      <w:r w:rsidRPr="00B11F51">
        <w:rPr>
          <w:rFonts w:ascii="Century Gothic" w:hAnsi="Century Gothic"/>
        </w:rPr>
        <w:t>Energia z biogazu</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proofErr w:type="spellStart"/>
      <w:r w:rsidRPr="00B11F51">
        <w:rPr>
          <w:rFonts w:ascii="Century Gothic" w:hAnsi="Century Gothic"/>
        </w:rPr>
        <w:t>Biogazownia</w:t>
      </w:r>
      <w:proofErr w:type="spellEnd"/>
      <w:r w:rsidRPr="00B11F51">
        <w:rPr>
          <w:rFonts w:ascii="Century Gothic" w:hAnsi="Century Gothic"/>
        </w:rPr>
        <w:t xml:space="preserve"> Bielany Sp. z o.o. powstała </w:t>
      </w:r>
      <w:smartTag w:uri="urn:schemas-microsoft-com:office:smarttags" w:element="date">
        <w:smartTagPr>
          <w:attr w:name="Year" w:val="2011"/>
          <w:attr w:name="Day" w:val="17"/>
          <w:attr w:name="Month" w:val="2"/>
          <w:attr w:name="ls" w:val="trans"/>
        </w:smartTagPr>
        <w:r w:rsidRPr="00B11F51">
          <w:rPr>
            <w:rFonts w:ascii="Century Gothic" w:hAnsi="Century Gothic"/>
          </w:rPr>
          <w:t>17 lutego 2011 r.</w:t>
        </w:r>
      </w:smartTag>
      <w:r w:rsidRPr="00B11F51">
        <w:rPr>
          <w:rFonts w:ascii="Century Gothic" w:hAnsi="Century Gothic"/>
        </w:rPr>
        <w:t xml:space="preserve"> </w:t>
      </w:r>
      <w:proofErr w:type="spellStart"/>
      <w:r w:rsidRPr="00B11F51">
        <w:rPr>
          <w:rFonts w:ascii="Century Gothic" w:hAnsi="Century Gothic"/>
        </w:rPr>
        <w:t>Skystone</w:t>
      </w:r>
      <w:proofErr w:type="spellEnd"/>
      <w:r w:rsidRPr="00B11F51">
        <w:rPr>
          <w:rFonts w:ascii="Century Gothic" w:hAnsi="Century Gothic"/>
        </w:rPr>
        <w:t xml:space="preserve"> Capital S.A. posiada w spółce 70% udziałów w kapitale zakładowym i 70% udziałów w głosach na zgromadzeniu wspólników. </w:t>
      </w:r>
    </w:p>
    <w:p w:rsidR="00C66645" w:rsidRPr="00B11F51" w:rsidRDefault="00C66645" w:rsidP="00C66645">
      <w:pPr>
        <w:ind w:left="426"/>
        <w:jc w:val="both"/>
        <w:rPr>
          <w:rFonts w:ascii="Century Gothic" w:hAnsi="Century Gothic"/>
        </w:rPr>
      </w:pPr>
      <w:r w:rsidRPr="00B11F51">
        <w:rPr>
          <w:rFonts w:ascii="Century Gothic" w:hAnsi="Century Gothic"/>
        </w:rPr>
        <w:t>Podstawowy przedmiot działalności:</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roboty związane z budową pozostałych obiektów inżynierii lądowej i wodnej;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wytwarzanie energii elektrycznej;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działalność w zakresie inżynierii i związane z nią doradztwo techniczne.</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Celem założenia spółki była budowa </w:t>
      </w:r>
      <w:proofErr w:type="spellStart"/>
      <w:r w:rsidRPr="00B11F51">
        <w:rPr>
          <w:rFonts w:ascii="Century Gothic" w:hAnsi="Century Gothic"/>
        </w:rPr>
        <w:t>biogazowni</w:t>
      </w:r>
      <w:proofErr w:type="spellEnd"/>
      <w:r w:rsidRPr="00B11F51">
        <w:rPr>
          <w:rFonts w:ascii="Century Gothic" w:hAnsi="Century Gothic"/>
        </w:rPr>
        <w:t xml:space="preserve"> o mocy do 1,5 MW. Projekt jest obecnie na etapie uzyskiwania decyzji środowiskowej, jednakże napotkał i napotyka szereg barier natury obiektywnej, wstrzymujących jego finalizację.</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Po wnikliwej ocenie perspektyw działania Spółki  przez obecny Zarząd </w:t>
      </w:r>
      <w:proofErr w:type="spellStart"/>
      <w:r w:rsidRPr="00B11F51">
        <w:rPr>
          <w:rFonts w:ascii="Century Gothic" w:hAnsi="Century Gothic"/>
        </w:rPr>
        <w:t>Skystone</w:t>
      </w:r>
      <w:proofErr w:type="spellEnd"/>
      <w:r w:rsidRPr="00B11F51">
        <w:rPr>
          <w:rFonts w:ascii="Century Gothic" w:hAnsi="Century Gothic"/>
        </w:rPr>
        <w:t xml:space="preserve"> Capital, przy uwzględnieniu szeroko rozumianych ograniczeń natury administracyjnej oraz rynkowej, </w:t>
      </w:r>
      <w:proofErr w:type="spellStart"/>
      <w:r w:rsidRPr="00B11F51">
        <w:rPr>
          <w:rFonts w:ascii="Century Gothic" w:hAnsi="Century Gothic"/>
        </w:rPr>
        <w:t>Skystone</w:t>
      </w:r>
      <w:proofErr w:type="spellEnd"/>
      <w:r w:rsidRPr="00B11F51">
        <w:rPr>
          <w:rFonts w:ascii="Century Gothic" w:hAnsi="Century Gothic"/>
        </w:rPr>
        <w:t xml:space="preserve"> Capital dokonała w swoich księgach odpisów aktualizacyjnych na kwotę: 64,1 tys. zł na nakłady poniesione na </w:t>
      </w:r>
      <w:proofErr w:type="spellStart"/>
      <w:r w:rsidRPr="00B11F51">
        <w:rPr>
          <w:rFonts w:ascii="Century Gothic" w:hAnsi="Century Gothic"/>
        </w:rPr>
        <w:t>Biogazownię</w:t>
      </w:r>
      <w:proofErr w:type="spellEnd"/>
      <w:r w:rsidRPr="00B11F51">
        <w:rPr>
          <w:rFonts w:ascii="Century Gothic" w:hAnsi="Century Gothic"/>
        </w:rPr>
        <w:t xml:space="preserve"> Bielany i </w:t>
      </w:r>
      <w:r>
        <w:rPr>
          <w:rFonts w:ascii="Century Gothic" w:hAnsi="Century Gothic"/>
        </w:rPr>
        <w:t>podjął</w:t>
      </w:r>
      <w:r w:rsidRPr="00B11F51">
        <w:rPr>
          <w:rFonts w:ascii="Century Gothic" w:hAnsi="Century Gothic"/>
        </w:rPr>
        <w:t xml:space="preserve"> działania zmierzające do sprzedaży lub likwidacji tego przedsiębiorstwa.</w:t>
      </w:r>
    </w:p>
    <w:p w:rsidR="00C66645" w:rsidRPr="00B11F51" w:rsidRDefault="00C66645" w:rsidP="00C66645">
      <w:pPr>
        <w:ind w:left="426"/>
        <w:jc w:val="both"/>
        <w:rPr>
          <w:rFonts w:ascii="Century Gothic" w:hAnsi="Century Gothic"/>
        </w:rPr>
      </w:pPr>
    </w:p>
    <w:p w:rsidR="00C66645" w:rsidRDefault="00C66645" w:rsidP="00C66645">
      <w:pPr>
        <w:ind w:left="426"/>
        <w:jc w:val="both"/>
        <w:rPr>
          <w:rFonts w:ascii="Century Gothic" w:hAnsi="Century Gothic" w:cs="Tahoma"/>
        </w:rPr>
      </w:pPr>
    </w:p>
    <w:tbl>
      <w:tblPr>
        <w:tblW w:w="99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0"/>
      </w:tblGrid>
      <w:tr w:rsidR="00C66645" w:rsidRPr="00BF2DA0" w:rsidTr="00B11893">
        <w:tc>
          <w:tcPr>
            <w:tcW w:w="9920" w:type="dxa"/>
            <w:tcBorders>
              <w:top w:val="nil"/>
              <w:left w:val="nil"/>
              <w:right w:val="nil"/>
            </w:tcBorders>
          </w:tcPr>
          <w:p w:rsidR="00C66645" w:rsidRPr="00BF2DA0" w:rsidRDefault="00C66645" w:rsidP="00B11893">
            <w:pPr>
              <w:ind w:left="426"/>
              <w:jc w:val="both"/>
              <w:rPr>
                <w:rFonts w:ascii="Century Gothic" w:hAnsi="Century Gothic" w:cs="Tahoma"/>
                <w:b/>
                <w:bCs/>
                <w:color w:val="0000FF"/>
              </w:rPr>
            </w:pPr>
            <w:proofErr w:type="spellStart"/>
            <w:r w:rsidRPr="00BF2DA0">
              <w:rPr>
                <w:rFonts w:ascii="Century Gothic" w:hAnsi="Century Gothic" w:cs="Tahoma"/>
                <w:b/>
                <w:bCs/>
                <w:color w:val="0000FF"/>
              </w:rPr>
              <w:t>Viatron</w:t>
            </w:r>
            <w:proofErr w:type="spellEnd"/>
            <w:r w:rsidRPr="00BF2DA0">
              <w:rPr>
                <w:rFonts w:ascii="Century Gothic" w:hAnsi="Century Gothic" w:cs="Tahoma"/>
                <w:b/>
                <w:bCs/>
                <w:color w:val="0000FF"/>
              </w:rPr>
              <w:t xml:space="preserve"> S.A.</w:t>
            </w:r>
          </w:p>
        </w:tc>
      </w:tr>
    </w:tbl>
    <w:p w:rsidR="00C66645" w:rsidRPr="00BF2DA0" w:rsidRDefault="00C66645" w:rsidP="00C66645">
      <w:pPr>
        <w:ind w:left="426"/>
        <w:jc w:val="both"/>
        <w:rPr>
          <w:rFonts w:ascii="Century Gothic" w:hAnsi="Century Gothic" w:cs="Tahoma"/>
          <w:b/>
          <w:bCs/>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Siedziba spółki: </w:t>
      </w:r>
      <w:r w:rsidRPr="00B11F51">
        <w:rPr>
          <w:rFonts w:ascii="Century Gothic" w:hAnsi="Century Gothic"/>
        </w:rPr>
        <w:tab/>
      </w:r>
      <w:r w:rsidR="00182211">
        <w:rPr>
          <w:rFonts w:ascii="Century Gothic" w:hAnsi="Century Gothic"/>
        </w:rPr>
        <w:tab/>
      </w:r>
      <w:r w:rsidRPr="00B11F51">
        <w:rPr>
          <w:rFonts w:ascii="Century Gothic" w:hAnsi="Century Gothic"/>
        </w:rPr>
        <w:t>Pl. Kaszubski 8/201, 81-350 Gdynia</w:t>
      </w:r>
    </w:p>
    <w:p w:rsidR="00C60139" w:rsidRPr="00B11F51" w:rsidRDefault="00C60139" w:rsidP="00C60139">
      <w:pPr>
        <w:ind w:left="426"/>
        <w:jc w:val="both"/>
        <w:rPr>
          <w:rFonts w:ascii="Century Gothic" w:hAnsi="Century Gothic"/>
        </w:rPr>
      </w:pPr>
      <w:r w:rsidRPr="00B11F51">
        <w:rPr>
          <w:rFonts w:ascii="Century Gothic" w:hAnsi="Century Gothic"/>
        </w:rPr>
        <w:t>KRS:</w:t>
      </w:r>
      <w:r w:rsidRPr="00B11F51">
        <w:rPr>
          <w:rFonts w:ascii="Century Gothic" w:hAnsi="Century Gothic"/>
        </w:rPr>
        <w:tab/>
      </w:r>
      <w:r w:rsidRPr="00B11F51">
        <w:rPr>
          <w:rFonts w:ascii="Century Gothic" w:hAnsi="Century Gothic"/>
        </w:rPr>
        <w:tab/>
      </w:r>
      <w:r w:rsidRPr="00B11F51">
        <w:rPr>
          <w:rFonts w:ascii="Century Gothic" w:hAnsi="Century Gothic"/>
        </w:rPr>
        <w:tab/>
        <w:t>0000400738</w:t>
      </w:r>
    </w:p>
    <w:p w:rsidR="00C60139" w:rsidRPr="00B11F51" w:rsidRDefault="00C60139" w:rsidP="00C60139">
      <w:pPr>
        <w:ind w:left="426"/>
        <w:jc w:val="both"/>
        <w:rPr>
          <w:rFonts w:ascii="Century Gothic" w:hAnsi="Century Gothic"/>
        </w:rPr>
      </w:pPr>
      <w:r w:rsidRPr="00B11F51">
        <w:rPr>
          <w:rFonts w:ascii="Century Gothic" w:hAnsi="Century Gothic"/>
        </w:rPr>
        <w:t>Kapitał podstawowy:</w:t>
      </w:r>
      <w:r w:rsidRPr="00B11F51">
        <w:rPr>
          <w:rFonts w:ascii="Century Gothic" w:hAnsi="Century Gothic"/>
        </w:rPr>
        <w:tab/>
        <w:t>1 116 185 zł</w:t>
      </w:r>
    </w:p>
    <w:p w:rsidR="00C60139" w:rsidRPr="00B11F51" w:rsidRDefault="00C60139" w:rsidP="00C60139">
      <w:pPr>
        <w:ind w:left="426"/>
        <w:jc w:val="both"/>
        <w:rPr>
          <w:rFonts w:ascii="Century Gothic" w:hAnsi="Century Gothic"/>
        </w:rPr>
      </w:pPr>
      <w:r w:rsidRPr="00B11F51">
        <w:rPr>
          <w:rFonts w:ascii="Century Gothic" w:hAnsi="Century Gothic"/>
        </w:rPr>
        <w:t xml:space="preserve">Segment: </w:t>
      </w:r>
      <w:r w:rsidRPr="00B11F51">
        <w:rPr>
          <w:rFonts w:ascii="Century Gothic" w:hAnsi="Century Gothic"/>
        </w:rPr>
        <w:tab/>
      </w:r>
      <w:r w:rsidRPr="00B11F51">
        <w:rPr>
          <w:rFonts w:ascii="Century Gothic" w:hAnsi="Century Gothic"/>
        </w:rPr>
        <w:tab/>
      </w:r>
      <w:r w:rsidR="00182211">
        <w:rPr>
          <w:rFonts w:ascii="Century Gothic" w:hAnsi="Century Gothic"/>
        </w:rPr>
        <w:tab/>
      </w:r>
      <w:r w:rsidRPr="00B11F51">
        <w:rPr>
          <w:rFonts w:ascii="Century Gothic" w:hAnsi="Century Gothic"/>
        </w:rPr>
        <w:t>Energia wiatrowa</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Podstawowy przedmiot działalności: </w:t>
      </w:r>
    </w:p>
    <w:p w:rsidR="00C60139" w:rsidRPr="00B11F51" w:rsidRDefault="00C60139" w:rsidP="00C60139">
      <w:pPr>
        <w:ind w:left="426"/>
        <w:jc w:val="both"/>
        <w:rPr>
          <w:rFonts w:ascii="Century Gothic" w:hAnsi="Century Gothic"/>
        </w:rPr>
      </w:pPr>
      <w:r w:rsidRPr="00B11F51">
        <w:rPr>
          <w:rFonts w:ascii="Century Gothic" w:hAnsi="Century Gothic"/>
        </w:rPr>
        <w:t>-</w:t>
      </w:r>
      <w:r w:rsidRPr="00B11F51">
        <w:rPr>
          <w:rFonts w:ascii="Century Gothic" w:hAnsi="Century Gothic"/>
        </w:rPr>
        <w:tab/>
        <w:t xml:space="preserve">Naprawa i konserwacja metalowych wyrobów gotowych; </w:t>
      </w:r>
    </w:p>
    <w:p w:rsidR="00C60139" w:rsidRPr="00B11F51" w:rsidRDefault="00C60139" w:rsidP="00C60139">
      <w:pPr>
        <w:ind w:left="426"/>
        <w:jc w:val="both"/>
        <w:rPr>
          <w:rFonts w:ascii="Century Gothic" w:hAnsi="Century Gothic"/>
        </w:rPr>
      </w:pPr>
      <w:r w:rsidRPr="00B11F51">
        <w:rPr>
          <w:rFonts w:ascii="Century Gothic" w:hAnsi="Century Gothic"/>
        </w:rPr>
        <w:t>-</w:t>
      </w:r>
      <w:r w:rsidRPr="00B11F51">
        <w:rPr>
          <w:rFonts w:ascii="Century Gothic" w:hAnsi="Century Gothic"/>
        </w:rPr>
        <w:tab/>
        <w:t xml:space="preserve">Naprawa i konserwacja maszyn; </w:t>
      </w:r>
    </w:p>
    <w:p w:rsidR="00C60139" w:rsidRPr="00B11F51" w:rsidRDefault="00C60139" w:rsidP="00C60139">
      <w:pPr>
        <w:ind w:left="426"/>
        <w:jc w:val="both"/>
        <w:rPr>
          <w:rFonts w:ascii="Century Gothic" w:hAnsi="Century Gothic"/>
        </w:rPr>
      </w:pPr>
      <w:r w:rsidRPr="00B11F51">
        <w:rPr>
          <w:rFonts w:ascii="Century Gothic" w:hAnsi="Century Gothic"/>
        </w:rPr>
        <w:t>-</w:t>
      </w:r>
      <w:r w:rsidRPr="00B11F51">
        <w:rPr>
          <w:rFonts w:ascii="Century Gothic" w:hAnsi="Century Gothic"/>
        </w:rPr>
        <w:tab/>
        <w:t>Naprawa i konserwacja urządzeń elektronicznych;</w:t>
      </w:r>
    </w:p>
    <w:p w:rsidR="00C60139" w:rsidRPr="00B11F51" w:rsidRDefault="00C60139" w:rsidP="00C60139">
      <w:pPr>
        <w:ind w:left="426"/>
        <w:jc w:val="both"/>
        <w:rPr>
          <w:rFonts w:ascii="Century Gothic" w:hAnsi="Century Gothic"/>
        </w:rPr>
      </w:pPr>
      <w:r w:rsidRPr="00B11F51">
        <w:rPr>
          <w:rFonts w:ascii="Century Gothic" w:hAnsi="Century Gothic"/>
        </w:rPr>
        <w:t>-</w:t>
      </w:r>
      <w:r w:rsidRPr="00B11F51">
        <w:rPr>
          <w:rFonts w:ascii="Century Gothic" w:hAnsi="Century Gothic"/>
        </w:rPr>
        <w:tab/>
        <w:t>Naprawa i konserwacja urządzeń elektrycznych;</w:t>
      </w:r>
    </w:p>
    <w:p w:rsidR="00C60139" w:rsidRPr="00B11F51" w:rsidRDefault="00C60139" w:rsidP="00C60139">
      <w:pPr>
        <w:ind w:left="426"/>
        <w:jc w:val="both"/>
        <w:rPr>
          <w:rFonts w:ascii="Century Gothic" w:hAnsi="Century Gothic"/>
        </w:rPr>
      </w:pPr>
      <w:r w:rsidRPr="00B11F51">
        <w:rPr>
          <w:rFonts w:ascii="Century Gothic" w:hAnsi="Century Gothic"/>
        </w:rPr>
        <w:t>-</w:t>
      </w:r>
      <w:r w:rsidRPr="00B11F51">
        <w:rPr>
          <w:rFonts w:ascii="Century Gothic" w:hAnsi="Century Gothic"/>
        </w:rPr>
        <w:tab/>
        <w:t>Instalowanie maszyn przemysłowych, sprzętu i wyposażenia.</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Na dzień 31 grudnia 2013 r. w posiadaniu </w:t>
      </w:r>
      <w:proofErr w:type="spellStart"/>
      <w:r w:rsidRPr="00B11F51">
        <w:rPr>
          <w:rFonts w:ascii="Century Gothic" w:hAnsi="Century Gothic"/>
        </w:rPr>
        <w:t>Skystone</w:t>
      </w:r>
      <w:proofErr w:type="spellEnd"/>
      <w:r w:rsidRPr="00B11F51">
        <w:rPr>
          <w:rFonts w:ascii="Century Gothic" w:hAnsi="Century Gothic"/>
        </w:rPr>
        <w:t xml:space="preserve"> Capital było 612 250 akcji </w:t>
      </w:r>
      <w:proofErr w:type="spellStart"/>
      <w:r w:rsidRPr="00B11F51">
        <w:rPr>
          <w:rFonts w:ascii="Century Gothic" w:hAnsi="Century Gothic"/>
        </w:rPr>
        <w:t>Viatron</w:t>
      </w:r>
      <w:proofErr w:type="spellEnd"/>
      <w:r w:rsidRPr="00B11F51">
        <w:rPr>
          <w:rFonts w:ascii="Century Gothic" w:hAnsi="Century Gothic"/>
        </w:rPr>
        <w:t xml:space="preserve"> S.A. stanowiących 54,85% procent wszystkich akcji VIATRON S.A. i dających prawo do 54,85% głosów </w:t>
      </w:r>
    </w:p>
    <w:p w:rsidR="00C60139" w:rsidRPr="00B11F51" w:rsidRDefault="00C60139" w:rsidP="00C60139">
      <w:pPr>
        <w:ind w:left="426"/>
        <w:jc w:val="both"/>
        <w:rPr>
          <w:rFonts w:ascii="Century Gothic" w:hAnsi="Century Gothic"/>
        </w:rPr>
      </w:pPr>
      <w:r w:rsidRPr="00B11F51">
        <w:rPr>
          <w:rFonts w:ascii="Century Gothic" w:hAnsi="Century Gothic"/>
        </w:rPr>
        <w:t>na Zgromadzeniu Akcjonariuszy.</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Od dnia 14 sierpnia 2013 r. akcje Spółki są notowane w Alternatywnym Systemie Obrotu </w:t>
      </w:r>
      <w:proofErr w:type="spellStart"/>
      <w:r w:rsidRPr="00B11F51">
        <w:rPr>
          <w:rFonts w:ascii="Century Gothic" w:hAnsi="Century Gothic"/>
        </w:rPr>
        <w:t>NewConnect</w:t>
      </w:r>
      <w:proofErr w:type="spellEnd"/>
      <w:r w:rsidRPr="00B11F51">
        <w:rPr>
          <w:rFonts w:ascii="Century Gothic" w:hAnsi="Century Gothic"/>
        </w:rPr>
        <w:t>, prowadzonym przez Giełdę Papierów Wartościowych w Warszawie SA.</w:t>
      </w:r>
    </w:p>
    <w:p w:rsidR="00C60139" w:rsidRPr="00B11F51" w:rsidRDefault="00C60139" w:rsidP="00C60139">
      <w:pPr>
        <w:ind w:left="426"/>
        <w:jc w:val="both"/>
        <w:rPr>
          <w:rFonts w:ascii="Century Gothic" w:hAnsi="Century Gothic"/>
        </w:rPr>
      </w:pPr>
      <w:r w:rsidRPr="00B11F51">
        <w:rPr>
          <w:rFonts w:ascii="Century Gothic" w:hAnsi="Century Gothic"/>
        </w:rPr>
        <w:t xml:space="preserve">W dniu </w:t>
      </w:r>
      <w:smartTag w:uri="urn:schemas-microsoft-com:office:smarttags" w:element="date">
        <w:smartTagPr>
          <w:attr w:name="Year" w:val="2013"/>
          <w:attr w:name="Day" w:val="11"/>
          <w:attr w:name="Month" w:val="1"/>
          <w:attr w:name="ls" w:val="trans"/>
        </w:smartTagPr>
        <w:r w:rsidRPr="00B11F51">
          <w:rPr>
            <w:rFonts w:ascii="Century Gothic" w:hAnsi="Century Gothic"/>
          </w:rPr>
          <w:t>11 stycznia 2013 r.</w:t>
        </w:r>
      </w:smartTag>
      <w:r w:rsidRPr="00B11F51">
        <w:rPr>
          <w:rFonts w:ascii="Century Gothic" w:hAnsi="Century Gothic"/>
        </w:rPr>
        <w:t xml:space="preserve"> </w:t>
      </w:r>
      <w:proofErr w:type="spellStart"/>
      <w:r w:rsidRPr="00B11F51">
        <w:rPr>
          <w:rFonts w:ascii="Century Gothic" w:hAnsi="Century Gothic"/>
        </w:rPr>
        <w:t>Skystone</w:t>
      </w:r>
      <w:proofErr w:type="spellEnd"/>
      <w:r w:rsidRPr="00B11F51">
        <w:rPr>
          <w:rFonts w:ascii="Century Gothic" w:hAnsi="Century Gothic"/>
        </w:rPr>
        <w:t xml:space="preserve"> Capital sprzedała 120.000 akcji w cenie 8,52 zł za akcję, a zysk na tej transakcji wyniósł 902,4 tys. zł. </w:t>
      </w:r>
    </w:p>
    <w:p w:rsidR="00C60139" w:rsidRPr="00B11F51" w:rsidRDefault="00C60139" w:rsidP="00C60139">
      <w:pPr>
        <w:ind w:left="426"/>
        <w:jc w:val="both"/>
        <w:rPr>
          <w:rFonts w:ascii="Century Gothic" w:hAnsi="Century Gothic"/>
        </w:rPr>
      </w:pPr>
      <w:r w:rsidRPr="00B11F51">
        <w:rPr>
          <w:rFonts w:ascii="Century Gothic" w:hAnsi="Century Gothic"/>
        </w:rPr>
        <w:t xml:space="preserve">W kwietniu 2013 r. Spółka sprzedała kolejne 8.000 akcji </w:t>
      </w:r>
      <w:proofErr w:type="spellStart"/>
      <w:r w:rsidRPr="00B11F51">
        <w:rPr>
          <w:rFonts w:ascii="Century Gothic" w:hAnsi="Century Gothic"/>
        </w:rPr>
        <w:t>Viatron</w:t>
      </w:r>
      <w:proofErr w:type="spellEnd"/>
      <w:r w:rsidRPr="00B11F51">
        <w:rPr>
          <w:rFonts w:ascii="Century Gothic" w:hAnsi="Century Gothic"/>
        </w:rPr>
        <w:t xml:space="preserve"> S.A.</w:t>
      </w:r>
    </w:p>
    <w:p w:rsidR="00C60139" w:rsidRPr="00B11F51" w:rsidRDefault="00C60139" w:rsidP="00C60139">
      <w:pPr>
        <w:ind w:left="426"/>
        <w:jc w:val="both"/>
        <w:rPr>
          <w:rFonts w:ascii="Century Gothic" w:hAnsi="Century Gothic"/>
        </w:rPr>
      </w:pPr>
      <w:r w:rsidRPr="00B11F51">
        <w:rPr>
          <w:rFonts w:ascii="Century Gothic" w:hAnsi="Century Gothic"/>
        </w:rPr>
        <w:t xml:space="preserve">W październiku 2012 r. zrealizowano emisję akcji serii B Spółki, w wyniku której nowi akcjonariusze objęli 58.685 akcji, po cenie nominalnej 1,00 zł i cenie emisyjnej 8,52 zł za akcję, co zasiliło spółkę środkami w wysokości ok. 500.000 zł. W wyniku tej emisji, kapitał zakładowy został podwyższony do kwoty 1.116.185 zł i obecnie dzieli się na 1.116.185 akcji zwykłych o wartości nominalnej 1,0 zł każda. </w:t>
      </w:r>
    </w:p>
    <w:p w:rsidR="00C60139" w:rsidRPr="00B11F51" w:rsidRDefault="00C60139" w:rsidP="00C60139">
      <w:pPr>
        <w:ind w:left="426"/>
        <w:jc w:val="both"/>
        <w:rPr>
          <w:rFonts w:ascii="Century Gothic" w:hAnsi="Century Gothic"/>
        </w:rPr>
      </w:pPr>
    </w:p>
    <w:p w:rsidR="00C60139" w:rsidRPr="00B11F51" w:rsidRDefault="00BD2CE8" w:rsidP="00BD2CE8">
      <w:pPr>
        <w:ind w:left="426"/>
        <w:jc w:val="both"/>
        <w:rPr>
          <w:rFonts w:ascii="Century Gothic" w:hAnsi="Century Gothic"/>
        </w:rPr>
      </w:pPr>
      <w:r w:rsidRPr="00BD2CE8">
        <w:rPr>
          <w:rFonts w:ascii="Century Gothic" w:hAnsi="Century Gothic"/>
        </w:rPr>
        <w:lastRenderedPageBreak/>
        <w:t xml:space="preserve">Przychody Spółki w pierwszym kwartale 2014 roku wyniosły 439,5 tys. zł. W stosunku do pierwszego kwartału roku ubiegłego odnotowano spadek przychodów będący  efektem innego, niż w roku ubiegłym, rozkładu realizacji kontraktów dla roku 2014.  Rozkład przychodów z realizowanych kontraktów w pierwszym kwartale był wyjątkowo niekorzystny i w następnych kwartałach nastąpi wzrost przychodów niwelujący tak dużą dysproporcję w stosunku do roku ubiegłego, na jaką wskazywałby poziom sprzedaży z pierwszego kwartału. </w:t>
      </w:r>
      <w:r w:rsidRPr="00BD2CE8">
        <w:rPr>
          <w:rFonts w:ascii="Century Gothic" w:hAnsi="Century Gothic"/>
        </w:rPr>
        <w:t xml:space="preserve"> </w:t>
      </w:r>
      <w:r w:rsidR="00C60139" w:rsidRPr="000F03CB">
        <w:rPr>
          <w:rFonts w:ascii="Century Gothic" w:hAnsi="Century Gothic"/>
        </w:rPr>
        <w:t xml:space="preserve"> </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Spółka została powołana celem rozwijania działalności w zakresie montażu i serwisu turbin wiatrowych przy użyciu wyspecjalizowanego i dedykowanego do tego sprzętu. Strategia Spółki zakłada koncentrację na niszowym rynku usług dźwigowych, gdzie poprzez zastosowanie innowacyjnych technik wysokich podniesień, Spółka zdobywa przewagę konkurencyjną względem innych podmiotów, nie wyspecjalizowanych w tego typu usługach. Innowacyjność technik wysokich podniesień, stosowanych przez </w:t>
      </w:r>
      <w:proofErr w:type="spellStart"/>
      <w:r w:rsidRPr="00B11F51">
        <w:rPr>
          <w:rFonts w:ascii="Century Gothic" w:hAnsi="Century Gothic"/>
        </w:rPr>
        <w:t>Viatron</w:t>
      </w:r>
      <w:proofErr w:type="spellEnd"/>
      <w:r w:rsidRPr="00B11F51">
        <w:rPr>
          <w:rFonts w:ascii="Century Gothic" w:hAnsi="Century Gothic"/>
        </w:rPr>
        <w:t>, wiąże się, między innymi, z zastosowaniem do stawiania turbin najwyższego na świecie teleskopowego żurawia GTK 1100.</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Spółka prowadzi działalność operacyjną od początku 2011 roku. W kwietniu 2012 roku, </w:t>
      </w:r>
      <w:proofErr w:type="spellStart"/>
      <w:r w:rsidRPr="00B11F51">
        <w:rPr>
          <w:rFonts w:ascii="Century Gothic" w:hAnsi="Century Gothic"/>
        </w:rPr>
        <w:t>Viatron</w:t>
      </w:r>
      <w:proofErr w:type="spellEnd"/>
      <w:r w:rsidRPr="00B11F51">
        <w:rPr>
          <w:rFonts w:ascii="Century Gothic" w:hAnsi="Century Gothic"/>
        </w:rPr>
        <w:t xml:space="preserve"> uzyskał status Autoryzowanego Podwykonawcy/Poddostawcy VESTAS. Autoryzacja ta pozwala na realizację prac związanych ze stawianiem turbin wiatrowych bezpośrednio na rzecz </w:t>
      </w:r>
      <w:proofErr w:type="spellStart"/>
      <w:r w:rsidRPr="00B11F51">
        <w:rPr>
          <w:rFonts w:ascii="Century Gothic" w:hAnsi="Century Gothic"/>
        </w:rPr>
        <w:t>Vestas</w:t>
      </w:r>
      <w:proofErr w:type="spellEnd"/>
      <w:r w:rsidRPr="00B11F51">
        <w:rPr>
          <w:rFonts w:ascii="Century Gothic" w:hAnsi="Century Gothic"/>
        </w:rPr>
        <w:t xml:space="preserve"> (największego na świecie producenta turbin wiatrowych). W ślad za powyższym, </w:t>
      </w:r>
      <w:proofErr w:type="spellStart"/>
      <w:r w:rsidRPr="00B11F51">
        <w:rPr>
          <w:rFonts w:ascii="Century Gothic" w:hAnsi="Century Gothic"/>
        </w:rPr>
        <w:t>Viatron</w:t>
      </w:r>
      <w:proofErr w:type="spellEnd"/>
      <w:r w:rsidRPr="00B11F51">
        <w:rPr>
          <w:rFonts w:ascii="Century Gothic" w:hAnsi="Century Gothic"/>
        </w:rPr>
        <w:t xml:space="preserve"> uzyskał ze strony </w:t>
      </w:r>
      <w:proofErr w:type="spellStart"/>
      <w:r w:rsidRPr="00B11F51">
        <w:rPr>
          <w:rFonts w:ascii="Century Gothic" w:hAnsi="Century Gothic"/>
        </w:rPr>
        <w:t>Vestas</w:t>
      </w:r>
      <w:proofErr w:type="spellEnd"/>
      <w:r w:rsidRPr="00B11F51">
        <w:rPr>
          <w:rFonts w:ascii="Century Gothic" w:hAnsi="Century Gothic"/>
        </w:rPr>
        <w:t xml:space="preserve"> kolejne zlecenia na montaż turbin. W efekcie uzyskanej autoryzacji </w:t>
      </w:r>
      <w:proofErr w:type="spellStart"/>
      <w:r w:rsidRPr="00B11F51">
        <w:rPr>
          <w:rFonts w:ascii="Century Gothic" w:hAnsi="Century Gothic"/>
        </w:rPr>
        <w:t>Vestas</w:t>
      </w:r>
      <w:proofErr w:type="spellEnd"/>
      <w:r w:rsidRPr="00B11F51">
        <w:rPr>
          <w:rFonts w:ascii="Century Gothic" w:hAnsi="Century Gothic"/>
        </w:rPr>
        <w:t xml:space="preserve">, </w:t>
      </w:r>
      <w:proofErr w:type="spellStart"/>
      <w:r w:rsidRPr="00B11F51">
        <w:rPr>
          <w:rFonts w:ascii="Century Gothic" w:hAnsi="Century Gothic"/>
        </w:rPr>
        <w:t>Viatron</w:t>
      </w:r>
      <w:proofErr w:type="spellEnd"/>
      <w:r w:rsidRPr="00B11F51">
        <w:rPr>
          <w:rFonts w:ascii="Century Gothic" w:hAnsi="Century Gothic"/>
        </w:rPr>
        <w:t xml:space="preserve"> przystąpił do realizacji prac dźwigowych na dużych farmach wiatrowych.</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W połowie grudnia 2013 roku, zakończone zostały prace na największym projekcie zrealizowanym w 2013 roku –  farmie wiatrowej Iłża – w ramach którego postawiono łącznie 25 turbin. Bardzo dobre warunki i tempo pracy przełożyły się na bardzo dobre wyniki finansowe. </w:t>
      </w:r>
    </w:p>
    <w:p w:rsidR="00C60139" w:rsidRPr="00B11F51" w:rsidRDefault="00C60139" w:rsidP="00C60139">
      <w:pPr>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Szczegółowe dane dotyczące bieżącej działalności i wyników ekonomicznych Spółki prezentowane są w jej raportach giełdowych.</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 xml:space="preserve">Zarząd Spółki stale prowadzi rozmowy z potencjalnymi zleceniodawcami odnośnie realizacji kontraktów przy budowie farm wiatrowych, w tym również w zakresie montażu turbin nowej generacji –  3,0 MW na wieżach </w:t>
      </w:r>
      <w:smartTag w:uri="urn:schemas-microsoft-com:office:smarttags" w:element="metricconverter">
        <w:smartTagPr>
          <w:attr w:name="ProductID" w:val="119 metr￳w"/>
        </w:smartTagPr>
        <w:r w:rsidRPr="00B11F51">
          <w:rPr>
            <w:rFonts w:ascii="Century Gothic" w:hAnsi="Century Gothic"/>
          </w:rPr>
          <w:t>119 metrów</w:t>
        </w:r>
      </w:smartTag>
      <w:r w:rsidRPr="00B11F51">
        <w:rPr>
          <w:rFonts w:ascii="Century Gothic" w:hAnsi="Century Gothic"/>
        </w:rPr>
        <w:t>.</w:t>
      </w:r>
    </w:p>
    <w:p w:rsidR="00C60139" w:rsidRPr="00B11F51" w:rsidRDefault="00C60139" w:rsidP="00C60139">
      <w:pPr>
        <w:ind w:left="426"/>
        <w:jc w:val="both"/>
        <w:rPr>
          <w:rFonts w:ascii="Century Gothic" w:hAnsi="Century Gothic"/>
        </w:rPr>
      </w:pPr>
    </w:p>
    <w:p w:rsidR="00C60139" w:rsidRPr="00B11F51" w:rsidRDefault="00C60139" w:rsidP="00C60139">
      <w:pPr>
        <w:ind w:left="426"/>
        <w:jc w:val="both"/>
        <w:rPr>
          <w:rFonts w:ascii="Century Gothic" w:hAnsi="Century Gothic"/>
        </w:rPr>
      </w:pPr>
      <w:r w:rsidRPr="00B11F51">
        <w:rPr>
          <w:rFonts w:ascii="Century Gothic" w:hAnsi="Century Gothic"/>
        </w:rPr>
        <w:t>W dniu 26 listopada 2013 roku, Spółka otrzymała ostatnią wpłatę środków finansowych, w ramach realizacji projektu pn. „Wdrożenie innowacyjnej technologii instalacji turbin wiatrowych i innych specjalistycznych usług dźwigowych” w ramach Działania 4.4 Nowe Inwestycje o wysokim potencjale innowacyjnym Programu Operacyjnego Innowacyjna Gospodarka. W ramach tego programu, Spółka uzyskała wsparcie w kwocie 17.779 tys. zł, co stanowiło 59,74% wartości szacowanych kosztów kwalifikowanych, koniecznych do poniesienia, w ramach nakładów inwestycyjnych Spółki. Uzyskane środki (łącznie Spółce wypłacono środki w wysokości 15.030,3 tys. zł) zostały przeznaczone głównie na zakup specjalistycznych żurawi wraz z osprzętem, ciągnika siodłowego oraz ładowarki teleskopowej, wyposażenia zaplecza budowlanego, realizacji prac badawczo-wdrożeniowych, wdrożenia ich efektów oraz szkoleń.</w:t>
      </w:r>
    </w:p>
    <w:p w:rsidR="00C60139" w:rsidRPr="00B11F51" w:rsidRDefault="00C60139" w:rsidP="00C60139">
      <w:pPr>
        <w:ind w:left="426"/>
        <w:jc w:val="both"/>
        <w:rPr>
          <w:rFonts w:ascii="Century Gothic" w:hAnsi="Century Gothic"/>
        </w:rPr>
      </w:pPr>
    </w:p>
    <w:p w:rsidR="00C66645" w:rsidRPr="00B11F51" w:rsidRDefault="00C60139" w:rsidP="00C60139">
      <w:pPr>
        <w:ind w:left="426"/>
        <w:jc w:val="both"/>
        <w:rPr>
          <w:rFonts w:ascii="Century Gothic" w:hAnsi="Century Gothic"/>
        </w:rPr>
      </w:pPr>
      <w:r w:rsidRPr="00B11F51">
        <w:rPr>
          <w:rFonts w:ascii="Century Gothic" w:hAnsi="Century Gothic"/>
        </w:rPr>
        <w:t xml:space="preserve">Zgodnie z przyjętą strategią, Zarząd </w:t>
      </w:r>
      <w:proofErr w:type="spellStart"/>
      <w:r w:rsidRPr="00B11F51">
        <w:rPr>
          <w:rFonts w:ascii="Century Gothic" w:hAnsi="Century Gothic"/>
        </w:rPr>
        <w:t>Skystone</w:t>
      </w:r>
      <w:proofErr w:type="spellEnd"/>
      <w:r w:rsidRPr="00B11F51">
        <w:rPr>
          <w:rFonts w:ascii="Century Gothic" w:hAnsi="Century Gothic"/>
        </w:rPr>
        <w:t xml:space="preserve"> Capital S.A. prowadzi działania w celu pozyskania dla Spółki inwestora.</w:t>
      </w:r>
    </w:p>
    <w:p w:rsidR="00C66645" w:rsidRPr="00B11F51" w:rsidRDefault="00C66645" w:rsidP="00C66645">
      <w:pPr>
        <w:ind w:left="426"/>
        <w:jc w:val="both"/>
        <w:rPr>
          <w:rFonts w:ascii="Century Gothic" w:hAnsi="Century Gothic"/>
        </w:rPr>
      </w:pPr>
    </w:p>
    <w:p w:rsidR="00C66645" w:rsidRPr="00BF2DA0" w:rsidRDefault="00C66645" w:rsidP="00C66645">
      <w:pPr>
        <w:ind w:left="426"/>
        <w:jc w:val="both"/>
        <w:rPr>
          <w:rFonts w:ascii="Century Gothic" w:hAnsi="Century Gothic" w:cs="Tahoma"/>
        </w:rPr>
      </w:pPr>
      <w:r w:rsidRPr="00BF2DA0">
        <w:rPr>
          <w:rFonts w:ascii="Century Gothic" w:hAnsi="Century Gothic" w:cs="Tahoma"/>
        </w:rPr>
        <w:t xml:space="preserve"> </w:t>
      </w:r>
    </w:p>
    <w:tbl>
      <w:tblPr>
        <w:tblW w:w="0" w:type="auto"/>
        <w:tblInd w:w="496" w:type="dxa"/>
        <w:tblBorders>
          <w:bottom w:val="single" w:sz="4" w:space="0" w:color="auto"/>
        </w:tblBorders>
        <w:tblCellMar>
          <w:left w:w="70" w:type="dxa"/>
          <w:right w:w="70" w:type="dxa"/>
        </w:tblCellMar>
        <w:tblLook w:val="0000" w:firstRow="0" w:lastRow="0" w:firstColumn="0" w:lastColumn="0" w:noHBand="0" w:noVBand="0"/>
      </w:tblPr>
      <w:tblGrid>
        <w:gridCol w:w="8786"/>
      </w:tblGrid>
      <w:tr w:rsidR="00C66645" w:rsidRPr="00BF2DA0" w:rsidTr="00B11893">
        <w:tc>
          <w:tcPr>
            <w:tcW w:w="8786" w:type="dxa"/>
            <w:tcBorders>
              <w:bottom w:val="single" w:sz="4" w:space="0" w:color="auto"/>
            </w:tcBorders>
          </w:tcPr>
          <w:p w:rsidR="00C66645" w:rsidRPr="00BF2DA0" w:rsidRDefault="00C66645" w:rsidP="00B11893">
            <w:pPr>
              <w:ind w:left="426"/>
              <w:jc w:val="both"/>
              <w:rPr>
                <w:rFonts w:ascii="Century Gothic" w:hAnsi="Century Gothic" w:cs="Tahoma"/>
                <w:b/>
                <w:bCs/>
                <w:color w:val="0000FF"/>
              </w:rPr>
            </w:pPr>
            <w:r w:rsidRPr="00BF2DA0">
              <w:rPr>
                <w:rFonts w:ascii="Century Gothic" w:hAnsi="Century Gothic" w:cs="Tahoma"/>
                <w:b/>
                <w:bCs/>
                <w:color w:val="0000FF"/>
              </w:rPr>
              <w:t xml:space="preserve">Elektrownie Wodne ZENERIS Sp. z o. o., Elektrownie Wodne </w:t>
            </w:r>
            <w:smartTag w:uri="urn:schemas-microsoft-com:office:smarttags" w:element="PersonName">
              <w:smartTagPr>
                <w:attr w:name="ProductID" w:val="Zeneris PLUS"/>
              </w:smartTagPr>
              <w:r w:rsidRPr="00BF2DA0">
                <w:rPr>
                  <w:rFonts w:ascii="Century Gothic" w:hAnsi="Century Gothic" w:cs="Tahoma"/>
                  <w:b/>
                  <w:bCs/>
                  <w:color w:val="0000FF"/>
                </w:rPr>
                <w:t>ZENERIS Plus</w:t>
              </w:r>
            </w:smartTag>
            <w:r w:rsidRPr="00BF2DA0">
              <w:rPr>
                <w:rFonts w:ascii="Century Gothic" w:hAnsi="Century Gothic" w:cs="Tahoma"/>
                <w:b/>
                <w:bCs/>
                <w:color w:val="0000FF"/>
              </w:rPr>
              <w:t xml:space="preserve"> Sp. z o. o., Zespół Elektrowni Wodnych ZENERIS Sp. z o. o.</w:t>
            </w:r>
          </w:p>
        </w:tc>
      </w:tr>
    </w:tbl>
    <w:p w:rsidR="00C66645" w:rsidRPr="00BF2DA0" w:rsidRDefault="00C66645" w:rsidP="00C66645">
      <w:pPr>
        <w:ind w:left="426" w:firstLine="426"/>
        <w:jc w:val="both"/>
        <w:rPr>
          <w:rFonts w:ascii="Century Gothic" w:hAnsi="Century Gothic" w:cs="Tahoma"/>
        </w:rPr>
      </w:pPr>
    </w:p>
    <w:p w:rsidR="00C66645" w:rsidRPr="00B11F51" w:rsidRDefault="00C66645" w:rsidP="00C66645">
      <w:pPr>
        <w:ind w:left="426"/>
        <w:jc w:val="both"/>
        <w:rPr>
          <w:rFonts w:ascii="Century Gothic" w:hAnsi="Century Gothic"/>
        </w:rPr>
      </w:pPr>
      <w:bookmarkStart w:id="79" w:name="_Toc365664281"/>
      <w:r w:rsidRPr="00B11F51">
        <w:rPr>
          <w:rFonts w:ascii="Century Gothic" w:hAnsi="Century Gothic"/>
        </w:rPr>
        <w:t>Siedziba Spółek: ul. Paderewskiego 7, 61-770 Poznań,</w:t>
      </w:r>
      <w:bookmarkEnd w:id="79"/>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Podstawowy przedmiot działalności: </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Wytwarzanie energii elektrycznej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Przesyłanie energii elektrycznej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Dystrybucja energii elektrycznej</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Prace badawczo-rozwojowe w dziedzinie nauk technicznych</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Budownictwo</w:t>
      </w:r>
    </w:p>
    <w:p w:rsidR="00C66645" w:rsidRPr="00B11F51" w:rsidRDefault="00C66645" w:rsidP="00C66645">
      <w:pPr>
        <w:ind w:left="426"/>
        <w:jc w:val="both"/>
        <w:rPr>
          <w:rFonts w:ascii="Century Gothic" w:hAnsi="Century Gothic"/>
        </w:rPr>
      </w:pPr>
      <w:r w:rsidRPr="00B11F51">
        <w:rPr>
          <w:rFonts w:ascii="Century Gothic" w:hAnsi="Century Gothic"/>
        </w:rPr>
        <w:t>-</w:t>
      </w:r>
      <w:r w:rsidRPr="00B11F51">
        <w:rPr>
          <w:rFonts w:ascii="Century Gothic" w:hAnsi="Century Gothic"/>
        </w:rPr>
        <w:tab/>
        <w:t>Doradztwo w zakresie prowadzenia działalności gospodarczej i zarządzania</w:t>
      </w:r>
    </w:p>
    <w:p w:rsidR="00C66645" w:rsidRPr="00B11F51" w:rsidRDefault="00C66645" w:rsidP="00C66645">
      <w:pPr>
        <w:ind w:left="426"/>
        <w:jc w:val="both"/>
        <w:rPr>
          <w:rFonts w:ascii="Century Gothic" w:hAnsi="Century Gothic"/>
        </w:rPr>
      </w:pPr>
      <w:r w:rsidRPr="00B11F51">
        <w:rPr>
          <w:rFonts w:ascii="Century Gothic" w:hAnsi="Century Gothic"/>
        </w:rPr>
        <w:lastRenderedPageBreak/>
        <w:t>-</w:t>
      </w:r>
      <w:r w:rsidRPr="00B11F51">
        <w:rPr>
          <w:rFonts w:ascii="Century Gothic" w:hAnsi="Century Gothic"/>
        </w:rPr>
        <w:tab/>
        <w:t>Pozostała działalność komercyjna</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Działalność operacyjną prowadzi</w:t>
      </w:r>
      <w:r w:rsidR="00222D95">
        <w:rPr>
          <w:rFonts w:ascii="Century Gothic" w:hAnsi="Century Gothic"/>
        </w:rPr>
        <w:tab/>
      </w:r>
      <w:r w:rsidRPr="00B11F51">
        <w:rPr>
          <w:rFonts w:ascii="Century Gothic" w:hAnsi="Century Gothic"/>
        </w:rPr>
        <w:t xml:space="preserve"> jedynie spółka Elektrownie Wodne ZENERIS Sp. z o.o. (dalej „EWZ”), natomiast pozostałe dwie Spółki nie prowadzą aktywności gospodarczej i przewidziane były do realizacji projektów celowych, z możliwością pozyskania wsparcia dotacyjnego. </w:t>
      </w:r>
    </w:p>
    <w:p w:rsidR="00C66645" w:rsidRPr="00B11F51" w:rsidRDefault="00C66645" w:rsidP="00C66645">
      <w:pPr>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EWZ koncentruje się na świadczeniu usług związanych z projektowaniem małych elektrowni wodnych na rzecz klientów zewnętrznych oraz przygotowywaniu własnych projektów małych elektrowni wodnych.</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Na wysokość osiąganych przez Spółkę przychodów ze sprzedaży usług wpływ mają brak Ustawy o OZE oraz regulacje wynikające z przepisów środowiskowych w zakresie hydroenergetyki, ograniczające wykorzystanie istniejącego potencjału technicznego na terenie Polski. Spółka oczekuje na wprowadzenie przepisów Ustawy o OZE, szczególnie dotyczących segmentu elektrowni wodnych o mocach poniżej 100 </w:t>
      </w:r>
      <w:proofErr w:type="spellStart"/>
      <w:r w:rsidRPr="00B11F51">
        <w:rPr>
          <w:rFonts w:ascii="Century Gothic" w:hAnsi="Century Gothic"/>
        </w:rPr>
        <w:t>kW.</w:t>
      </w:r>
      <w:proofErr w:type="spellEnd"/>
      <w:r w:rsidRPr="00B11F51">
        <w:rPr>
          <w:rFonts w:ascii="Century Gothic" w:hAnsi="Century Gothic"/>
        </w:rPr>
        <w:t xml:space="preserve"> Spółka współpracuje z dostawcami technologii, dzięki której można w sposób efektywny ekonomicznie wykorzystać niskie piętrzenia z niewielkimi średniorocznymi przepływami wody. Wprowadzenie nowych regulacji prawnych wsparcia OZE może przyczynić się do zwiększenia inwestycji modernizacyjnych w istniejących elektrowniach wodnych, co stwarza w perspektywie roku, szanse na pozyskanie nowych zleceń projektowych. </w:t>
      </w:r>
    </w:p>
    <w:p w:rsidR="00C66645" w:rsidRPr="00B11F51" w:rsidRDefault="00C66645" w:rsidP="00C66645">
      <w:pPr>
        <w:ind w:left="426"/>
        <w:jc w:val="both"/>
        <w:rPr>
          <w:rFonts w:ascii="Century Gothic" w:hAnsi="Century Gothic"/>
        </w:rPr>
      </w:pPr>
    </w:p>
    <w:p w:rsidR="00C66645" w:rsidRPr="00B11F51" w:rsidRDefault="00C66645" w:rsidP="00C66645">
      <w:pPr>
        <w:ind w:left="426"/>
        <w:jc w:val="both"/>
        <w:rPr>
          <w:rFonts w:ascii="Century Gothic" w:hAnsi="Century Gothic"/>
        </w:rPr>
      </w:pPr>
      <w:r w:rsidRPr="00B11F51">
        <w:rPr>
          <w:rFonts w:ascii="Century Gothic" w:hAnsi="Century Gothic"/>
        </w:rPr>
        <w:t xml:space="preserve">Zarząd </w:t>
      </w:r>
      <w:proofErr w:type="spellStart"/>
      <w:r w:rsidRPr="00B11F51">
        <w:rPr>
          <w:rFonts w:ascii="Century Gothic" w:hAnsi="Century Gothic"/>
        </w:rPr>
        <w:t>Skystone</w:t>
      </w:r>
      <w:proofErr w:type="spellEnd"/>
      <w:r w:rsidRPr="00B11F51">
        <w:rPr>
          <w:rFonts w:ascii="Century Gothic" w:hAnsi="Century Gothic"/>
        </w:rPr>
        <w:t xml:space="preserve"> Capital S.A. postanowił na dzień </w:t>
      </w:r>
      <w:smartTag w:uri="urn:schemas-microsoft-com:office:smarttags" w:element="date">
        <w:smartTagPr>
          <w:attr w:name="ls" w:val="trans"/>
          <w:attr w:name="Month" w:val="6"/>
          <w:attr w:name="Day" w:val="30"/>
          <w:attr w:name="Year" w:val="2013"/>
        </w:smartTagPr>
        <w:r w:rsidRPr="00B11F51">
          <w:rPr>
            <w:rFonts w:ascii="Century Gothic" w:hAnsi="Century Gothic"/>
          </w:rPr>
          <w:t>30 czerwca 2013 r.</w:t>
        </w:r>
      </w:smartTag>
      <w:r w:rsidRPr="00B11F51">
        <w:rPr>
          <w:rFonts w:ascii="Century Gothic" w:hAnsi="Century Gothic"/>
        </w:rPr>
        <w:t xml:space="preserve"> dokonać odpisów aktualizacyjnych w księgach finansowych Spółki dotyczących dwóch spółek zależnych:</w:t>
      </w:r>
    </w:p>
    <w:p w:rsidR="00C66645" w:rsidRPr="00B11F51" w:rsidRDefault="00C66645" w:rsidP="00C66645">
      <w:pPr>
        <w:ind w:left="426"/>
        <w:jc w:val="both"/>
        <w:rPr>
          <w:rFonts w:ascii="Century Gothic" w:hAnsi="Century Gothic"/>
        </w:rPr>
      </w:pPr>
      <w:r w:rsidRPr="00B11F51">
        <w:rPr>
          <w:rFonts w:ascii="Century Gothic" w:hAnsi="Century Gothic"/>
        </w:rPr>
        <w:t xml:space="preserve"> </w:t>
      </w:r>
    </w:p>
    <w:p w:rsidR="00C66645" w:rsidRPr="00B11F51" w:rsidRDefault="00C66645" w:rsidP="00C66645">
      <w:pPr>
        <w:ind w:left="708" w:hanging="282"/>
        <w:jc w:val="both"/>
        <w:rPr>
          <w:rFonts w:ascii="Century Gothic" w:hAnsi="Century Gothic"/>
        </w:rPr>
      </w:pPr>
      <w:r w:rsidRPr="00B11F51">
        <w:rPr>
          <w:rFonts w:ascii="Century Gothic" w:hAnsi="Century Gothic"/>
        </w:rPr>
        <w:t>-</w:t>
      </w:r>
      <w:r w:rsidRPr="00B11F51">
        <w:rPr>
          <w:rFonts w:ascii="Century Gothic" w:hAnsi="Century Gothic"/>
        </w:rPr>
        <w:tab/>
        <w:t xml:space="preserve">Elektrownie Wodne </w:t>
      </w:r>
      <w:smartTag w:uri="urn:schemas-microsoft-com:office:smarttags" w:element="PersonName">
        <w:smartTagPr>
          <w:attr w:name="ProductID" w:val="Zeneris PLUS"/>
        </w:smartTagPr>
        <w:r w:rsidRPr="00B11F51">
          <w:rPr>
            <w:rFonts w:ascii="Century Gothic" w:hAnsi="Century Gothic"/>
          </w:rPr>
          <w:t>ZENERIS Plus</w:t>
        </w:r>
      </w:smartTag>
      <w:r w:rsidRPr="00B11F51">
        <w:rPr>
          <w:rFonts w:ascii="Century Gothic" w:hAnsi="Century Gothic"/>
        </w:rPr>
        <w:t xml:space="preserve"> Sp. z o. o. – odpis aktualizacyjny polegający na odpisaniu w koszty Spółki wartości objętych przez </w:t>
      </w:r>
      <w:proofErr w:type="spellStart"/>
      <w:r w:rsidRPr="00B11F51">
        <w:rPr>
          <w:rFonts w:ascii="Century Gothic" w:hAnsi="Century Gothic"/>
        </w:rPr>
        <w:t>Skystone</w:t>
      </w:r>
      <w:proofErr w:type="spellEnd"/>
      <w:r w:rsidRPr="00B11F51">
        <w:rPr>
          <w:rFonts w:ascii="Century Gothic" w:hAnsi="Century Gothic"/>
        </w:rPr>
        <w:t xml:space="preserve"> Capital S.A. udziałów i wszelkich innych nakładów w wysokości 49,95 tys. zł,</w:t>
      </w:r>
    </w:p>
    <w:p w:rsidR="00C66645" w:rsidRPr="00B11F51" w:rsidRDefault="00C66645" w:rsidP="00C66645">
      <w:pPr>
        <w:ind w:left="708" w:hanging="282"/>
        <w:jc w:val="both"/>
        <w:rPr>
          <w:rFonts w:ascii="Century Gothic" w:hAnsi="Century Gothic"/>
        </w:rPr>
      </w:pPr>
      <w:r w:rsidRPr="00B11F51">
        <w:rPr>
          <w:rFonts w:ascii="Century Gothic" w:hAnsi="Century Gothic"/>
        </w:rPr>
        <w:t>-</w:t>
      </w:r>
      <w:r w:rsidRPr="00B11F51">
        <w:rPr>
          <w:rFonts w:ascii="Century Gothic" w:hAnsi="Century Gothic"/>
        </w:rPr>
        <w:tab/>
        <w:t xml:space="preserve">Zespół Elektrowni Wodnych ZENERIS Sp. z o. o. – odpis aktualizacyjny polegający na odpisaniu w koszty Spółki wartości objętych przez </w:t>
      </w:r>
      <w:proofErr w:type="spellStart"/>
      <w:r w:rsidRPr="00B11F51">
        <w:rPr>
          <w:rFonts w:ascii="Century Gothic" w:hAnsi="Century Gothic"/>
        </w:rPr>
        <w:t>Skystone</w:t>
      </w:r>
      <w:proofErr w:type="spellEnd"/>
      <w:r w:rsidRPr="00B11F51">
        <w:rPr>
          <w:rFonts w:ascii="Century Gothic" w:hAnsi="Century Gothic"/>
        </w:rPr>
        <w:t xml:space="preserve"> Capital S.A. udziałów i wszelkich innych nakładów w wysokości 59,95 tys. zł</w:t>
      </w:r>
    </w:p>
    <w:p w:rsidR="00C66645" w:rsidRPr="00B11F51" w:rsidRDefault="00C66645" w:rsidP="00C66645">
      <w:pPr>
        <w:jc w:val="both"/>
        <w:rPr>
          <w:rFonts w:ascii="Century Gothic" w:hAnsi="Century Gothic"/>
        </w:rPr>
      </w:pPr>
    </w:p>
    <w:p w:rsidR="00C66645" w:rsidRDefault="00C66645" w:rsidP="00C66645">
      <w:pPr>
        <w:ind w:left="426"/>
        <w:jc w:val="both"/>
        <w:rPr>
          <w:rFonts w:ascii="Century Gothic" w:hAnsi="Century Gothic"/>
        </w:rPr>
      </w:pPr>
      <w:r w:rsidRPr="00B11F51">
        <w:rPr>
          <w:rFonts w:ascii="Century Gothic" w:hAnsi="Century Gothic"/>
        </w:rPr>
        <w:t xml:space="preserve">Ze względu na stosunkowo małą skalę prowadzonego biznesu, osiągane wyniki,  jak i niepewne perspektywy na najbliższe lata, Zarząd </w:t>
      </w:r>
      <w:proofErr w:type="spellStart"/>
      <w:r w:rsidRPr="00B11F51">
        <w:rPr>
          <w:rFonts w:ascii="Century Gothic" w:hAnsi="Century Gothic"/>
        </w:rPr>
        <w:t>Skystone</w:t>
      </w:r>
      <w:proofErr w:type="spellEnd"/>
      <w:r w:rsidRPr="00B11F51">
        <w:rPr>
          <w:rFonts w:ascii="Century Gothic" w:hAnsi="Century Gothic"/>
        </w:rPr>
        <w:t xml:space="preserve"> Capital postanowił sprzedać Elektrownie Wodne </w:t>
      </w:r>
      <w:proofErr w:type="spellStart"/>
      <w:r w:rsidRPr="00B11F51">
        <w:rPr>
          <w:rFonts w:ascii="Century Gothic" w:hAnsi="Century Gothic"/>
        </w:rPr>
        <w:t>Zeneris</w:t>
      </w:r>
      <w:proofErr w:type="spellEnd"/>
      <w:r w:rsidRPr="00B11F51">
        <w:rPr>
          <w:rFonts w:ascii="Century Gothic" w:hAnsi="Century Gothic"/>
        </w:rPr>
        <w:t xml:space="preserve"> Sp. z o.o., a pozostałe dwie spółki zlikwidować.</w:t>
      </w:r>
      <w:r>
        <w:rPr>
          <w:rFonts w:ascii="Century Gothic" w:hAnsi="Century Gothic"/>
        </w:rPr>
        <w:t xml:space="preserve"> Sprzedaż pierwszej z wymienionych spółek nastąpiła w styczniu 2014 r.</w:t>
      </w:r>
    </w:p>
    <w:p w:rsidR="00096C8F" w:rsidRDefault="00096C8F">
      <w:pPr>
        <w:rPr>
          <w:rFonts w:ascii="Century Gothic" w:hAnsi="Century Gothic"/>
          <w:b/>
          <w:caps/>
          <w:color w:val="0000FF"/>
          <w:sz w:val="22"/>
          <w:szCs w:val="22"/>
        </w:rPr>
      </w:pPr>
      <w:r>
        <w:rPr>
          <w:rFonts w:ascii="Century Gothic" w:hAnsi="Century Gothic"/>
          <w:color w:val="0000FF"/>
          <w:sz w:val="22"/>
          <w:szCs w:val="22"/>
        </w:rPr>
        <w:br w:type="page"/>
      </w:r>
    </w:p>
    <w:p w:rsidR="00E53D76" w:rsidRPr="00D810F2" w:rsidRDefault="00E53D76" w:rsidP="00E53D76">
      <w:pPr>
        <w:pStyle w:val="Nagwek1"/>
        <w:keepNext w:val="0"/>
        <w:pBdr>
          <w:bottom w:val="none" w:sz="0" w:space="0" w:color="auto"/>
        </w:pBdr>
        <w:spacing w:before="240" w:after="60"/>
        <w:ind w:left="0"/>
        <w:jc w:val="both"/>
        <w:rPr>
          <w:rFonts w:ascii="Century Gothic" w:hAnsi="Century Gothic"/>
          <w:color w:val="0000FF"/>
          <w:sz w:val="22"/>
          <w:szCs w:val="22"/>
        </w:rPr>
      </w:pPr>
      <w:bookmarkStart w:id="80" w:name="_Toc387945914"/>
      <w:r>
        <w:rPr>
          <w:rFonts w:ascii="Century Gothic" w:hAnsi="Century Gothic"/>
          <w:color w:val="0000FF"/>
          <w:sz w:val="22"/>
          <w:szCs w:val="22"/>
        </w:rPr>
        <w:lastRenderedPageBreak/>
        <w:t xml:space="preserve">2   SYTUACJA FINANSOWA I MAJĄTKOWA GRUPY </w:t>
      </w:r>
      <w:r w:rsidRPr="0076262C">
        <w:rPr>
          <w:rFonts w:ascii="Century Gothic" w:hAnsi="Century Gothic"/>
          <w:color w:val="0000FF"/>
          <w:sz w:val="22"/>
          <w:szCs w:val="22"/>
        </w:rPr>
        <w:t>Skystone Capital</w:t>
      </w:r>
      <w:r>
        <w:rPr>
          <w:rFonts w:ascii="Century Gothic" w:hAnsi="Century Gothic"/>
          <w:color w:val="0000FF"/>
          <w:sz w:val="22"/>
          <w:szCs w:val="22"/>
        </w:rPr>
        <w:t xml:space="preserve"> S.A.</w:t>
      </w:r>
      <w:bookmarkEnd w:id="77"/>
      <w:bookmarkEnd w:id="78"/>
      <w:bookmarkEnd w:id="80"/>
    </w:p>
    <w:p w:rsidR="00E53D76" w:rsidRPr="007938AF" w:rsidRDefault="00E53D76" w:rsidP="00E53D76">
      <w:pPr>
        <w:pStyle w:val="Nagwek2"/>
        <w:numPr>
          <w:ilvl w:val="0"/>
          <w:numId w:val="25"/>
        </w:numPr>
        <w:jc w:val="both"/>
        <w:rPr>
          <w:rFonts w:ascii="Century Gothic" w:hAnsi="Century Gothic"/>
          <w:bCs/>
          <w:i w:val="0"/>
          <w:color w:val="0000FF"/>
          <w:sz w:val="20"/>
        </w:rPr>
      </w:pPr>
      <w:bookmarkStart w:id="81" w:name="_Toc228169573"/>
      <w:bookmarkStart w:id="82" w:name="_Toc334180296"/>
      <w:bookmarkStart w:id="83" w:name="_Toc387945915"/>
      <w:r w:rsidRPr="007938AF">
        <w:rPr>
          <w:rFonts w:ascii="Century Gothic" w:hAnsi="Century Gothic"/>
          <w:bCs/>
          <w:i w:val="0"/>
          <w:color w:val="0000FF"/>
          <w:sz w:val="20"/>
        </w:rPr>
        <w:t xml:space="preserve">Czynniki wpływające na sytuację finansową i majątkową grupy w okresie </w:t>
      </w:r>
      <w:r w:rsidR="00CD7E51">
        <w:rPr>
          <w:rFonts w:ascii="Century Gothic" w:hAnsi="Century Gothic"/>
          <w:bCs/>
          <w:i w:val="0"/>
          <w:color w:val="0000FF"/>
          <w:sz w:val="20"/>
        </w:rPr>
        <w:t>3</w:t>
      </w:r>
      <w:r w:rsidRPr="007938AF">
        <w:rPr>
          <w:rFonts w:ascii="Century Gothic" w:hAnsi="Century Gothic"/>
          <w:bCs/>
          <w:i w:val="0"/>
          <w:color w:val="0000FF"/>
          <w:sz w:val="20"/>
        </w:rPr>
        <w:t xml:space="preserve"> miesięcy zakończonych 3</w:t>
      </w:r>
      <w:r w:rsidR="007B631E">
        <w:rPr>
          <w:rFonts w:ascii="Century Gothic" w:hAnsi="Century Gothic"/>
          <w:bCs/>
          <w:i w:val="0"/>
          <w:color w:val="0000FF"/>
          <w:sz w:val="20"/>
        </w:rPr>
        <w:t xml:space="preserve">1 </w:t>
      </w:r>
      <w:r w:rsidR="00CD7E51">
        <w:rPr>
          <w:rFonts w:ascii="Century Gothic" w:hAnsi="Century Gothic"/>
          <w:bCs/>
          <w:i w:val="0"/>
          <w:color w:val="0000FF"/>
          <w:sz w:val="20"/>
        </w:rPr>
        <w:t>marca</w:t>
      </w:r>
      <w:r w:rsidRPr="007938AF">
        <w:rPr>
          <w:rFonts w:ascii="Century Gothic" w:hAnsi="Century Gothic"/>
          <w:bCs/>
          <w:i w:val="0"/>
          <w:color w:val="0000FF"/>
          <w:sz w:val="20"/>
        </w:rPr>
        <w:t xml:space="preserve"> 201</w:t>
      </w:r>
      <w:r w:rsidR="00CD7E51">
        <w:rPr>
          <w:rFonts w:ascii="Century Gothic" w:hAnsi="Century Gothic"/>
          <w:bCs/>
          <w:i w:val="0"/>
          <w:color w:val="0000FF"/>
          <w:sz w:val="20"/>
        </w:rPr>
        <w:t>4</w:t>
      </w:r>
      <w:r w:rsidRPr="007938AF">
        <w:rPr>
          <w:rFonts w:ascii="Century Gothic" w:hAnsi="Century Gothic"/>
          <w:bCs/>
          <w:i w:val="0"/>
          <w:color w:val="0000FF"/>
          <w:sz w:val="20"/>
        </w:rPr>
        <w:t xml:space="preserve"> r.</w:t>
      </w:r>
      <w:bookmarkEnd w:id="81"/>
      <w:bookmarkEnd w:id="82"/>
      <w:bookmarkEnd w:id="83"/>
      <w:r w:rsidRPr="007938AF">
        <w:rPr>
          <w:rFonts w:ascii="Century Gothic" w:hAnsi="Century Gothic"/>
          <w:bCs/>
          <w:i w:val="0"/>
          <w:color w:val="0000FF"/>
          <w:sz w:val="20"/>
        </w:rPr>
        <w:t xml:space="preserve"> </w:t>
      </w:r>
    </w:p>
    <w:p w:rsidR="00E53D76" w:rsidRPr="007938AF" w:rsidRDefault="00E53D76" w:rsidP="00E53D76">
      <w:pPr>
        <w:jc w:val="both"/>
        <w:rPr>
          <w:rFonts w:ascii="Century Gothic" w:hAnsi="Century Gothic"/>
        </w:rPr>
      </w:pPr>
    </w:p>
    <w:p w:rsidR="003B3A01" w:rsidRPr="003B3A01" w:rsidRDefault="003B3A01" w:rsidP="003B3A01">
      <w:pPr>
        <w:ind w:left="360"/>
        <w:jc w:val="both"/>
        <w:rPr>
          <w:rFonts w:ascii="Century Gothic" w:hAnsi="Century Gothic" w:cs="Arial"/>
          <w:bCs/>
          <w:iCs/>
        </w:rPr>
      </w:pPr>
      <w:bookmarkStart w:id="84" w:name="_Toc228169577"/>
      <w:bookmarkStart w:id="85" w:name="_Toc334180297"/>
      <w:r w:rsidRPr="003B3A01">
        <w:rPr>
          <w:rFonts w:ascii="Century Gothic" w:hAnsi="Century Gothic" w:cs="Arial"/>
          <w:bCs/>
          <w:iCs/>
        </w:rPr>
        <w:t>Podstawowe dane finansowe:</w:t>
      </w:r>
    </w:p>
    <w:p w:rsidR="003B3A01" w:rsidRPr="003B3A01" w:rsidRDefault="003B3A01" w:rsidP="003B3A01">
      <w:pPr>
        <w:ind w:left="360"/>
        <w:jc w:val="both"/>
        <w:rPr>
          <w:rFonts w:ascii="Century Gothic" w:hAnsi="Century Gothic" w:cs="Arial"/>
          <w:bCs/>
          <w:iCs/>
        </w:rPr>
      </w:pPr>
    </w:p>
    <w:p w:rsidR="003B3A01" w:rsidRPr="003B3A01" w:rsidRDefault="003B3A01" w:rsidP="003B3A01">
      <w:pPr>
        <w:ind w:left="360"/>
        <w:jc w:val="both"/>
        <w:rPr>
          <w:rFonts w:ascii="Century Gothic" w:hAnsi="Century Gothic" w:cs="Arial"/>
          <w:bCs/>
          <w:iCs/>
        </w:rPr>
      </w:pPr>
    </w:p>
    <w:tbl>
      <w:tblPr>
        <w:tblW w:w="8040" w:type="dxa"/>
        <w:tblInd w:w="708" w:type="dxa"/>
        <w:tblCellMar>
          <w:left w:w="70" w:type="dxa"/>
          <w:right w:w="70" w:type="dxa"/>
        </w:tblCellMar>
        <w:tblLook w:val="04A0" w:firstRow="1" w:lastRow="0" w:firstColumn="1" w:lastColumn="0" w:noHBand="0" w:noVBand="1"/>
      </w:tblPr>
      <w:tblGrid>
        <w:gridCol w:w="3780"/>
        <w:gridCol w:w="2100"/>
        <w:gridCol w:w="2160"/>
      </w:tblGrid>
      <w:tr w:rsidR="003B3A01" w:rsidRPr="00BD31DA" w:rsidTr="00492F61">
        <w:trPr>
          <w:trHeight w:val="525"/>
        </w:trPr>
        <w:tc>
          <w:tcPr>
            <w:tcW w:w="3780" w:type="dxa"/>
            <w:vMerge w:val="restart"/>
            <w:tcBorders>
              <w:top w:val="single" w:sz="4" w:space="0" w:color="auto"/>
              <w:left w:val="nil"/>
              <w:bottom w:val="single" w:sz="4" w:space="0" w:color="000000"/>
              <w:right w:val="nil"/>
            </w:tcBorders>
            <w:shd w:val="clear" w:color="auto" w:fill="auto"/>
            <w:vAlign w:val="center"/>
          </w:tcPr>
          <w:p w:rsidR="003B3A01" w:rsidRPr="009A44D8" w:rsidRDefault="003B3A01" w:rsidP="00492F61">
            <w:pPr>
              <w:jc w:val="center"/>
              <w:rPr>
                <w:rFonts w:ascii="Century Gothic" w:hAnsi="Century Gothic" w:cs="Tahoma"/>
                <w:sz w:val="16"/>
                <w:szCs w:val="16"/>
              </w:rPr>
            </w:pPr>
            <w:r w:rsidRPr="009A44D8">
              <w:rPr>
                <w:rFonts w:ascii="Century Gothic" w:hAnsi="Century Gothic" w:cs="Tahoma"/>
                <w:sz w:val="16"/>
                <w:szCs w:val="16"/>
              </w:rPr>
              <w:t> </w:t>
            </w:r>
          </w:p>
        </w:tc>
        <w:tc>
          <w:tcPr>
            <w:tcW w:w="2100" w:type="dxa"/>
            <w:vMerge w:val="restart"/>
            <w:tcBorders>
              <w:top w:val="single" w:sz="4" w:space="0" w:color="auto"/>
              <w:left w:val="nil"/>
              <w:bottom w:val="single" w:sz="4" w:space="0" w:color="000000"/>
              <w:right w:val="nil"/>
            </w:tcBorders>
            <w:shd w:val="clear" w:color="auto" w:fill="auto"/>
            <w:vAlign w:val="center"/>
          </w:tcPr>
          <w:p w:rsidR="003B3A01" w:rsidRPr="00BD31DA" w:rsidRDefault="003B3A01" w:rsidP="00492F61">
            <w:pPr>
              <w:jc w:val="center"/>
              <w:rPr>
                <w:rFonts w:ascii="Century Gothic" w:hAnsi="Century Gothic" w:cs="Tahoma"/>
                <w:b/>
                <w:bCs/>
                <w:sz w:val="16"/>
                <w:szCs w:val="16"/>
              </w:rPr>
            </w:pPr>
            <w:r w:rsidRPr="00BD31DA">
              <w:rPr>
                <w:rFonts w:ascii="Century Gothic" w:hAnsi="Century Gothic" w:cs="Tahoma"/>
                <w:b/>
                <w:bCs/>
                <w:sz w:val="16"/>
                <w:szCs w:val="16"/>
              </w:rPr>
              <w:t xml:space="preserve">3 miesiące </w:t>
            </w:r>
          </w:p>
          <w:p w:rsidR="003B3A01" w:rsidRPr="00BD31DA" w:rsidRDefault="003B3A01" w:rsidP="00492F61">
            <w:pPr>
              <w:jc w:val="center"/>
              <w:rPr>
                <w:rFonts w:ascii="Century Gothic" w:hAnsi="Century Gothic" w:cs="Tahoma"/>
                <w:b/>
                <w:bCs/>
                <w:sz w:val="16"/>
                <w:szCs w:val="16"/>
              </w:rPr>
            </w:pPr>
            <w:r w:rsidRPr="00BD31DA">
              <w:rPr>
                <w:rFonts w:ascii="Century Gothic" w:hAnsi="Century Gothic" w:cs="Tahoma"/>
                <w:b/>
                <w:bCs/>
                <w:sz w:val="16"/>
                <w:szCs w:val="16"/>
              </w:rPr>
              <w:t xml:space="preserve">zakończone </w:t>
            </w:r>
          </w:p>
          <w:p w:rsidR="003B3A01" w:rsidRPr="00BD31DA" w:rsidRDefault="003B3A01" w:rsidP="00492F61">
            <w:pPr>
              <w:jc w:val="center"/>
              <w:rPr>
                <w:rFonts w:ascii="Century Gothic" w:hAnsi="Century Gothic" w:cs="Tahoma"/>
                <w:b/>
                <w:bCs/>
                <w:sz w:val="16"/>
                <w:szCs w:val="16"/>
              </w:rPr>
            </w:pPr>
            <w:r w:rsidRPr="00BD31DA">
              <w:rPr>
                <w:rFonts w:ascii="Century Gothic" w:hAnsi="Century Gothic" w:cs="Tahoma"/>
                <w:b/>
                <w:bCs/>
                <w:sz w:val="16"/>
                <w:szCs w:val="16"/>
              </w:rPr>
              <w:t>31.03.2014</w:t>
            </w:r>
          </w:p>
        </w:tc>
        <w:tc>
          <w:tcPr>
            <w:tcW w:w="2160" w:type="dxa"/>
            <w:vMerge w:val="restart"/>
            <w:tcBorders>
              <w:top w:val="single" w:sz="4" w:space="0" w:color="auto"/>
              <w:left w:val="nil"/>
              <w:bottom w:val="single" w:sz="4" w:space="0" w:color="000000"/>
              <w:right w:val="nil"/>
            </w:tcBorders>
            <w:shd w:val="clear" w:color="auto" w:fill="auto"/>
            <w:vAlign w:val="center"/>
          </w:tcPr>
          <w:p w:rsidR="003B3A01" w:rsidRPr="00BD31DA" w:rsidRDefault="003B3A01" w:rsidP="00492F61">
            <w:pPr>
              <w:jc w:val="center"/>
              <w:rPr>
                <w:rFonts w:ascii="Century Gothic" w:hAnsi="Century Gothic" w:cs="Tahoma"/>
                <w:b/>
                <w:bCs/>
                <w:sz w:val="16"/>
                <w:szCs w:val="16"/>
              </w:rPr>
            </w:pPr>
            <w:r w:rsidRPr="00BD31DA">
              <w:rPr>
                <w:rFonts w:ascii="Century Gothic" w:hAnsi="Century Gothic" w:cs="Tahoma"/>
                <w:b/>
                <w:bCs/>
                <w:sz w:val="16"/>
                <w:szCs w:val="16"/>
              </w:rPr>
              <w:t xml:space="preserve">3 miesiące </w:t>
            </w:r>
          </w:p>
          <w:p w:rsidR="003B3A01" w:rsidRPr="00BD31DA" w:rsidRDefault="003B3A01" w:rsidP="00492F61">
            <w:pPr>
              <w:jc w:val="center"/>
              <w:rPr>
                <w:rFonts w:ascii="Century Gothic" w:hAnsi="Century Gothic" w:cs="Tahoma"/>
                <w:b/>
                <w:bCs/>
                <w:sz w:val="16"/>
                <w:szCs w:val="16"/>
              </w:rPr>
            </w:pPr>
            <w:r w:rsidRPr="00BD31DA">
              <w:rPr>
                <w:rFonts w:ascii="Century Gothic" w:hAnsi="Century Gothic" w:cs="Tahoma"/>
                <w:b/>
                <w:bCs/>
                <w:sz w:val="16"/>
                <w:szCs w:val="16"/>
              </w:rPr>
              <w:t xml:space="preserve">zakończone </w:t>
            </w:r>
          </w:p>
          <w:p w:rsidR="003B3A01" w:rsidRPr="00BD31DA" w:rsidRDefault="003B3A01" w:rsidP="00492F61">
            <w:pPr>
              <w:jc w:val="center"/>
              <w:rPr>
                <w:rFonts w:ascii="Century Gothic" w:hAnsi="Century Gothic" w:cs="Tahoma"/>
                <w:b/>
                <w:bCs/>
                <w:sz w:val="16"/>
                <w:szCs w:val="16"/>
              </w:rPr>
            </w:pPr>
            <w:r w:rsidRPr="00BD31DA">
              <w:rPr>
                <w:rFonts w:ascii="Century Gothic" w:hAnsi="Century Gothic" w:cs="Tahoma"/>
                <w:b/>
                <w:bCs/>
                <w:sz w:val="16"/>
                <w:szCs w:val="16"/>
              </w:rPr>
              <w:t>31.03.2013</w:t>
            </w:r>
          </w:p>
        </w:tc>
      </w:tr>
      <w:tr w:rsidR="003B3A01" w:rsidRPr="00BD31DA" w:rsidTr="00492F61">
        <w:trPr>
          <w:trHeight w:val="426"/>
        </w:trPr>
        <w:tc>
          <w:tcPr>
            <w:tcW w:w="3780" w:type="dxa"/>
            <w:vMerge/>
            <w:tcBorders>
              <w:top w:val="single" w:sz="4" w:space="0" w:color="auto"/>
              <w:left w:val="nil"/>
              <w:bottom w:val="single" w:sz="4" w:space="0" w:color="000000"/>
              <w:right w:val="nil"/>
            </w:tcBorders>
            <w:shd w:val="clear" w:color="auto" w:fill="auto"/>
            <w:vAlign w:val="center"/>
          </w:tcPr>
          <w:p w:rsidR="003B3A01" w:rsidRPr="00BD31DA" w:rsidRDefault="003B3A01" w:rsidP="00492F61">
            <w:pPr>
              <w:rPr>
                <w:rFonts w:ascii="Century Gothic" w:hAnsi="Century Gothic" w:cs="Tahoma"/>
                <w:sz w:val="16"/>
                <w:szCs w:val="16"/>
              </w:rPr>
            </w:pPr>
          </w:p>
        </w:tc>
        <w:tc>
          <w:tcPr>
            <w:tcW w:w="2100" w:type="dxa"/>
            <w:vMerge/>
            <w:tcBorders>
              <w:top w:val="single" w:sz="4" w:space="0" w:color="auto"/>
              <w:left w:val="nil"/>
              <w:bottom w:val="single" w:sz="4" w:space="0" w:color="000000"/>
              <w:right w:val="nil"/>
            </w:tcBorders>
            <w:shd w:val="clear" w:color="auto" w:fill="auto"/>
            <w:vAlign w:val="center"/>
          </w:tcPr>
          <w:p w:rsidR="003B3A01" w:rsidRPr="00BD31DA" w:rsidRDefault="003B3A01" w:rsidP="00492F61">
            <w:pPr>
              <w:rPr>
                <w:rFonts w:ascii="Century Gothic" w:hAnsi="Century Gothic" w:cs="Tahoma"/>
                <w:b/>
                <w:bCs/>
                <w:sz w:val="16"/>
                <w:szCs w:val="16"/>
              </w:rPr>
            </w:pPr>
          </w:p>
        </w:tc>
        <w:tc>
          <w:tcPr>
            <w:tcW w:w="2160" w:type="dxa"/>
            <w:vMerge/>
            <w:tcBorders>
              <w:top w:val="single" w:sz="4" w:space="0" w:color="auto"/>
              <w:left w:val="nil"/>
              <w:bottom w:val="single" w:sz="4" w:space="0" w:color="000000"/>
              <w:right w:val="nil"/>
            </w:tcBorders>
            <w:shd w:val="clear" w:color="auto" w:fill="auto"/>
            <w:vAlign w:val="center"/>
          </w:tcPr>
          <w:p w:rsidR="003B3A01" w:rsidRPr="00BD31DA" w:rsidRDefault="003B3A01" w:rsidP="00492F61">
            <w:pPr>
              <w:rPr>
                <w:rFonts w:ascii="Century Gothic" w:hAnsi="Century Gothic" w:cs="Tahoma"/>
                <w:b/>
                <w:bCs/>
                <w:sz w:val="16"/>
                <w:szCs w:val="16"/>
              </w:rPr>
            </w:pP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Przychody ze sprzedaży</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3 571</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6 003</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Koszt własny sprzedaży</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-6 634</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-8 144</w:t>
            </w:r>
          </w:p>
        </w:tc>
      </w:tr>
      <w:tr w:rsidR="003B3A01" w:rsidRPr="00BD31DA" w:rsidTr="00492F61">
        <w:trPr>
          <w:trHeight w:val="270"/>
        </w:trPr>
        <w:tc>
          <w:tcPr>
            <w:tcW w:w="3780" w:type="dxa"/>
            <w:tcBorders>
              <w:top w:val="nil"/>
              <w:left w:val="nil"/>
              <w:bottom w:val="single" w:sz="4" w:space="0" w:color="auto"/>
              <w:right w:val="nil"/>
            </w:tcBorders>
            <w:shd w:val="clear" w:color="auto" w:fill="auto"/>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Zysk (strata) brutto ze sprzedaży</w:t>
            </w:r>
          </w:p>
        </w:tc>
        <w:tc>
          <w:tcPr>
            <w:tcW w:w="2100" w:type="dxa"/>
            <w:tcBorders>
              <w:top w:val="nil"/>
              <w:left w:val="nil"/>
              <w:bottom w:val="single" w:sz="4" w:space="0" w:color="auto"/>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-3 063</w:t>
            </w:r>
          </w:p>
        </w:tc>
        <w:tc>
          <w:tcPr>
            <w:tcW w:w="2160" w:type="dxa"/>
            <w:tcBorders>
              <w:top w:val="nil"/>
              <w:left w:val="nil"/>
              <w:bottom w:val="single" w:sz="4" w:space="0" w:color="auto"/>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-2 141</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Przychody z inwestycji Funduszu</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99</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Zyski (straty) ze zbycia inwestycji Funduszu</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399</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902</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Koszty sprzedaży</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-251</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-94</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Koszty ogólnego zarządu</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-1 769</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-2 255</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Pozostałe przychody operacyjne, w tym:</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797</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991</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 xml:space="preserve">           </w:t>
            </w:r>
            <w:r w:rsidRPr="00BD31DA">
              <w:rPr>
                <w:rFonts w:ascii="Century Gothic" w:hAnsi="Century Gothic" w:cs="Tahoma"/>
                <w:i/>
                <w:iCs/>
                <w:sz w:val="16"/>
                <w:szCs w:val="16"/>
              </w:rPr>
              <w:t>Dotacje rządowe</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i/>
                <w:iCs/>
                <w:sz w:val="16"/>
                <w:szCs w:val="16"/>
              </w:rPr>
            </w:pPr>
            <w:r w:rsidRPr="00BD31DA">
              <w:rPr>
                <w:rFonts w:ascii="Century Gothic" w:hAnsi="Century Gothic" w:cs="Tahoma"/>
                <w:i/>
                <w:iCs/>
                <w:sz w:val="16"/>
                <w:szCs w:val="16"/>
              </w:rPr>
              <w:t>674</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i/>
                <w:iCs/>
                <w:sz w:val="16"/>
                <w:szCs w:val="16"/>
              </w:rPr>
            </w:pPr>
            <w:r w:rsidRPr="00BD31DA">
              <w:rPr>
                <w:rFonts w:ascii="Century Gothic" w:hAnsi="Century Gothic" w:cs="Tahoma"/>
                <w:i/>
                <w:iCs/>
                <w:sz w:val="16"/>
                <w:szCs w:val="16"/>
              </w:rPr>
              <w:t>670</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Pozostałe koszty operacyjne</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-120</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-321</w:t>
            </w:r>
          </w:p>
        </w:tc>
      </w:tr>
      <w:tr w:rsidR="003B3A01" w:rsidRPr="00BD31DA" w:rsidTr="00492F61">
        <w:trPr>
          <w:trHeight w:val="270"/>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Zysk (strata) z działalności operacyjnej</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-3 976</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-2 688</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Przychody finansowe</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1</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2</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Koszty finansowe</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-2 149</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-3 182</w:t>
            </w:r>
          </w:p>
        </w:tc>
      </w:tr>
      <w:tr w:rsidR="003B3A01" w:rsidRPr="00BD31DA" w:rsidTr="00492F61">
        <w:trPr>
          <w:trHeight w:val="270"/>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 xml:space="preserve">Zysk (strata) brutto </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-6 124</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-5 868</w:t>
            </w:r>
          </w:p>
        </w:tc>
      </w:tr>
      <w:tr w:rsidR="003B3A01" w:rsidRPr="00BD31DA" w:rsidTr="00492F61">
        <w:trPr>
          <w:trHeight w:val="285"/>
        </w:trPr>
        <w:tc>
          <w:tcPr>
            <w:tcW w:w="3780" w:type="dxa"/>
            <w:tcBorders>
              <w:top w:val="single" w:sz="4" w:space="0" w:color="auto"/>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Podatek dochodowy</w:t>
            </w:r>
          </w:p>
        </w:tc>
        <w:tc>
          <w:tcPr>
            <w:tcW w:w="2100" w:type="dxa"/>
            <w:tcBorders>
              <w:top w:val="single" w:sz="4" w:space="0" w:color="auto"/>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6</w:t>
            </w:r>
          </w:p>
        </w:tc>
        <w:tc>
          <w:tcPr>
            <w:tcW w:w="2160" w:type="dxa"/>
            <w:tcBorders>
              <w:top w:val="single" w:sz="4" w:space="0" w:color="auto"/>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sz w:val="16"/>
                <w:szCs w:val="16"/>
              </w:rPr>
            </w:pPr>
            <w:r w:rsidRPr="00BD31DA">
              <w:rPr>
                <w:rFonts w:ascii="Century Gothic" w:hAnsi="Century Gothic" w:cs="Tahoma"/>
                <w:sz w:val="16"/>
                <w:szCs w:val="16"/>
              </w:rPr>
              <w:t>81</w:t>
            </w:r>
          </w:p>
        </w:tc>
      </w:tr>
      <w:tr w:rsidR="003B3A01" w:rsidRPr="00BD31DA" w:rsidTr="00492F61">
        <w:trPr>
          <w:trHeight w:val="270"/>
        </w:trPr>
        <w:tc>
          <w:tcPr>
            <w:tcW w:w="3780" w:type="dxa"/>
            <w:tcBorders>
              <w:top w:val="nil"/>
              <w:left w:val="nil"/>
              <w:bottom w:val="single" w:sz="4" w:space="0" w:color="auto"/>
              <w:right w:val="nil"/>
            </w:tcBorders>
            <w:shd w:val="clear" w:color="auto" w:fill="auto"/>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Zysk (strata) netto</w:t>
            </w:r>
          </w:p>
        </w:tc>
        <w:tc>
          <w:tcPr>
            <w:tcW w:w="2100" w:type="dxa"/>
            <w:tcBorders>
              <w:top w:val="nil"/>
              <w:left w:val="nil"/>
              <w:bottom w:val="single" w:sz="4" w:space="0" w:color="auto"/>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-6 118</w:t>
            </w:r>
          </w:p>
        </w:tc>
        <w:tc>
          <w:tcPr>
            <w:tcW w:w="2160" w:type="dxa"/>
            <w:tcBorders>
              <w:top w:val="nil"/>
              <w:left w:val="nil"/>
              <w:bottom w:val="single" w:sz="4" w:space="0" w:color="auto"/>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-5 787</w:t>
            </w:r>
          </w:p>
        </w:tc>
      </w:tr>
      <w:tr w:rsidR="003B3A01" w:rsidRPr="00BD31DA" w:rsidTr="00492F61">
        <w:trPr>
          <w:trHeight w:val="270"/>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Zysk (strata) netto przypadający:</w:t>
            </w:r>
          </w:p>
        </w:tc>
        <w:tc>
          <w:tcPr>
            <w:tcW w:w="2100" w:type="dxa"/>
            <w:tcBorders>
              <w:top w:val="nil"/>
              <w:left w:val="nil"/>
              <w:bottom w:val="nil"/>
              <w:right w:val="nil"/>
            </w:tcBorders>
            <w:shd w:val="clear" w:color="auto" w:fill="auto"/>
            <w:noWrap/>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 </w:t>
            </w:r>
          </w:p>
        </w:tc>
        <w:tc>
          <w:tcPr>
            <w:tcW w:w="2160" w:type="dxa"/>
            <w:tcBorders>
              <w:top w:val="nil"/>
              <w:left w:val="nil"/>
              <w:bottom w:val="nil"/>
              <w:right w:val="nil"/>
            </w:tcBorders>
            <w:shd w:val="clear" w:color="auto" w:fill="auto"/>
            <w:noWrap/>
            <w:vAlign w:val="bottom"/>
          </w:tcPr>
          <w:p w:rsidR="003B3A01" w:rsidRPr="00BD31DA" w:rsidRDefault="003B3A01" w:rsidP="00492F61">
            <w:pPr>
              <w:rPr>
                <w:rFonts w:ascii="Century Gothic" w:hAnsi="Century Gothic" w:cs="Tahoma"/>
                <w:b/>
                <w:bCs/>
                <w:sz w:val="16"/>
                <w:szCs w:val="16"/>
              </w:rPr>
            </w:pPr>
            <w:r w:rsidRPr="00BD31DA">
              <w:rPr>
                <w:rFonts w:ascii="Century Gothic" w:hAnsi="Century Gothic" w:cs="Tahoma"/>
                <w:b/>
                <w:bCs/>
                <w:sz w:val="16"/>
                <w:szCs w:val="16"/>
              </w:rPr>
              <w:t> </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 akcjonariuszom podmiotu dominującego</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-5 709</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-5 923</w:t>
            </w:r>
          </w:p>
        </w:tc>
      </w:tr>
      <w:tr w:rsidR="003B3A01" w:rsidRPr="00BD31DA" w:rsidTr="00492F61">
        <w:trPr>
          <w:trHeight w:val="285"/>
        </w:trPr>
        <w:tc>
          <w:tcPr>
            <w:tcW w:w="3780" w:type="dxa"/>
            <w:tcBorders>
              <w:top w:val="nil"/>
              <w:left w:val="nil"/>
              <w:bottom w:val="nil"/>
              <w:right w:val="nil"/>
            </w:tcBorders>
            <w:shd w:val="clear" w:color="auto" w:fill="auto"/>
            <w:vAlign w:val="bottom"/>
          </w:tcPr>
          <w:p w:rsidR="003B3A01" w:rsidRPr="00BD31DA" w:rsidRDefault="003B3A01" w:rsidP="00492F61">
            <w:pPr>
              <w:rPr>
                <w:rFonts w:ascii="Century Gothic" w:hAnsi="Century Gothic" w:cs="Tahoma"/>
                <w:sz w:val="16"/>
                <w:szCs w:val="16"/>
              </w:rPr>
            </w:pPr>
            <w:r w:rsidRPr="00BD31DA">
              <w:rPr>
                <w:rFonts w:ascii="Century Gothic" w:hAnsi="Century Gothic" w:cs="Tahoma"/>
                <w:sz w:val="16"/>
                <w:szCs w:val="16"/>
              </w:rPr>
              <w:t>- na udziały nie sprawujące kontroli</w:t>
            </w:r>
          </w:p>
        </w:tc>
        <w:tc>
          <w:tcPr>
            <w:tcW w:w="210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-409</w:t>
            </w:r>
          </w:p>
        </w:tc>
        <w:tc>
          <w:tcPr>
            <w:tcW w:w="2160" w:type="dxa"/>
            <w:tcBorders>
              <w:top w:val="nil"/>
              <w:left w:val="nil"/>
              <w:bottom w:val="nil"/>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r w:rsidRPr="00BD31DA">
              <w:rPr>
                <w:rFonts w:ascii="Century Gothic" w:hAnsi="Century Gothic" w:cs="Tahoma"/>
                <w:b/>
                <w:bCs/>
                <w:sz w:val="16"/>
                <w:szCs w:val="16"/>
              </w:rPr>
              <w:t>136</w:t>
            </w:r>
          </w:p>
        </w:tc>
      </w:tr>
      <w:tr w:rsidR="003B3A01" w:rsidRPr="00CD7E51" w:rsidTr="00492F61">
        <w:trPr>
          <w:trHeight w:val="285"/>
        </w:trPr>
        <w:tc>
          <w:tcPr>
            <w:tcW w:w="3780" w:type="dxa"/>
            <w:tcBorders>
              <w:top w:val="nil"/>
              <w:left w:val="nil"/>
              <w:bottom w:val="single" w:sz="4" w:space="0" w:color="auto"/>
              <w:right w:val="nil"/>
            </w:tcBorders>
            <w:shd w:val="clear" w:color="auto" w:fill="auto"/>
            <w:vAlign w:val="bottom"/>
          </w:tcPr>
          <w:p w:rsidR="003B3A01" w:rsidRPr="00BD31DA" w:rsidRDefault="003B3A01" w:rsidP="00492F61">
            <w:pPr>
              <w:rPr>
                <w:rFonts w:ascii="Century Gothic" w:hAnsi="Century Gothic" w:cs="Tahoma"/>
                <w:sz w:val="16"/>
                <w:szCs w:val="16"/>
              </w:rPr>
            </w:pPr>
          </w:p>
        </w:tc>
        <w:tc>
          <w:tcPr>
            <w:tcW w:w="2100" w:type="dxa"/>
            <w:tcBorders>
              <w:top w:val="nil"/>
              <w:left w:val="nil"/>
              <w:bottom w:val="single" w:sz="4" w:space="0" w:color="auto"/>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p>
        </w:tc>
        <w:tc>
          <w:tcPr>
            <w:tcW w:w="2160" w:type="dxa"/>
            <w:tcBorders>
              <w:top w:val="nil"/>
              <w:left w:val="nil"/>
              <w:bottom w:val="single" w:sz="4" w:space="0" w:color="auto"/>
              <w:right w:val="nil"/>
            </w:tcBorders>
            <w:shd w:val="clear" w:color="auto" w:fill="auto"/>
            <w:noWrap/>
            <w:vAlign w:val="bottom"/>
          </w:tcPr>
          <w:p w:rsidR="003B3A01" w:rsidRPr="00BD31DA" w:rsidRDefault="003B3A01" w:rsidP="00492F61">
            <w:pPr>
              <w:jc w:val="right"/>
              <w:rPr>
                <w:rFonts w:ascii="Century Gothic" w:hAnsi="Century Gothic" w:cs="Tahoma"/>
                <w:b/>
                <w:bCs/>
                <w:sz w:val="16"/>
                <w:szCs w:val="16"/>
              </w:rPr>
            </w:pPr>
          </w:p>
        </w:tc>
      </w:tr>
    </w:tbl>
    <w:p w:rsidR="003B3A01" w:rsidRPr="003B3A01" w:rsidRDefault="003B3A01" w:rsidP="003B3A01">
      <w:pPr>
        <w:ind w:left="360"/>
        <w:jc w:val="both"/>
        <w:rPr>
          <w:rFonts w:ascii="Century Gothic" w:hAnsi="Century Gothic" w:cs="Arial"/>
          <w:bCs/>
          <w:iCs/>
          <w:highlight w:val="yellow"/>
        </w:rPr>
      </w:pPr>
    </w:p>
    <w:p w:rsidR="003B3A01" w:rsidRPr="003B3A01" w:rsidRDefault="003B3A01" w:rsidP="003B3A01">
      <w:pPr>
        <w:shd w:val="clear" w:color="auto" w:fill="FFFFFF"/>
        <w:ind w:left="360"/>
        <w:jc w:val="both"/>
        <w:rPr>
          <w:rFonts w:ascii="Century Gothic" w:hAnsi="Century Gothic"/>
        </w:rPr>
      </w:pPr>
      <w:r w:rsidRPr="003B3A01">
        <w:rPr>
          <w:rFonts w:ascii="Century Gothic" w:hAnsi="Century Gothic"/>
        </w:rPr>
        <w:t xml:space="preserve">Przychody ze sprzedaży w okresie 3 miesięcy 2014 r. w porównaniu z analogicznym okresem roku poprzedniego spadły o 40,5%. Powyższe było skutkiem spadku obrotów w największych spółkach Grupy tj. w OZEN Plus (10,2%) , a w szczególności </w:t>
      </w:r>
      <w:proofErr w:type="spellStart"/>
      <w:r w:rsidRPr="003B3A01">
        <w:rPr>
          <w:rFonts w:ascii="Century Gothic" w:hAnsi="Century Gothic"/>
        </w:rPr>
        <w:t>Viatron</w:t>
      </w:r>
      <w:proofErr w:type="spellEnd"/>
      <w:r w:rsidRPr="003B3A01">
        <w:rPr>
          <w:rFonts w:ascii="Century Gothic" w:hAnsi="Century Gothic"/>
        </w:rPr>
        <w:t xml:space="preserve"> (81,2%) . Struktura przychodów w podziale na spółki Grupy przedstawia się następująco:</w:t>
      </w:r>
    </w:p>
    <w:p w:rsidR="003B3A01" w:rsidRPr="003B3A01" w:rsidRDefault="003B3A01" w:rsidP="003B3A01">
      <w:pPr>
        <w:ind w:left="360"/>
        <w:jc w:val="both"/>
        <w:rPr>
          <w:rFonts w:ascii="Century Gothic" w:hAnsi="Century Gothic"/>
          <w:highlight w:val="yellow"/>
        </w:rPr>
      </w:pPr>
    </w:p>
    <w:tbl>
      <w:tblPr>
        <w:tblW w:w="4849" w:type="pct"/>
        <w:tblInd w:w="496" w:type="dxa"/>
        <w:tblCellMar>
          <w:left w:w="70" w:type="dxa"/>
          <w:right w:w="70" w:type="dxa"/>
        </w:tblCellMar>
        <w:tblLook w:val="04A0" w:firstRow="1" w:lastRow="0" w:firstColumn="1" w:lastColumn="0" w:noHBand="0" w:noVBand="1"/>
      </w:tblPr>
      <w:tblGrid>
        <w:gridCol w:w="5242"/>
        <w:gridCol w:w="954"/>
        <w:gridCol w:w="1235"/>
        <w:gridCol w:w="954"/>
        <w:gridCol w:w="1235"/>
      </w:tblGrid>
      <w:tr w:rsidR="003B3A01" w:rsidRPr="009573AB" w:rsidTr="00492F61">
        <w:trPr>
          <w:trHeight w:val="387"/>
        </w:trPr>
        <w:tc>
          <w:tcPr>
            <w:tcW w:w="3049" w:type="pct"/>
            <w:tcBorders>
              <w:top w:val="single" w:sz="4" w:space="0" w:color="auto"/>
              <w:left w:val="nil"/>
              <w:bottom w:val="nil"/>
              <w:right w:val="nil"/>
            </w:tcBorders>
            <w:shd w:val="clear" w:color="auto" w:fill="auto"/>
            <w:noWrap/>
            <w:vAlign w:val="center"/>
          </w:tcPr>
          <w:p w:rsidR="003B3A01" w:rsidRPr="003B3A01" w:rsidRDefault="003B3A01" w:rsidP="003B3A01">
            <w:pPr>
              <w:ind w:left="360"/>
              <w:jc w:val="center"/>
              <w:rPr>
                <w:rFonts w:ascii="Century Gothic" w:hAnsi="Century Gothic" w:cs="Tahoma"/>
                <w:sz w:val="18"/>
                <w:szCs w:val="18"/>
              </w:rPr>
            </w:pPr>
          </w:p>
        </w:tc>
        <w:tc>
          <w:tcPr>
            <w:tcW w:w="1020" w:type="pct"/>
            <w:gridSpan w:val="2"/>
            <w:tcBorders>
              <w:top w:val="single" w:sz="4" w:space="0" w:color="auto"/>
              <w:left w:val="nil"/>
              <w:bottom w:val="nil"/>
              <w:right w:val="nil"/>
            </w:tcBorders>
            <w:shd w:val="clear" w:color="auto" w:fill="auto"/>
            <w:noWrap/>
            <w:vAlign w:val="center"/>
          </w:tcPr>
          <w:p w:rsidR="003B3A01" w:rsidRPr="003B3A01" w:rsidRDefault="003B3A01" w:rsidP="003B3A01">
            <w:pPr>
              <w:ind w:left="360"/>
              <w:jc w:val="center"/>
              <w:rPr>
                <w:rFonts w:ascii="Century Gothic" w:hAnsi="Century Gothic" w:cs="Tahoma"/>
                <w:b/>
                <w:bCs/>
                <w:sz w:val="18"/>
                <w:szCs w:val="18"/>
              </w:rPr>
            </w:pPr>
            <w:r w:rsidRPr="003B3A01">
              <w:rPr>
                <w:rFonts w:ascii="Century Gothic" w:hAnsi="Century Gothic" w:cs="Tahoma"/>
                <w:b/>
                <w:bCs/>
                <w:sz w:val="18"/>
                <w:szCs w:val="18"/>
              </w:rPr>
              <w:t>I kwartał 2014</w:t>
            </w:r>
          </w:p>
        </w:tc>
        <w:tc>
          <w:tcPr>
            <w:tcW w:w="931" w:type="pct"/>
            <w:gridSpan w:val="2"/>
            <w:tcBorders>
              <w:top w:val="single" w:sz="4" w:space="0" w:color="auto"/>
              <w:left w:val="nil"/>
              <w:bottom w:val="nil"/>
              <w:right w:val="nil"/>
            </w:tcBorders>
            <w:shd w:val="clear" w:color="auto" w:fill="auto"/>
            <w:noWrap/>
            <w:vAlign w:val="center"/>
          </w:tcPr>
          <w:p w:rsidR="003B3A01" w:rsidRPr="003B3A01" w:rsidRDefault="003B3A01" w:rsidP="003B3A01">
            <w:pPr>
              <w:ind w:left="360"/>
              <w:jc w:val="center"/>
              <w:rPr>
                <w:rFonts w:ascii="Century Gothic" w:hAnsi="Century Gothic" w:cs="Tahoma"/>
                <w:b/>
                <w:bCs/>
                <w:sz w:val="18"/>
                <w:szCs w:val="18"/>
              </w:rPr>
            </w:pPr>
            <w:r w:rsidRPr="003B3A01">
              <w:rPr>
                <w:rFonts w:ascii="Century Gothic" w:hAnsi="Century Gothic" w:cs="Tahoma"/>
                <w:b/>
                <w:bCs/>
                <w:sz w:val="18"/>
                <w:szCs w:val="18"/>
              </w:rPr>
              <w:t>I kwartał 2013</w:t>
            </w:r>
          </w:p>
        </w:tc>
      </w:tr>
      <w:tr w:rsidR="003B3A01" w:rsidRPr="009573AB" w:rsidTr="00492F61">
        <w:trPr>
          <w:trHeight w:val="387"/>
        </w:trPr>
        <w:tc>
          <w:tcPr>
            <w:tcW w:w="3049"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center"/>
              <w:rPr>
                <w:rFonts w:ascii="Century Gothic" w:hAnsi="Century Gothic" w:cs="Tahoma"/>
                <w:sz w:val="18"/>
                <w:szCs w:val="18"/>
              </w:rPr>
            </w:pPr>
          </w:p>
        </w:tc>
        <w:tc>
          <w:tcPr>
            <w:tcW w:w="565"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center"/>
              <w:rPr>
                <w:rFonts w:ascii="Century Gothic" w:hAnsi="Century Gothic" w:cs="Tahoma"/>
                <w:b/>
                <w:bCs/>
                <w:sz w:val="18"/>
                <w:szCs w:val="18"/>
              </w:rPr>
            </w:pPr>
            <w:proofErr w:type="spellStart"/>
            <w:r w:rsidRPr="003B3A01">
              <w:rPr>
                <w:rFonts w:ascii="Century Gothic" w:hAnsi="Century Gothic" w:cs="Tahoma"/>
                <w:b/>
                <w:bCs/>
                <w:sz w:val="18"/>
                <w:szCs w:val="18"/>
              </w:rPr>
              <w:t>tys</w:t>
            </w:r>
            <w:proofErr w:type="spellEnd"/>
            <w:r w:rsidRPr="003B3A01">
              <w:rPr>
                <w:rFonts w:ascii="Century Gothic" w:hAnsi="Century Gothic" w:cs="Tahoma"/>
                <w:b/>
                <w:bCs/>
                <w:sz w:val="18"/>
                <w:szCs w:val="18"/>
              </w:rPr>
              <w:t xml:space="preserve"> zł</w:t>
            </w:r>
          </w:p>
        </w:tc>
        <w:tc>
          <w:tcPr>
            <w:tcW w:w="455"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center"/>
              <w:rPr>
                <w:rFonts w:ascii="Century Gothic" w:hAnsi="Century Gothic" w:cs="Tahoma"/>
                <w:b/>
                <w:bCs/>
                <w:sz w:val="18"/>
                <w:szCs w:val="18"/>
              </w:rPr>
            </w:pPr>
            <w:r w:rsidRPr="003B3A01">
              <w:rPr>
                <w:rFonts w:ascii="Century Gothic" w:hAnsi="Century Gothic" w:cs="Tahoma"/>
                <w:b/>
                <w:bCs/>
                <w:sz w:val="18"/>
                <w:szCs w:val="18"/>
              </w:rPr>
              <w:t>udział %</w:t>
            </w:r>
          </w:p>
        </w:tc>
        <w:tc>
          <w:tcPr>
            <w:tcW w:w="476"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center"/>
              <w:rPr>
                <w:rFonts w:ascii="Century Gothic" w:hAnsi="Century Gothic" w:cs="Tahoma"/>
                <w:b/>
                <w:bCs/>
                <w:sz w:val="18"/>
                <w:szCs w:val="18"/>
              </w:rPr>
            </w:pPr>
            <w:proofErr w:type="spellStart"/>
            <w:r w:rsidRPr="003B3A01">
              <w:rPr>
                <w:rFonts w:ascii="Century Gothic" w:hAnsi="Century Gothic" w:cs="Tahoma"/>
                <w:b/>
                <w:bCs/>
                <w:sz w:val="18"/>
                <w:szCs w:val="18"/>
              </w:rPr>
              <w:t>tys</w:t>
            </w:r>
            <w:proofErr w:type="spellEnd"/>
            <w:r w:rsidRPr="003B3A01">
              <w:rPr>
                <w:rFonts w:ascii="Century Gothic" w:hAnsi="Century Gothic" w:cs="Tahoma"/>
                <w:b/>
                <w:bCs/>
                <w:sz w:val="18"/>
                <w:szCs w:val="18"/>
              </w:rPr>
              <w:t xml:space="preserve"> zł</w:t>
            </w:r>
          </w:p>
        </w:tc>
        <w:tc>
          <w:tcPr>
            <w:tcW w:w="455"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center"/>
              <w:rPr>
                <w:rFonts w:ascii="Century Gothic" w:hAnsi="Century Gothic" w:cs="Tahoma"/>
                <w:b/>
                <w:bCs/>
                <w:sz w:val="18"/>
                <w:szCs w:val="18"/>
              </w:rPr>
            </w:pPr>
            <w:r w:rsidRPr="003B3A01">
              <w:rPr>
                <w:rFonts w:ascii="Century Gothic" w:hAnsi="Century Gothic" w:cs="Tahoma"/>
                <w:b/>
                <w:bCs/>
                <w:sz w:val="18"/>
                <w:szCs w:val="18"/>
              </w:rPr>
              <w:t>udział %</w:t>
            </w:r>
          </w:p>
        </w:tc>
      </w:tr>
      <w:tr w:rsidR="003B3A01" w:rsidRPr="009573AB" w:rsidTr="00492F61">
        <w:trPr>
          <w:trHeight w:val="387"/>
        </w:trPr>
        <w:tc>
          <w:tcPr>
            <w:tcW w:w="3049" w:type="pct"/>
            <w:tcBorders>
              <w:top w:val="nil"/>
              <w:left w:val="nil"/>
              <w:bottom w:val="single" w:sz="4" w:space="0" w:color="auto"/>
              <w:right w:val="nil"/>
            </w:tcBorders>
            <w:shd w:val="clear" w:color="auto" w:fill="auto"/>
            <w:vAlign w:val="center"/>
          </w:tcPr>
          <w:p w:rsidR="003B3A01" w:rsidRPr="003B3A01" w:rsidRDefault="003B3A01" w:rsidP="003B3A01">
            <w:pPr>
              <w:ind w:left="360"/>
              <w:rPr>
                <w:rFonts w:ascii="Century Gothic" w:hAnsi="Century Gothic" w:cs="Tahoma"/>
                <w:b/>
                <w:bCs/>
                <w:sz w:val="18"/>
                <w:szCs w:val="18"/>
              </w:rPr>
            </w:pPr>
            <w:r w:rsidRPr="003B3A01">
              <w:rPr>
                <w:rFonts w:ascii="Century Gothic" w:hAnsi="Century Gothic" w:cs="Tahoma"/>
                <w:b/>
                <w:bCs/>
                <w:sz w:val="18"/>
                <w:szCs w:val="18"/>
              </w:rPr>
              <w:t>łączne przychody ze sprzedaży Grupy, w tym:</w:t>
            </w:r>
          </w:p>
        </w:tc>
        <w:tc>
          <w:tcPr>
            <w:tcW w:w="565" w:type="pct"/>
            <w:tcBorders>
              <w:top w:val="nil"/>
              <w:left w:val="nil"/>
              <w:bottom w:val="single" w:sz="4" w:space="0" w:color="auto"/>
              <w:right w:val="nil"/>
            </w:tcBorders>
            <w:shd w:val="clear" w:color="auto" w:fill="auto"/>
            <w:noWrap/>
            <w:vAlign w:val="center"/>
          </w:tcPr>
          <w:p w:rsidR="003B3A01" w:rsidRPr="003B3A01" w:rsidRDefault="003B3A01" w:rsidP="003B3A01">
            <w:pPr>
              <w:ind w:left="360"/>
              <w:rPr>
                <w:rFonts w:ascii="Century Gothic" w:hAnsi="Century Gothic" w:cs="Tahoma"/>
                <w:b/>
                <w:bCs/>
                <w:sz w:val="18"/>
                <w:szCs w:val="18"/>
              </w:rPr>
            </w:pPr>
            <w:r w:rsidRPr="003B3A01">
              <w:rPr>
                <w:rFonts w:ascii="Century Gothic" w:hAnsi="Century Gothic" w:cs="Tahoma"/>
                <w:b/>
                <w:bCs/>
                <w:sz w:val="18"/>
                <w:szCs w:val="18"/>
              </w:rPr>
              <w:t xml:space="preserve">3 571    </w:t>
            </w:r>
          </w:p>
        </w:tc>
        <w:tc>
          <w:tcPr>
            <w:tcW w:w="455" w:type="pct"/>
            <w:tcBorders>
              <w:top w:val="nil"/>
              <w:left w:val="nil"/>
              <w:bottom w:val="single" w:sz="4" w:space="0" w:color="auto"/>
              <w:right w:val="nil"/>
            </w:tcBorders>
            <w:shd w:val="clear" w:color="auto" w:fill="auto"/>
            <w:noWrap/>
            <w:vAlign w:val="center"/>
          </w:tcPr>
          <w:p w:rsidR="003B3A01" w:rsidRPr="003B3A01" w:rsidRDefault="003B3A01" w:rsidP="003B3A01">
            <w:pPr>
              <w:ind w:left="360"/>
              <w:rPr>
                <w:rFonts w:ascii="Century Gothic" w:hAnsi="Century Gothic" w:cs="Tahoma"/>
                <w:b/>
                <w:bCs/>
                <w:sz w:val="18"/>
                <w:szCs w:val="18"/>
              </w:rPr>
            </w:pPr>
          </w:p>
        </w:tc>
        <w:tc>
          <w:tcPr>
            <w:tcW w:w="476" w:type="pct"/>
            <w:tcBorders>
              <w:top w:val="nil"/>
              <w:left w:val="nil"/>
              <w:bottom w:val="single" w:sz="4" w:space="0" w:color="auto"/>
              <w:right w:val="nil"/>
            </w:tcBorders>
            <w:shd w:val="clear" w:color="auto" w:fill="auto"/>
            <w:noWrap/>
            <w:vAlign w:val="center"/>
          </w:tcPr>
          <w:p w:rsidR="003B3A01" w:rsidRPr="003B3A01" w:rsidRDefault="003B3A01" w:rsidP="003B3A01">
            <w:pPr>
              <w:ind w:left="360"/>
              <w:rPr>
                <w:rFonts w:ascii="Century Gothic" w:hAnsi="Century Gothic" w:cs="Tahoma"/>
                <w:b/>
                <w:bCs/>
                <w:sz w:val="18"/>
                <w:szCs w:val="18"/>
              </w:rPr>
            </w:pPr>
            <w:r w:rsidRPr="003B3A01">
              <w:rPr>
                <w:rFonts w:ascii="Century Gothic" w:hAnsi="Century Gothic" w:cs="Tahoma"/>
                <w:b/>
                <w:bCs/>
                <w:sz w:val="18"/>
                <w:szCs w:val="18"/>
              </w:rPr>
              <w:t>6 003</w:t>
            </w:r>
          </w:p>
        </w:tc>
        <w:tc>
          <w:tcPr>
            <w:tcW w:w="455" w:type="pct"/>
            <w:tcBorders>
              <w:top w:val="nil"/>
              <w:left w:val="nil"/>
              <w:bottom w:val="single" w:sz="4" w:space="0" w:color="auto"/>
              <w:right w:val="nil"/>
            </w:tcBorders>
            <w:shd w:val="clear" w:color="auto" w:fill="auto"/>
            <w:noWrap/>
            <w:vAlign w:val="center"/>
          </w:tcPr>
          <w:p w:rsidR="003B3A01" w:rsidRPr="003B3A01" w:rsidRDefault="003B3A01" w:rsidP="003B3A01">
            <w:pPr>
              <w:ind w:left="360"/>
              <w:rPr>
                <w:rFonts w:ascii="Century Gothic" w:hAnsi="Century Gothic" w:cs="Tahoma"/>
                <w:b/>
                <w:bCs/>
                <w:sz w:val="18"/>
                <w:szCs w:val="18"/>
              </w:rPr>
            </w:pPr>
          </w:p>
        </w:tc>
      </w:tr>
      <w:tr w:rsidR="003B3A01" w:rsidRPr="009573AB" w:rsidTr="00492F61">
        <w:trPr>
          <w:trHeight w:val="387"/>
        </w:trPr>
        <w:tc>
          <w:tcPr>
            <w:tcW w:w="3049" w:type="pct"/>
            <w:tcBorders>
              <w:top w:val="nil"/>
              <w:left w:val="nil"/>
              <w:bottom w:val="nil"/>
              <w:right w:val="nil"/>
            </w:tcBorders>
            <w:shd w:val="clear" w:color="auto" w:fill="auto"/>
            <w:vAlign w:val="center"/>
          </w:tcPr>
          <w:p w:rsidR="003B3A01" w:rsidRPr="003B3A01" w:rsidRDefault="003B3A01" w:rsidP="003B3A01">
            <w:pPr>
              <w:ind w:left="360"/>
              <w:rPr>
                <w:rFonts w:ascii="Century Gothic" w:hAnsi="Century Gothic" w:cs="Tahoma"/>
                <w:sz w:val="18"/>
                <w:szCs w:val="18"/>
              </w:rPr>
            </w:pPr>
            <w:r w:rsidRPr="003B3A01">
              <w:rPr>
                <w:rFonts w:ascii="Century Gothic" w:hAnsi="Century Gothic" w:cs="Tahoma"/>
                <w:sz w:val="18"/>
                <w:szCs w:val="18"/>
              </w:rPr>
              <w:t xml:space="preserve">Energetyka </w:t>
            </w:r>
            <w:proofErr w:type="spellStart"/>
            <w:r w:rsidRPr="003B3A01">
              <w:rPr>
                <w:rFonts w:ascii="Century Gothic" w:hAnsi="Century Gothic" w:cs="Tahoma"/>
                <w:sz w:val="18"/>
                <w:szCs w:val="18"/>
              </w:rPr>
              <w:t>biomasowa</w:t>
            </w:r>
            <w:proofErr w:type="spellEnd"/>
            <w:r w:rsidRPr="003B3A01">
              <w:rPr>
                <w:rFonts w:ascii="Century Gothic" w:hAnsi="Century Gothic" w:cs="Tahoma"/>
                <w:sz w:val="18"/>
                <w:szCs w:val="18"/>
              </w:rPr>
              <w:t xml:space="preserve"> (</w:t>
            </w:r>
            <w:proofErr w:type="spellStart"/>
            <w:r w:rsidRPr="003B3A01">
              <w:rPr>
                <w:rFonts w:ascii="Century Gothic" w:hAnsi="Century Gothic" w:cs="Tahoma"/>
                <w:sz w:val="18"/>
                <w:szCs w:val="18"/>
              </w:rPr>
              <w:t>Ozen</w:t>
            </w:r>
            <w:proofErr w:type="spellEnd"/>
            <w:r w:rsidRPr="003B3A01">
              <w:rPr>
                <w:rFonts w:ascii="Century Gothic" w:hAnsi="Century Gothic" w:cs="Tahoma"/>
                <w:sz w:val="18"/>
                <w:szCs w:val="18"/>
              </w:rPr>
              <w:t xml:space="preserve"> Plus)</w:t>
            </w:r>
          </w:p>
        </w:tc>
        <w:tc>
          <w:tcPr>
            <w:tcW w:w="56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2 778</w:t>
            </w:r>
          </w:p>
        </w:tc>
        <w:tc>
          <w:tcPr>
            <w:tcW w:w="45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77,8%</w:t>
            </w:r>
          </w:p>
        </w:tc>
        <w:tc>
          <w:tcPr>
            <w:tcW w:w="476"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3 095</w:t>
            </w:r>
          </w:p>
        </w:tc>
        <w:tc>
          <w:tcPr>
            <w:tcW w:w="45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51,6%</w:t>
            </w:r>
          </w:p>
        </w:tc>
      </w:tr>
      <w:tr w:rsidR="003B3A01" w:rsidRPr="009573AB" w:rsidTr="00492F61">
        <w:trPr>
          <w:trHeight w:val="387"/>
        </w:trPr>
        <w:tc>
          <w:tcPr>
            <w:tcW w:w="3049" w:type="pct"/>
            <w:tcBorders>
              <w:top w:val="nil"/>
              <w:left w:val="nil"/>
              <w:bottom w:val="nil"/>
              <w:right w:val="nil"/>
            </w:tcBorders>
            <w:shd w:val="clear" w:color="auto" w:fill="auto"/>
            <w:vAlign w:val="center"/>
          </w:tcPr>
          <w:p w:rsidR="003B3A01" w:rsidRPr="003B3A01" w:rsidRDefault="003B3A01" w:rsidP="003B3A01">
            <w:pPr>
              <w:ind w:left="360"/>
              <w:rPr>
                <w:rFonts w:ascii="Century Gothic" w:hAnsi="Century Gothic" w:cs="Tahoma"/>
                <w:sz w:val="18"/>
                <w:szCs w:val="18"/>
              </w:rPr>
            </w:pPr>
            <w:r w:rsidRPr="003B3A01">
              <w:rPr>
                <w:rFonts w:ascii="Century Gothic" w:hAnsi="Century Gothic" w:cs="Tahoma"/>
                <w:sz w:val="18"/>
                <w:szCs w:val="18"/>
              </w:rPr>
              <w:t>Energetyka wiatrowa (</w:t>
            </w:r>
            <w:proofErr w:type="spellStart"/>
            <w:r w:rsidRPr="003B3A01">
              <w:rPr>
                <w:rFonts w:ascii="Century Gothic" w:hAnsi="Century Gothic" w:cs="Tahoma"/>
                <w:sz w:val="18"/>
                <w:szCs w:val="18"/>
              </w:rPr>
              <w:t>Viatron</w:t>
            </w:r>
            <w:proofErr w:type="spellEnd"/>
            <w:r w:rsidRPr="003B3A01">
              <w:rPr>
                <w:rFonts w:ascii="Century Gothic" w:hAnsi="Century Gothic" w:cs="Tahoma"/>
                <w:sz w:val="18"/>
                <w:szCs w:val="18"/>
              </w:rPr>
              <w:t>)</w:t>
            </w:r>
          </w:p>
        </w:tc>
        <w:tc>
          <w:tcPr>
            <w:tcW w:w="56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439</w:t>
            </w:r>
          </w:p>
        </w:tc>
        <w:tc>
          <w:tcPr>
            <w:tcW w:w="45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12,3%</w:t>
            </w:r>
          </w:p>
        </w:tc>
        <w:tc>
          <w:tcPr>
            <w:tcW w:w="476"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2 337</w:t>
            </w:r>
          </w:p>
        </w:tc>
        <w:tc>
          <w:tcPr>
            <w:tcW w:w="45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38,9%</w:t>
            </w:r>
          </w:p>
        </w:tc>
      </w:tr>
      <w:tr w:rsidR="003B3A01" w:rsidRPr="009573AB" w:rsidTr="00492F61">
        <w:trPr>
          <w:trHeight w:val="387"/>
        </w:trPr>
        <w:tc>
          <w:tcPr>
            <w:tcW w:w="3049" w:type="pct"/>
            <w:tcBorders>
              <w:top w:val="nil"/>
              <w:left w:val="nil"/>
              <w:bottom w:val="nil"/>
              <w:right w:val="nil"/>
            </w:tcBorders>
            <w:shd w:val="clear" w:color="auto" w:fill="auto"/>
            <w:vAlign w:val="center"/>
          </w:tcPr>
          <w:p w:rsidR="003B3A01" w:rsidRPr="003B3A01" w:rsidRDefault="003B3A01" w:rsidP="003B3A01">
            <w:pPr>
              <w:ind w:left="360"/>
              <w:rPr>
                <w:rFonts w:ascii="Century Gothic" w:hAnsi="Century Gothic" w:cs="Tahoma"/>
                <w:sz w:val="18"/>
                <w:szCs w:val="18"/>
              </w:rPr>
            </w:pPr>
            <w:r w:rsidRPr="003B3A01">
              <w:rPr>
                <w:rFonts w:ascii="Century Gothic" w:hAnsi="Century Gothic" w:cs="Tahoma"/>
                <w:sz w:val="18"/>
                <w:szCs w:val="18"/>
              </w:rPr>
              <w:t xml:space="preserve">Energetyka biogazowa (Biogaz </w:t>
            </w:r>
            <w:proofErr w:type="spellStart"/>
            <w:r w:rsidRPr="003B3A01">
              <w:rPr>
                <w:rFonts w:ascii="Century Gothic" w:hAnsi="Century Gothic" w:cs="Tahoma"/>
                <w:sz w:val="18"/>
                <w:szCs w:val="18"/>
              </w:rPr>
              <w:t>Zeneris</w:t>
            </w:r>
            <w:proofErr w:type="spellEnd"/>
            <w:r w:rsidRPr="003B3A01">
              <w:rPr>
                <w:rFonts w:ascii="Century Gothic" w:hAnsi="Century Gothic" w:cs="Tahoma"/>
                <w:sz w:val="18"/>
                <w:szCs w:val="18"/>
              </w:rPr>
              <w:t xml:space="preserve"> + Biogaz </w:t>
            </w:r>
            <w:proofErr w:type="spellStart"/>
            <w:r w:rsidRPr="003B3A01">
              <w:rPr>
                <w:rFonts w:ascii="Century Gothic" w:hAnsi="Century Gothic" w:cs="Tahoma"/>
                <w:sz w:val="18"/>
                <w:szCs w:val="18"/>
              </w:rPr>
              <w:t>Zeneris</w:t>
            </w:r>
            <w:proofErr w:type="spellEnd"/>
            <w:r w:rsidRPr="003B3A01">
              <w:rPr>
                <w:rFonts w:ascii="Century Gothic" w:hAnsi="Century Gothic" w:cs="Tahoma"/>
                <w:sz w:val="18"/>
                <w:szCs w:val="18"/>
              </w:rPr>
              <w:t xml:space="preserve"> Tech)</w:t>
            </w:r>
          </w:p>
        </w:tc>
        <w:tc>
          <w:tcPr>
            <w:tcW w:w="56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353</w:t>
            </w:r>
          </w:p>
        </w:tc>
        <w:tc>
          <w:tcPr>
            <w:tcW w:w="45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9,9%</w:t>
            </w:r>
          </w:p>
        </w:tc>
        <w:tc>
          <w:tcPr>
            <w:tcW w:w="476"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410</w:t>
            </w:r>
          </w:p>
        </w:tc>
        <w:tc>
          <w:tcPr>
            <w:tcW w:w="455" w:type="pct"/>
            <w:tcBorders>
              <w:top w:val="nil"/>
              <w:left w:val="nil"/>
              <w:bottom w:val="nil"/>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6,8%</w:t>
            </w:r>
          </w:p>
        </w:tc>
      </w:tr>
      <w:tr w:rsidR="003B3A01" w:rsidRPr="009573AB" w:rsidTr="00492F61">
        <w:trPr>
          <w:trHeight w:val="387"/>
        </w:trPr>
        <w:tc>
          <w:tcPr>
            <w:tcW w:w="3049" w:type="pct"/>
            <w:tcBorders>
              <w:top w:val="nil"/>
              <w:left w:val="nil"/>
              <w:bottom w:val="single" w:sz="4" w:space="0" w:color="auto"/>
              <w:right w:val="nil"/>
            </w:tcBorders>
            <w:shd w:val="clear" w:color="auto" w:fill="auto"/>
            <w:vAlign w:val="center"/>
          </w:tcPr>
          <w:p w:rsidR="003B3A01" w:rsidRPr="003B3A01" w:rsidRDefault="003B3A01" w:rsidP="003B3A01">
            <w:pPr>
              <w:ind w:left="360"/>
              <w:rPr>
                <w:rFonts w:ascii="Century Gothic" w:hAnsi="Century Gothic" w:cs="Tahoma"/>
                <w:sz w:val="18"/>
                <w:szCs w:val="18"/>
              </w:rPr>
            </w:pPr>
            <w:r w:rsidRPr="003B3A01">
              <w:rPr>
                <w:rFonts w:ascii="Century Gothic" w:hAnsi="Century Gothic" w:cs="Tahoma"/>
                <w:sz w:val="18"/>
                <w:szCs w:val="18"/>
              </w:rPr>
              <w:t xml:space="preserve">Energetyka wodna (Elektrownie Wodne </w:t>
            </w:r>
            <w:proofErr w:type="spellStart"/>
            <w:r w:rsidRPr="003B3A01">
              <w:rPr>
                <w:rFonts w:ascii="Century Gothic" w:hAnsi="Century Gothic" w:cs="Tahoma"/>
                <w:sz w:val="18"/>
                <w:szCs w:val="18"/>
              </w:rPr>
              <w:t>Zeneris</w:t>
            </w:r>
            <w:proofErr w:type="spellEnd"/>
            <w:r w:rsidRPr="003B3A01">
              <w:rPr>
                <w:rFonts w:ascii="Century Gothic" w:hAnsi="Century Gothic" w:cs="Tahoma"/>
                <w:sz w:val="18"/>
                <w:szCs w:val="18"/>
              </w:rPr>
              <w:t>)</w:t>
            </w:r>
          </w:p>
        </w:tc>
        <w:tc>
          <w:tcPr>
            <w:tcW w:w="565"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0</w:t>
            </w:r>
          </w:p>
        </w:tc>
        <w:tc>
          <w:tcPr>
            <w:tcW w:w="455"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0,0%</w:t>
            </w:r>
          </w:p>
        </w:tc>
        <w:tc>
          <w:tcPr>
            <w:tcW w:w="476"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160</w:t>
            </w:r>
          </w:p>
        </w:tc>
        <w:tc>
          <w:tcPr>
            <w:tcW w:w="455" w:type="pct"/>
            <w:tcBorders>
              <w:top w:val="nil"/>
              <w:left w:val="nil"/>
              <w:bottom w:val="single" w:sz="4" w:space="0" w:color="auto"/>
              <w:right w:val="nil"/>
            </w:tcBorders>
            <w:shd w:val="clear" w:color="auto" w:fill="auto"/>
            <w:noWrap/>
            <w:vAlign w:val="center"/>
          </w:tcPr>
          <w:p w:rsidR="003B3A01" w:rsidRPr="003B3A01" w:rsidRDefault="003B3A01" w:rsidP="003B3A01">
            <w:pPr>
              <w:ind w:left="360"/>
              <w:jc w:val="right"/>
              <w:rPr>
                <w:rFonts w:ascii="Century Gothic" w:hAnsi="Century Gothic" w:cs="Tahoma"/>
                <w:sz w:val="18"/>
                <w:szCs w:val="18"/>
              </w:rPr>
            </w:pPr>
            <w:r w:rsidRPr="003B3A01">
              <w:rPr>
                <w:rFonts w:ascii="Century Gothic" w:hAnsi="Century Gothic" w:cs="Tahoma"/>
                <w:sz w:val="18"/>
                <w:szCs w:val="18"/>
              </w:rPr>
              <w:t>2,7%</w:t>
            </w:r>
          </w:p>
        </w:tc>
      </w:tr>
    </w:tbl>
    <w:p w:rsidR="003B3A01" w:rsidRPr="003B3A01" w:rsidRDefault="003B3A01" w:rsidP="003B3A01">
      <w:pPr>
        <w:ind w:left="360"/>
        <w:rPr>
          <w:rFonts w:ascii="Century Gothic" w:hAnsi="Century Gothic"/>
          <w:highlight w:val="yellow"/>
        </w:rPr>
      </w:pPr>
    </w:p>
    <w:p w:rsidR="003B3A01" w:rsidRPr="003B3A01" w:rsidRDefault="003B3A01" w:rsidP="003B3A01">
      <w:pPr>
        <w:ind w:left="360"/>
        <w:rPr>
          <w:rFonts w:ascii="Century Gothic" w:hAnsi="Century Gothic"/>
          <w:highlight w:val="yellow"/>
        </w:rPr>
      </w:pPr>
    </w:p>
    <w:p w:rsidR="003B3A01" w:rsidRPr="003B3A01" w:rsidRDefault="003B3A01" w:rsidP="003B3A01">
      <w:pPr>
        <w:shd w:val="clear" w:color="auto" w:fill="FFFFFF"/>
        <w:ind w:left="360"/>
        <w:jc w:val="both"/>
        <w:rPr>
          <w:rFonts w:ascii="Century Gothic" w:hAnsi="Century Gothic"/>
        </w:rPr>
      </w:pPr>
      <w:r w:rsidRPr="003B3A01">
        <w:rPr>
          <w:rFonts w:ascii="Century Gothic" w:hAnsi="Century Gothic"/>
        </w:rPr>
        <w:t>Na spadek przychodów ze sprzedaży Grupy w porównaniu z analogicznym okresem roku poprzedniego największy wpływ miały:</w:t>
      </w:r>
    </w:p>
    <w:p w:rsidR="003B3A01" w:rsidRPr="003B3A01" w:rsidRDefault="003B3A01" w:rsidP="003B3A01">
      <w:pPr>
        <w:shd w:val="clear" w:color="auto" w:fill="FFFFFF"/>
        <w:ind w:left="360"/>
        <w:jc w:val="both"/>
        <w:rPr>
          <w:rFonts w:ascii="Century Gothic" w:hAnsi="Century Gothic"/>
        </w:rPr>
      </w:pPr>
      <w:r w:rsidRPr="003B3A01">
        <w:rPr>
          <w:rFonts w:ascii="Century Gothic" w:hAnsi="Century Gothic"/>
        </w:rPr>
        <w:t>-  niedobory kapitału obrotowego w spółce OZEN Plus uniemożliwiające dokonanie zakupów surowcowych w ilości wystarczającej do wykorzystania potencjału produkcyjnego i sprzedażowego,</w:t>
      </w:r>
    </w:p>
    <w:p w:rsidR="003B3A01" w:rsidRPr="003B3A01" w:rsidRDefault="003B3A01" w:rsidP="003B3A01">
      <w:pPr>
        <w:shd w:val="clear" w:color="auto" w:fill="FFFFFF"/>
        <w:ind w:left="360"/>
        <w:jc w:val="both"/>
        <w:rPr>
          <w:rFonts w:ascii="Century Gothic" w:hAnsi="Century Gothic"/>
        </w:rPr>
      </w:pPr>
      <w:r w:rsidRPr="0075383A">
        <w:rPr>
          <w:rFonts w:ascii="Century Gothic" w:hAnsi="Century Gothic"/>
        </w:rPr>
        <w:lastRenderedPageBreak/>
        <w:t>-</w:t>
      </w:r>
      <w:r w:rsidRPr="0075383A">
        <w:rPr>
          <w:rFonts w:ascii="Century Gothic" w:hAnsi="Century Gothic"/>
        </w:rPr>
        <w:tab/>
      </w:r>
      <w:r w:rsidR="0075383A" w:rsidRPr="0075383A">
        <w:rPr>
          <w:rFonts w:ascii="Century Gothic" w:hAnsi="Century Gothic"/>
        </w:rPr>
        <w:t xml:space="preserve">rozkład  czasowy przychodów z realizowanych kontraktów w spółce </w:t>
      </w:r>
      <w:proofErr w:type="spellStart"/>
      <w:r w:rsidR="0075383A" w:rsidRPr="0075383A">
        <w:rPr>
          <w:rFonts w:ascii="Century Gothic" w:hAnsi="Century Gothic"/>
        </w:rPr>
        <w:t>Viatron</w:t>
      </w:r>
      <w:proofErr w:type="spellEnd"/>
      <w:r w:rsidR="0075383A" w:rsidRPr="0075383A">
        <w:rPr>
          <w:rFonts w:ascii="Century Gothic" w:hAnsi="Century Gothic"/>
        </w:rPr>
        <w:t>. W stosunku do pierwszego kwartału roku ubiegłego odnotowano spadek przychodów będący  efektem innego, niż w roku ubiegłym, rozkładu realizacji kontraktów dla roku 2014.  Rozkład przychodów z realizowanych kontraktów w pierwszym kwartale był wyjątkowo niekorzystny i w następnych kwartałach nastąpi wzrost przychodów niwelujący tak dużą dysproporcję w stosunku do roku ubiegłego, na jaką wskazywałby poziom sprzedaży z pierwszego kwartału.</w:t>
      </w:r>
    </w:p>
    <w:p w:rsidR="003B3A01" w:rsidRPr="003B3A01" w:rsidRDefault="003B3A01" w:rsidP="003B3A01">
      <w:pPr>
        <w:shd w:val="clear" w:color="auto" w:fill="FFFFFF"/>
        <w:ind w:left="360"/>
        <w:jc w:val="both"/>
        <w:rPr>
          <w:rFonts w:ascii="Century Gothic" w:hAnsi="Century Gothic"/>
          <w:highlight w:val="yellow"/>
        </w:rPr>
      </w:pPr>
    </w:p>
    <w:p w:rsidR="003B3A01" w:rsidRPr="003B3A01" w:rsidRDefault="003B3A01" w:rsidP="003B3A01">
      <w:pPr>
        <w:shd w:val="clear" w:color="auto" w:fill="FFFFFF"/>
        <w:ind w:left="360"/>
        <w:jc w:val="both"/>
        <w:rPr>
          <w:rFonts w:ascii="Century Gothic" w:hAnsi="Century Gothic"/>
        </w:rPr>
      </w:pPr>
      <w:r w:rsidRPr="003B3A01">
        <w:rPr>
          <w:rFonts w:ascii="Century Gothic" w:hAnsi="Century Gothic"/>
        </w:rPr>
        <w:t xml:space="preserve">Skonsolidowana strata Grupy za pierwszy kwartał 2014 r. wyniosła -6 124 tys. zł, do czego w największym stopniu przyczyniła się strata wygenerowana w tym okresie przez OZEN Plus. Strata  </w:t>
      </w:r>
      <w:proofErr w:type="spellStart"/>
      <w:r w:rsidRPr="003B3A01">
        <w:rPr>
          <w:rFonts w:ascii="Century Gothic" w:hAnsi="Century Gothic"/>
        </w:rPr>
        <w:t>Ozen</w:t>
      </w:r>
      <w:proofErr w:type="spellEnd"/>
      <w:r w:rsidRPr="003B3A01">
        <w:rPr>
          <w:rFonts w:ascii="Century Gothic" w:hAnsi="Century Gothic"/>
        </w:rPr>
        <w:t xml:space="preserve">, przed dokonaniem </w:t>
      </w:r>
      <w:proofErr w:type="spellStart"/>
      <w:r w:rsidRPr="003B3A01">
        <w:rPr>
          <w:rFonts w:ascii="Century Gothic" w:hAnsi="Century Gothic"/>
        </w:rPr>
        <w:t>wyłączeń</w:t>
      </w:r>
      <w:proofErr w:type="spellEnd"/>
      <w:r w:rsidRPr="003B3A01">
        <w:rPr>
          <w:rFonts w:ascii="Century Gothic" w:hAnsi="Century Gothic"/>
        </w:rPr>
        <w:t xml:space="preserve"> konsolidacyjnych wyniosła - 5.094 tys. zł. Warto podkreślić, że </w:t>
      </w:r>
      <w:proofErr w:type="spellStart"/>
      <w:r w:rsidRPr="003B3A01">
        <w:rPr>
          <w:rFonts w:ascii="Century Gothic" w:hAnsi="Century Gothic"/>
        </w:rPr>
        <w:t>Ozen</w:t>
      </w:r>
      <w:proofErr w:type="spellEnd"/>
      <w:r w:rsidRPr="003B3A01">
        <w:rPr>
          <w:rFonts w:ascii="Century Gothic" w:hAnsi="Century Gothic"/>
        </w:rPr>
        <w:t xml:space="preserve"> Plus, zanotowała w tym okresie stratę, ale w stosunku do analogicznego okresu ubiegłego roku ma ona charakter sukcesywnie malejący.</w:t>
      </w:r>
    </w:p>
    <w:p w:rsidR="003B3A01" w:rsidRDefault="003B3A01" w:rsidP="003B3A01">
      <w:pPr>
        <w:pStyle w:val="Akapitzlist"/>
        <w:ind w:left="720"/>
      </w:pPr>
    </w:p>
    <w:p w:rsidR="00E53D76" w:rsidRPr="00A213BD" w:rsidRDefault="00E53D76" w:rsidP="00E53D76">
      <w:pPr>
        <w:pStyle w:val="Nagwek2"/>
        <w:numPr>
          <w:ilvl w:val="0"/>
          <w:numId w:val="25"/>
        </w:numPr>
        <w:tabs>
          <w:tab w:val="left" w:pos="993"/>
        </w:tabs>
        <w:ind w:hanging="153"/>
        <w:jc w:val="both"/>
        <w:rPr>
          <w:rFonts w:ascii="Century Gothic" w:hAnsi="Century Gothic"/>
          <w:bCs/>
          <w:i w:val="0"/>
          <w:color w:val="0000FF"/>
          <w:sz w:val="20"/>
        </w:rPr>
      </w:pPr>
      <w:bookmarkStart w:id="86" w:name="_Toc387945916"/>
      <w:r w:rsidRPr="00A213BD">
        <w:rPr>
          <w:rFonts w:ascii="Century Gothic" w:hAnsi="Century Gothic"/>
          <w:bCs/>
          <w:i w:val="0"/>
          <w:color w:val="0000FF"/>
          <w:sz w:val="20"/>
        </w:rPr>
        <w:t>Czynniki, które będą mia</w:t>
      </w:r>
      <w:r>
        <w:rPr>
          <w:rFonts w:ascii="Century Gothic" w:hAnsi="Century Gothic"/>
          <w:bCs/>
          <w:i w:val="0"/>
          <w:color w:val="0000FF"/>
          <w:sz w:val="20"/>
        </w:rPr>
        <w:t>ły wpływ na sytuację finansową G</w:t>
      </w:r>
      <w:r w:rsidRPr="00A213BD">
        <w:rPr>
          <w:rFonts w:ascii="Century Gothic" w:hAnsi="Century Gothic"/>
          <w:bCs/>
          <w:i w:val="0"/>
          <w:color w:val="0000FF"/>
          <w:sz w:val="20"/>
        </w:rPr>
        <w:t>rupy w kolejnych kwartałach</w:t>
      </w:r>
      <w:bookmarkEnd w:id="84"/>
      <w:bookmarkEnd w:id="85"/>
      <w:bookmarkEnd w:id="86"/>
    </w:p>
    <w:p w:rsidR="00E53D76" w:rsidRPr="00A213BD" w:rsidRDefault="00E53D76" w:rsidP="00E53D76"/>
    <w:p w:rsidR="00E53D76" w:rsidRPr="00E06AAD" w:rsidRDefault="00E53D76" w:rsidP="00E53D76">
      <w:pPr>
        <w:pStyle w:val="Tekstpodstawowy"/>
        <w:shd w:val="clear" w:color="auto" w:fill="FFFFFF"/>
        <w:ind w:left="360"/>
        <w:rPr>
          <w:rFonts w:ascii="Century Gothic" w:hAnsi="Century Gothic" w:cs="Tahoma"/>
          <w:sz w:val="20"/>
        </w:rPr>
      </w:pPr>
      <w:bookmarkStart w:id="87" w:name="_Toc334180298"/>
      <w:bookmarkStart w:id="88" w:name="_Toc333409499"/>
      <w:r w:rsidRPr="00E06AAD">
        <w:rPr>
          <w:rFonts w:ascii="Century Gothic" w:hAnsi="Century Gothic" w:cs="Tahoma"/>
          <w:sz w:val="20"/>
        </w:rPr>
        <w:t>W opinii Zarządu Emitenta kluczowymi czynnikami wpływającymi na osiągane przez Grupę wyniki w kolejnych kwartałach będą:</w:t>
      </w:r>
    </w:p>
    <w:p w:rsidR="00930639" w:rsidRPr="00020D7E" w:rsidRDefault="00930639" w:rsidP="00930639">
      <w:pPr>
        <w:pStyle w:val="Tekstblokowy"/>
        <w:ind w:left="705" w:hanging="705"/>
        <w:rPr>
          <w:rFonts w:ascii="Century Gothic" w:hAnsi="Century Gothic"/>
          <w:color w:val="auto"/>
          <w:sz w:val="20"/>
        </w:rPr>
      </w:pPr>
      <w:r w:rsidRPr="00020D7E">
        <w:rPr>
          <w:rFonts w:ascii="Century Gothic" w:hAnsi="Century Gothic"/>
          <w:color w:val="auto"/>
          <w:sz w:val="20"/>
        </w:rPr>
        <w:t>-</w:t>
      </w:r>
      <w:r w:rsidRPr="00020D7E">
        <w:rPr>
          <w:rFonts w:ascii="Century Gothic" w:hAnsi="Century Gothic"/>
          <w:color w:val="auto"/>
          <w:sz w:val="20"/>
        </w:rPr>
        <w:tab/>
        <w:t>zapewnienie wystarczającego kapitału obrotowego dla Spółki OZEN PLUS;</w:t>
      </w:r>
    </w:p>
    <w:p w:rsidR="00930639" w:rsidRPr="00020D7E" w:rsidRDefault="00930639" w:rsidP="00930639">
      <w:pPr>
        <w:pStyle w:val="Tekstblokowy"/>
        <w:ind w:left="705" w:hanging="705"/>
        <w:rPr>
          <w:rFonts w:ascii="Century Gothic" w:hAnsi="Century Gothic"/>
          <w:color w:val="auto"/>
          <w:sz w:val="20"/>
        </w:rPr>
      </w:pPr>
      <w:r w:rsidRPr="00020D7E">
        <w:rPr>
          <w:rFonts w:ascii="Century Gothic" w:hAnsi="Century Gothic"/>
          <w:color w:val="auto"/>
          <w:sz w:val="20"/>
        </w:rPr>
        <w:t>-</w:t>
      </w:r>
      <w:r w:rsidRPr="00020D7E">
        <w:rPr>
          <w:rFonts w:ascii="Century Gothic" w:hAnsi="Century Gothic"/>
          <w:color w:val="auto"/>
          <w:sz w:val="20"/>
        </w:rPr>
        <w:tab/>
        <w:t>optymalizacja wykorzystania mocy produkcyjnych i dalsza obniżka kosztów zmiennych produkcji w OZEN Plus;</w:t>
      </w:r>
    </w:p>
    <w:p w:rsidR="00930639" w:rsidRPr="00020D7E" w:rsidRDefault="00930639" w:rsidP="00930639">
      <w:pPr>
        <w:pStyle w:val="Tekstblokowy"/>
        <w:ind w:left="0"/>
        <w:rPr>
          <w:rFonts w:ascii="Century Gothic" w:hAnsi="Century Gothic"/>
          <w:color w:val="auto"/>
          <w:sz w:val="20"/>
        </w:rPr>
      </w:pPr>
      <w:r w:rsidRPr="00020D7E">
        <w:rPr>
          <w:rFonts w:ascii="Century Gothic" w:hAnsi="Century Gothic"/>
          <w:color w:val="auto"/>
          <w:sz w:val="20"/>
        </w:rPr>
        <w:t>-</w:t>
      </w:r>
      <w:r w:rsidRPr="00020D7E">
        <w:rPr>
          <w:rFonts w:ascii="Century Gothic" w:hAnsi="Century Gothic"/>
          <w:color w:val="auto"/>
          <w:sz w:val="20"/>
        </w:rPr>
        <w:tab/>
        <w:t>dalszy wzrost cen sprzedaży produktów OZEN Plus;</w:t>
      </w:r>
    </w:p>
    <w:p w:rsidR="00930639" w:rsidRPr="00020D7E" w:rsidRDefault="00930639" w:rsidP="00930639">
      <w:pPr>
        <w:pStyle w:val="Tekstblokowy"/>
        <w:ind w:left="0"/>
        <w:rPr>
          <w:rFonts w:ascii="Century Gothic" w:hAnsi="Century Gothic"/>
          <w:color w:val="auto"/>
          <w:sz w:val="20"/>
        </w:rPr>
      </w:pPr>
      <w:r w:rsidRPr="00020D7E">
        <w:rPr>
          <w:rFonts w:ascii="Century Gothic" w:hAnsi="Century Gothic"/>
          <w:color w:val="auto"/>
          <w:sz w:val="20"/>
        </w:rPr>
        <w:t>-</w:t>
      </w:r>
      <w:r w:rsidRPr="00020D7E">
        <w:rPr>
          <w:rFonts w:ascii="Century Gothic" w:hAnsi="Century Gothic"/>
          <w:color w:val="auto"/>
          <w:sz w:val="20"/>
        </w:rPr>
        <w:tab/>
        <w:t>znalezienie inwestora i sprzedaż udziałów w OZEN Plus;</w:t>
      </w:r>
    </w:p>
    <w:p w:rsidR="00930639" w:rsidRPr="00020D7E" w:rsidRDefault="00930639" w:rsidP="00930639">
      <w:pPr>
        <w:pStyle w:val="Tekstblokowy"/>
        <w:ind w:left="0"/>
        <w:rPr>
          <w:rFonts w:ascii="Century Gothic" w:hAnsi="Century Gothic"/>
          <w:color w:val="auto"/>
          <w:sz w:val="20"/>
        </w:rPr>
      </w:pPr>
      <w:r w:rsidRPr="00020D7E">
        <w:rPr>
          <w:rFonts w:ascii="Century Gothic" w:hAnsi="Century Gothic"/>
          <w:color w:val="auto"/>
          <w:sz w:val="20"/>
        </w:rPr>
        <w:t xml:space="preserve">- </w:t>
      </w:r>
      <w:r w:rsidRPr="00020D7E">
        <w:rPr>
          <w:rFonts w:ascii="Century Gothic" w:hAnsi="Century Gothic"/>
          <w:color w:val="auto"/>
          <w:sz w:val="20"/>
        </w:rPr>
        <w:tab/>
        <w:t>skuteczna restrukturyzacja i sprzedaż pozostałych aktywów;</w:t>
      </w:r>
    </w:p>
    <w:p w:rsidR="00930639" w:rsidRPr="00020D7E" w:rsidRDefault="00930639" w:rsidP="00930639">
      <w:pPr>
        <w:pStyle w:val="Tekstblokowy"/>
        <w:ind w:left="0"/>
        <w:rPr>
          <w:rFonts w:ascii="Century Gothic" w:hAnsi="Century Gothic"/>
          <w:color w:val="auto"/>
          <w:sz w:val="20"/>
        </w:rPr>
      </w:pPr>
      <w:r w:rsidRPr="00020D7E">
        <w:rPr>
          <w:rFonts w:ascii="Century Gothic" w:hAnsi="Century Gothic"/>
          <w:color w:val="auto"/>
          <w:sz w:val="20"/>
        </w:rPr>
        <w:t xml:space="preserve">- </w:t>
      </w:r>
      <w:r w:rsidRPr="00020D7E">
        <w:rPr>
          <w:rFonts w:ascii="Century Gothic" w:hAnsi="Century Gothic"/>
          <w:color w:val="auto"/>
          <w:sz w:val="20"/>
        </w:rPr>
        <w:tab/>
        <w:t xml:space="preserve">oddłużenie </w:t>
      </w:r>
      <w:proofErr w:type="spellStart"/>
      <w:r w:rsidRPr="00020D7E">
        <w:rPr>
          <w:rFonts w:ascii="Century Gothic" w:hAnsi="Century Gothic"/>
          <w:color w:val="auto"/>
          <w:sz w:val="20"/>
        </w:rPr>
        <w:t>Skystone</w:t>
      </w:r>
      <w:proofErr w:type="spellEnd"/>
      <w:r w:rsidRPr="00020D7E">
        <w:rPr>
          <w:rFonts w:ascii="Century Gothic" w:hAnsi="Century Gothic"/>
          <w:color w:val="auto"/>
          <w:sz w:val="20"/>
        </w:rPr>
        <w:t xml:space="preserve"> Capital;</w:t>
      </w:r>
    </w:p>
    <w:p w:rsidR="00930639" w:rsidRPr="0066003B" w:rsidRDefault="00930639" w:rsidP="00930639">
      <w:pPr>
        <w:pStyle w:val="Tekstblokowy"/>
        <w:ind w:left="0"/>
        <w:rPr>
          <w:rFonts w:ascii="Century Gothic" w:hAnsi="Century Gothic"/>
          <w:color w:val="auto"/>
          <w:sz w:val="20"/>
        </w:rPr>
      </w:pPr>
      <w:r w:rsidRPr="00020D7E">
        <w:rPr>
          <w:rFonts w:ascii="Century Gothic" w:hAnsi="Century Gothic"/>
          <w:color w:val="auto"/>
          <w:sz w:val="20"/>
        </w:rPr>
        <w:t>-</w:t>
      </w:r>
      <w:r w:rsidRPr="00020D7E">
        <w:rPr>
          <w:rFonts w:ascii="Century Gothic" w:hAnsi="Century Gothic"/>
          <w:color w:val="auto"/>
          <w:sz w:val="20"/>
        </w:rPr>
        <w:tab/>
        <w:t>kształtowanie się cen certyfikatów energetycznych.</w:t>
      </w:r>
    </w:p>
    <w:p w:rsidR="001621CB" w:rsidRPr="00A213BD" w:rsidRDefault="001621CB" w:rsidP="00E53D76">
      <w:pPr>
        <w:shd w:val="clear" w:color="auto" w:fill="FFFFFF"/>
        <w:ind w:left="360"/>
        <w:jc w:val="both"/>
        <w:rPr>
          <w:rFonts w:ascii="Century Gothic" w:hAnsi="Century Gothic" w:cs="Tahoma"/>
        </w:rPr>
      </w:pPr>
    </w:p>
    <w:p w:rsidR="00E53D76" w:rsidRPr="00A213BD" w:rsidRDefault="00E53D76" w:rsidP="00E53D76">
      <w:pPr>
        <w:pStyle w:val="Nagwek2"/>
        <w:numPr>
          <w:ilvl w:val="0"/>
          <w:numId w:val="25"/>
        </w:numPr>
        <w:tabs>
          <w:tab w:val="left" w:pos="993"/>
        </w:tabs>
        <w:ind w:hanging="153"/>
        <w:jc w:val="both"/>
        <w:rPr>
          <w:rFonts w:ascii="Century Gothic" w:hAnsi="Century Gothic"/>
          <w:bCs/>
          <w:i w:val="0"/>
          <w:color w:val="0000FF"/>
          <w:sz w:val="20"/>
        </w:rPr>
      </w:pPr>
      <w:bookmarkStart w:id="89" w:name="_Toc387945917"/>
      <w:r w:rsidRPr="00A213BD">
        <w:rPr>
          <w:rFonts w:ascii="Century Gothic" w:hAnsi="Century Gothic"/>
          <w:bCs/>
          <w:i w:val="0"/>
          <w:color w:val="0000FF"/>
          <w:sz w:val="20"/>
        </w:rPr>
        <w:t>Analiza kluczowych danych na poziomie jednostkowego sprawozdania finansowego</w:t>
      </w:r>
      <w:bookmarkEnd w:id="87"/>
      <w:bookmarkEnd w:id="89"/>
    </w:p>
    <w:p w:rsidR="00E53D76" w:rsidRPr="00A213BD" w:rsidRDefault="00E53D76" w:rsidP="00E53D76">
      <w:pPr>
        <w:ind w:left="600"/>
        <w:jc w:val="both"/>
        <w:rPr>
          <w:rFonts w:ascii="Century Gothic" w:hAnsi="Century Gothic"/>
        </w:rPr>
      </w:pPr>
    </w:p>
    <w:p w:rsidR="00C60139" w:rsidRPr="000A759C" w:rsidRDefault="00C60139" w:rsidP="00C60139">
      <w:pPr>
        <w:ind w:left="360"/>
        <w:jc w:val="both"/>
        <w:rPr>
          <w:rFonts w:ascii="Century Gothic" w:hAnsi="Century Gothic"/>
        </w:rPr>
      </w:pPr>
      <w:bookmarkStart w:id="90" w:name="_Toc334180299"/>
      <w:r w:rsidRPr="000A759C">
        <w:rPr>
          <w:rFonts w:ascii="Century Gothic" w:hAnsi="Century Gothic"/>
        </w:rPr>
        <w:t>Wybrane dane finansowe:</w:t>
      </w:r>
    </w:p>
    <w:tbl>
      <w:tblPr>
        <w:tblW w:w="9161" w:type="dxa"/>
        <w:tblInd w:w="349" w:type="dxa"/>
        <w:tblCellMar>
          <w:left w:w="70" w:type="dxa"/>
          <w:right w:w="70" w:type="dxa"/>
        </w:tblCellMar>
        <w:tblLook w:val="04A0" w:firstRow="1" w:lastRow="0" w:firstColumn="1" w:lastColumn="0" w:noHBand="0" w:noVBand="1"/>
      </w:tblPr>
      <w:tblGrid>
        <w:gridCol w:w="5261"/>
        <w:gridCol w:w="1300"/>
        <w:gridCol w:w="1300"/>
        <w:gridCol w:w="1300"/>
      </w:tblGrid>
      <w:tr w:rsidR="00C60139" w:rsidRPr="000A759C" w:rsidTr="00147048">
        <w:trPr>
          <w:trHeight w:val="510"/>
        </w:trPr>
        <w:tc>
          <w:tcPr>
            <w:tcW w:w="5261" w:type="dxa"/>
            <w:tcBorders>
              <w:top w:val="single" w:sz="4" w:space="0" w:color="auto"/>
              <w:left w:val="nil"/>
              <w:bottom w:val="single" w:sz="4" w:space="0" w:color="auto"/>
              <w:right w:val="nil"/>
            </w:tcBorders>
            <w:shd w:val="clear" w:color="000000" w:fill="FFFFFF"/>
            <w:vAlign w:val="center"/>
          </w:tcPr>
          <w:p w:rsidR="00C60139" w:rsidRPr="000A759C" w:rsidRDefault="00C60139" w:rsidP="00147048">
            <w:pPr>
              <w:jc w:val="center"/>
              <w:rPr>
                <w:rFonts w:ascii="Century Gothic" w:hAnsi="Century Gothic" w:cs="Tahoma"/>
                <w:b/>
                <w:bCs/>
                <w:sz w:val="18"/>
                <w:szCs w:val="18"/>
              </w:rPr>
            </w:pPr>
            <w:r w:rsidRPr="000A759C">
              <w:rPr>
                <w:rFonts w:ascii="Century Gothic" w:hAnsi="Century Gothic" w:cs="Tahoma"/>
                <w:b/>
                <w:bCs/>
                <w:sz w:val="18"/>
                <w:szCs w:val="18"/>
              </w:rPr>
              <w:t>Aktywa</w:t>
            </w:r>
          </w:p>
        </w:tc>
        <w:tc>
          <w:tcPr>
            <w:tcW w:w="1300" w:type="dxa"/>
            <w:tcBorders>
              <w:top w:val="single" w:sz="4" w:space="0" w:color="auto"/>
              <w:left w:val="nil"/>
              <w:bottom w:val="single" w:sz="4" w:space="0" w:color="auto"/>
              <w:right w:val="nil"/>
            </w:tcBorders>
            <w:shd w:val="clear" w:color="000000" w:fill="FFFFFF"/>
            <w:vAlign w:val="center"/>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31-03-2014</w:t>
            </w:r>
          </w:p>
        </w:tc>
        <w:tc>
          <w:tcPr>
            <w:tcW w:w="1300" w:type="dxa"/>
            <w:tcBorders>
              <w:top w:val="single" w:sz="4" w:space="0" w:color="auto"/>
              <w:left w:val="nil"/>
              <w:bottom w:val="single" w:sz="4" w:space="0" w:color="auto"/>
              <w:right w:val="nil"/>
            </w:tcBorders>
            <w:shd w:val="clear" w:color="000000" w:fill="FFFFFF"/>
            <w:vAlign w:val="center"/>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31-12-2013</w:t>
            </w:r>
          </w:p>
        </w:tc>
        <w:tc>
          <w:tcPr>
            <w:tcW w:w="1300" w:type="dxa"/>
            <w:tcBorders>
              <w:top w:val="single" w:sz="4" w:space="0" w:color="auto"/>
              <w:left w:val="nil"/>
              <w:bottom w:val="single" w:sz="4" w:space="0" w:color="auto"/>
              <w:right w:val="nil"/>
            </w:tcBorders>
            <w:shd w:val="clear" w:color="000000" w:fill="FFFFFF"/>
            <w:vAlign w:val="center"/>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31-03-2013</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Portfel inwestycyjny</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 xml:space="preserve">17 159 </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17 230</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46 759</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Należności, w tym:</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26 072</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25 383</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64 123</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Należności z tytułu udzielonych pożyczek</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25 007</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25 007</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52 959</w:t>
            </w:r>
          </w:p>
        </w:tc>
      </w:tr>
      <w:tr w:rsidR="00C60139" w:rsidRPr="000A759C" w:rsidTr="00147048">
        <w:trPr>
          <w:trHeight w:val="51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Należności z tytułu papierów wart., udziałów i innych instrumentów finansowych</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 xml:space="preserve">- </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 xml:space="preserve">- </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 xml:space="preserve">-   </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Należności z tytułu odsetek</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838</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10 398</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Pozostałe należności</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227</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376</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766</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Środki pieniężne i inne aktywa pieniężne</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6</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40</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130</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Inne aktywa, w tym:</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2 740</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2 751</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2 898</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Rzeczowe aktywa trwałe</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2 726</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 xml:space="preserve">2 744 </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2 873</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 xml:space="preserve">Wartość firmy </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 xml:space="preserve">6 300 </w:t>
            </w:r>
          </w:p>
        </w:tc>
      </w:tr>
      <w:tr w:rsidR="00C60139" w:rsidRPr="000A759C" w:rsidTr="00147048">
        <w:trPr>
          <w:trHeight w:val="285"/>
        </w:trPr>
        <w:tc>
          <w:tcPr>
            <w:tcW w:w="5261" w:type="dxa"/>
            <w:tcBorders>
              <w:top w:val="single" w:sz="4" w:space="0" w:color="auto"/>
              <w:left w:val="nil"/>
              <w:bottom w:val="single" w:sz="4" w:space="0" w:color="auto"/>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A k t y w a   r a z e m</w:t>
            </w:r>
          </w:p>
        </w:tc>
        <w:tc>
          <w:tcPr>
            <w:tcW w:w="1300" w:type="dxa"/>
            <w:tcBorders>
              <w:top w:val="single" w:sz="4" w:space="0" w:color="auto"/>
              <w:left w:val="nil"/>
              <w:bottom w:val="single" w:sz="4" w:space="0" w:color="auto"/>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45 977</w:t>
            </w:r>
          </w:p>
        </w:tc>
        <w:tc>
          <w:tcPr>
            <w:tcW w:w="1300" w:type="dxa"/>
            <w:tcBorders>
              <w:top w:val="single" w:sz="4" w:space="0" w:color="auto"/>
              <w:left w:val="nil"/>
              <w:bottom w:val="single" w:sz="4" w:space="0" w:color="auto"/>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45 404</w:t>
            </w:r>
          </w:p>
        </w:tc>
        <w:tc>
          <w:tcPr>
            <w:tcW w:w="1300" w:type="dxa"/>
            <w:tcBorders>
              <w:top w:val="single" w:sz="4" w:space="0" w:color="auto"/>
              <w:left w:val="nil"/>
              <w:bottom w:val="single" w:sz="4" w:space="0" w:color="auto"/>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120 210</w:t>
            </w:r>
          </w:p>
        </w:tc>
      </w:tr>
      <w:tr w:rsidR="00C60139" w:rsidRPr="000A759C" w:rsidTr="00147048">
        <w:trPr>
          <w:trHeight w:val="510"/>
        </w:trPr>
        <w:tc>
          <w:tcPr>
            <w:tcW w:w="5261" w:type="dxa"/>
            <w:tcBorders>
              <w:top w:val="nil"/>
              <w:left w:val="nil"/>
              <w:bottom w:val="single" w:sz="4" w:space="0" w:color="auto"/>
              <w:right w:val="nil"/>
            </w:tcBorders>
            <w:shd w:val="clear" w:color="000000" w:fill="FFFFFF"/>
            <w:vAlign w:val="center"/>
          </w:tcPr>
          <w:p w:rsidR="00C60139" w:rsidRPr="000A759C" w:rsidRDefault="00C60139" w:rsidP="00147048">
            <w:pPr>
              <w:jc w:val="center"/>
              <w:rPr>
                <w:rFonts w:ascii="Century Gothic" w:hAnsi="Century Gothic" w:cs="Tahoma"/>
                <w:b/>
                <w:bCs/>
                <w:sz w:val="18"/>
                <w:szCs w:val="18"/>
              </w:rPr>
            </w:pPr>
            <w:r w:rsidRPr="000A759C">
              <w:rPr>
                <w:rFonts w:ascii="Century Gothic" w:hAnsi="Century Gothic" w:cs="Tahoma"/>
                <w:b/>
                <w:bCs/>
                <w:sz w:val="18"/>
                <w:szCs w:val="18"/>
              </w:rPr>
              <w:t>Pasywa</w:t>
            </w:r>
          </w:p>
        </w:tc>
        <w:tc>
          <w:tcPr>
            <w:tcW w:w="1300" w:type="dxa"/>
            <w:tcBorders>
              <w:top w:val="nil"/>
              <w:left w:val="nil"/>
              <w:bottom w:val="single" w:sz="4" w:space="0" w:color="auto"/>
              <w:right w:val="nil"/>
            </w:tcBorders>
            <w:shd w:val="clear" w:color="000000" w:fill="FFFFFF"/>
            <w:vAlign w:val="center"/>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31-03-2014</w:t>
            </w:r>
          </w:p>
        </w:tc>
        <w:tc>
          <w:tcPr>
            <w:tcW w:w="1300" w:type="dxa"/>
            <w:tcBorders>
              <w:top w:val="nil"/>
              <w:left w:val="nil"/>
              <w:bottom w:val="single" w:sz="4" w:space="0" w:color="auto"/>
              <w:right w:val="nil"/>
            </w:tcBorders>
            <w:shd w:val="clear" w:color="000000" w:fill="FFFFFF"/>
            <w:vAlign w:val="center"/>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31-12-2013</w:t>
            </w:r>
          </w:p>
        </w:tc>
        <w:tc>
          <w:tcPr>
            <w:tcW w:w="1300" w:type="dxa"/>
            <w:tcBorders>
              <w:top w:val="nil"/>
              <w:left w:val="nil"/>
              <w:bottom w:val="single" w:sz="4" w:space="0" w:color="auto"/>
              <w:right w:val="nil"/>
            </w:tcBorders>
            <w:shd w:val="clear" w:color="000000" w:fill="FFFFFF"/>
            <w:vAlign w:val="center"/>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31-03-2013</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Zobowiązania, w tym:</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32 124</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31 271</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33 026</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Zobowiązania z tytułu zaciągniętych kredytów (pożyczek)</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2 757</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 xml:space="preserve">2 925 </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4 728</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Zobowiązania z tytułu wyemitowanych dłużnych papierów wartościowych</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27 315</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26 762</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26 507</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Zobowiązania z tytułu podatków, ceł i ubezpieczeń</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246</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 xml:space="preserve">171 </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257</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i/>
                <w:iCs/>
                <w:sz w:val="18"/>
                <w:szCs w:val="18"/>
              </w:rPr>
            </w:pPr>
            <w:r w:rsidRPr="000A759C">
              <w:rPr>
                <w:rFonts w:ascii="Century Gothic" w:hAnsi="Century Gothic" w:cs="Tahoma"/>
                <w:i/>
                <w:iCs/>
                <w:sz w:val="18"/>
                <w:szCs w:val="18"/>
              </w:rPr>
              <w:t>Pozostałe zobowiązania</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1 806</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1 413</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i/>
                <w:iCs/>
                <w:sz w:val="18"/>
                <w:szCs w:val="18"/>
              </w:rPr>
            </w:pPr>
            <w:r w:rsidRPr="000A759C">
              <w:rPr>
                <w:rFonts w:ascii="Century Gothic" w:hAnsi="Century Gothic" w:cs="Tahoma"/>
                <w:i/>
                <w:iCs/>
                <w:sz w:val="18"/>
                <w:szCs w:val="18"/>
              </w:rPr>
              <w:t>1 534</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Rezerwy</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565</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566</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163</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Zobowiązania i rezerwy razem</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32 689</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31 837</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33 189</w:t>
            </w:r>
          </w:p>
        </w:tc>
      </w:tr>
      <w:tr w:rsidR="00C60139" w:rsidRPr="000A759C" w:rsidTr="00147048">
        <w:trPr>
          <w:trHeight w:val="270"/>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Kapitały własne</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13 288</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13 567</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87 021</w:t>
            </w:r>
          </w:p>
        </w:tc>
      </w:tr>
      <w:tr w:rsidR="00C60139" w:rsidRPr="000A759C" w:rsidTr="00147048">
        <w:trPr>
          <w:trHeight w:val="285"/>
        </w:trPr>
        <w:tc>
          <w:tcPr>
            <w:tcW w:w="5261" w:type="dxa"/>
            <w:tcBorders>
              <w:top w:val="single" w:sz="4" w:space="0" w:color="auto"/>
              <w:left w:val="nil"/>
              <w:bottom w:val="single" w:sz="4" w:space="0" w:color="auto"/>
              <w:right w:val="nil"/>
            </w:tcBorders>
            <w:shd w:val="clear" w:color="000000" w:fill="FFFFFF"/>
            <w:vAlign w:val="bottom"/>
          </w:tcPr>
          <w:p w:rsidR="00C60139" w:rsidRPr="000A759C" w:rsidRDefault="00C60139" w:rsidP="00147048">
            <w:pPr>
              <w:rPr>
                <w:rFonts w:ascii="Century Gothic" w:hAnsi="Century Gothic" w:cs="Tahoma"/>
                <w:b/>
                <w:bCs/>
                <w:sz w:val="18"/>
                <w:szCs w:val="18"/>
              </w:rPr>
            </w:pPr>
            <w:r w:rsidRPr="000A759C">
              <w:rPr>
                <w:rFonts w:ascii="Century Gothic" w:hAnsi="Century Gothic" w:cs="Tahoma"/>
                <w:b/>
                <w:bCs/>
                <w:sz w:val="18"/>
                <w:szCs w:val="18"/>
              </w:rPr>
              <w:t>Pasywa razem</w:t>
            </w:r>
          </w:p>
        </w:tc>
        <w:tc>
          <w:tcPr>
            <w:tcW w:w="1300" w:type="dxa"/>
            <w:tcBorders>
              <w:top w:val="single" w:sz="4" w:space="0" w:color="auto"/>
              <w:left w:val="nil"/>
              <w:bottom w:val="single" w:sz="4" w:space="0" w:color="auto"/>
              <w:right w:val="nil"/>
            </w:tcBorders>
            <w:shd w:val="clear" w:color="000000" w:fill="FFFFFF"/>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45 977</w:t>
            </w:r>
          </w:p>
        </w:tc>
        <w:tc>
          <w:tcPr>
            <w:tcW w:w="1300" w:type="dxa"/>
            <w:tcBorders>
              <w:top w:val="single" w:sz="4" w:space="0" w:color="auto"/>
              <w:left w:val="nil"/>
              <w:bottom w:val="single" w:sz="4" w:space="0" w:color="auto"/>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45 404</w:t>
            </w:r>
          </w:p>
        </w:tc>
        <w:tc>
          <w:tcPr>
            <w:tcW w:w="1300" w:type="dxa"/>
            <w:tcBorders>
              <w:top w:val="single" w:sz="4" w:space="0" w:color="auto"/>
              <w:left w:val="nil"/>
              <w:bottom w:val="single" w:sz="4" w:space="0" w:color="auto"/>
              <w:right w:val="nil"/>
            </w:tcBorders>
            <w:shd w:val="clear" w:color="000000" w:fill="FFFFFF"/>
            <w:noWrap/>
            <w:vAlign w:val="bottom"/>
          </w:tcPr>
          <w:p w:rsidR="00C60139" w:rsidRPr="000A759C" w:rsidRDefault="00C60139" w:rsidP="00147048">
            <w:pPr>
              <w:jc w:val="right"/>
              <w:rPr>
                <w:rFonts w:ascii="Century Gothic" w:hAnsi="Century Gothic" w:cs="Tahoma"/>
                <w:b/>
                <w:bCs/>
                <w:sz w:val="18"/>
                <w:szCs w:val="18"/>
              </w:rPr>
            </w:pPr>
            <w:r w:rsidRPr="000A759C">
              <w:rPr>
                <w:rFonts w:ascii="Century Gothic" w:hAnsi="Century Gothic" w:cs="Tahoma"/>
                <w:b/>
                <w:bCs/>
                <w:sz w:val="18"/>
                <w:szCs w:val="18"/>
              </w:rPr>
              <w:t>120 210</w:t>
            </w:r>
          </w:p>
        </w:tc>
      </w:tr>
      <w:tr w:rsidR="00C60139" w:rsidRPr="00930639" w:rsidTr="00147048">
        <w:trPr>
          <w:trHeight w:val="255"/>
        </w:trPr>
        <w:tc>
          <w:tcPr>
            <w:tcW w:w="5261" w:type="dxa"/>
            <w:tcBorders>
              <w:top w:val="nil"/>
              <w:left w:val="nil"/>
              <w:bottom w:val="nil"/>
              <w:right w:val="nil"/>
            </w:tcBorders>
            <w:shd w:val="clear" w:color="000000" w:fill="FFFFFF"/>
            <w:noWrap/>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lastRenderedPageBreak/>
              <w:t> </w:t>
            </w:r>
          </w:p>
        </w:tc>
        <w:tc>
          <w:tcPr>
            <w:tcW w:w="1300"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 </w:t>
            </w:r>
          </w:p>
        </w:tc>
        <w:tc>
          <w:tcPr>
            <w:tcW w:w="1300" w:type="dxa"/>
            <w:tcBorders>
              <w:top w:val="nil"/>
              <w:left w:val="nil"/>
              <w:bottom w:val="nil"/>
              <w:right w:val="nil"/>
            </w:tcBorders>
            <w:shd w:val="clear" w:color="000000" w:fill="FFFFFF"/>
            <w:noWrap/>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 </w:t>
            </w:r>
          </w:p>
        </w:tc>
        <w:tc>
          <w:tcPr>
            <w:tcW w:w="1300" w:type="dxa"/>
            <w:tcBorders>
              <w:top w:val="nil"/>
              <w:left w:val="nil"/>
              <w:bottom w:val="nil"/>
              <w:right w:val="nil"/>
            </w:tcBorders>
            <w:shd w:val="clear" w:color="000000" w:fill="FFFFFF"/>
            <w:noWrap/>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 </w:t>
            </w:r>
          </w:p>
        </w:tc>
      </w:tr>
      <w:tr w:rsidR="00C60139" w:rsidRPr="000A759C" w:rsidTr="00147048">
        <w:trPr>
          <w:trHeight w:val="285"/>
        </w:trPr>
        <w:tc>
          <w:tcPr>
            <w:tcW w:w="5261" w:type="dxa"/>
            <w:tcBorders>
              <w:top w:val="single" w:sz="4" w:space="0" w:color="auto"/>
              <w:left w:val="nil"/>
              <w:bottom w:val="single" w:sz="4" w:space="0" w:color="auto"/>
              <w:right w:val="nil"/>
            </w:tcBorders>
            <w:shd w:val="clear" w:color="000000" w:fill="FFFFFF"/>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 xml:space="preserve">A k t y w a   n e t </w:t>
            </w:r>
            <w:proofErr w:type="spellStart"/>
            <w:r w:rsidRPr="000A759C">
              <w:rPr>
                <w:rFonts w:ascii="Century Gothic" w:hAnsi="Century Gothic" w:cs="Tahoma"/>
                <w:sz w:val="18"/>
                <w:szCs w:val="18"/>
              </w:rPr>
              <w:t>t</w:t>
            </w:r>
            <w:proofErr w:type="spellEnd"/>
            <w:r w:rsidRPr="000A759C">
              <w:rPr>
                <w:rFonts w:ascii="Century Gothic" w:hAnsi="Century Gothic" w:cs="Tahoma"/>
                <w:sz w:val="18"/>
                <w:szCs w:val="18"/>
              </w:rPr>
              <w:t xml:space="preserve"> o (Aktywa, razem - Zobowiązania i rezerwy, razem)</w:t>
            </w:r>
          </w:p>
        </w:tc>
        <w:tc>
          <w:tcPr>
            <w:tcW w:w="1300" w:type="dxa"/>
            <w:tcBorders>
              <w:top w:val="single" w:sz="4" w:space="0" w:color="auto"/>
              <w:left w:val="nil"/>
              <w:bottom w:val="nil"/>
              <w:right w:val="nil"/>
            </w:tcBorders>
            <w:shd w:val="clear" w:color="000000" w:fill="FFFFFF"/>
            <w:vAlign w:val="bottom"/>
          </w:tcPr>
          <w:p w:rsidR="00C60139" w:rsidRPr="000A759C" w:rsidRDefault="00C60139" w:rsidP="00147048">
            <w:pPr>
              <w:jc w:val="right"/>
              <w:rPr>
                <w:rFonts w:ascii="Century Gothic" w:hAnsi="Century Gothic" w:cs="Tahoma"/>
                <w:b/>
                <w:sz w:val="18"/>
                <w:szCs w:val="18"/>
              </w:rPr>
            </w:pPr>
            <w:r w:rsidRPr="000A759C">
              <w:rPr>
                <w:rFonts w:ascii="Century Gothic" w:hAnsi="Century Gothic" w:cs="Tahoma"/>
                <w:b/>
                <w:sz w:val="18"/>
                <w:szCs w:val="18"/>
              </w:rPr>
              <w:t xml:space="preserve">13 288 </w:t>
            </w:r>
          </w:p>
        </w:tc>
        <w:tc>
          <w:tcPr>
            <w:tcW w:w="1300" w:type="dxa"/>
            <w:tcBorders>
              <w:top w:val="single" w:sz="4" w:space="0" w:color="auto"/>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sz w:val="18"/>
                <w:szCs w:val="18"/>
              </w:rPr>
            </w:pPr>
            <w:r w:rsidRPr="000A759C">
              <w:rPr>
                <w:rFonts w:ascii="Century Gothic" w:hAnsi="Century Gothic" w:cs="Tahoma"/>
                <w:b/>
                <w:sz w:val="18"/>
                <w:szCs w:val="18"/>
              </w:rPr>
              <w:t>13 567</w:t>
            </w:r>
          </w:p>
        </w:tc>
        <w:tc>
          <w:tcPr>
            <w:tcW w:w="1300" w:type="dxa"/>
            <w:tcBorders>
              <w:top w:val="single" w:sz="4" w:space="0" w:color="auto"/>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b/>
                <w:sz w:val="18"/>
                <w:szCs w:val="18"/>
              </w:rPr>
            </w:pPr>
            <w:r w:rsidRPr="000A759C">
              <w:rPr>
                <w:rFonts w:ascii="Century Gothic" w:hAnsi="Century Gothic" w:cs="Tahoma"/>
                <w:b/>
                <w:sz w:val="18"/>
                <w:szCs w:val="18"/>
              </w:rPr>
              <w:t>87 021</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Liczba akcji w sztukach</w:t>
            </w:r>
          </w:p>
        </w:tc>
        <w:tc>
          <w:tcPr>
            <w:tcW w:w="1300" w:type="dxa"/>
            <w:tcBorders>
              <w:top w:val="single" w:sz="4" w:space="0" w:color="auto"/>
              <w:left w:val="nil"/>
              <w:bottom w:val="nil"/>
              <w:right w:val="nil"/>
            </w:tcBorders>
            <w:shd w:val="clear" w:color="000000" w:fill="FFFFFF"/>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 xml:space="preserve">146 850 643 </w:t>
            </w:r>
          </w:p>
        </w:tc>
        <w:tc>
          <w:tcPr>
            <w:tcW w:w="1300" w:type="dxa"/>
            <w:tcBorders>
              <w:top w:val="single" w:sz="4" w:space="0" w:color="auto"/>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 xml:space="preserve">146 850 643 </w:t>
            </w:r>
          </w:p>
        </w:tc>
        <w:tc>
          <w:tcPr>
            <w:tcW w:w="1300" w:type="dxa"/>
            <w:tcBorders>
              <w:top w:val="single" w:sz="4" w:space="0" w:color="auto"/>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 xml:space="preserve">139 489 990 </w:t>
            </w:r>
          </w:p>
        </w:tc>
      </w:tr>
      <w:tr w:rsidR="00C60139" w:rsidRPr="000A759C" w:rsidTr="00147048">
        <w:trPr>
          <w:trHeight w:val="285"/>
        </w:trPr>
        <w:tc>
          <w:tcPr>
            <w:tcW w:w="5261" w:type="dxa"/>
            <w:tcBorders>
              <w:top w:val="nil"/>
              <w:left w:val="nil"/>
              <w:bottom w:val="nil"/>
              <w:right w:val="nil"/>
            </w:tcBorders>
            <w:shd w:val="clear" w:color="000000" w:fill="FFFFFF"/>
            <w:vAlign w:val="bottom"/>
          </w:tcPr>
          <w:p w:rsidR="00C60139" w:rsidRPr="000A759C" w:rsidRDefault="00C60139" w:rsidP="00147048">
            <w:pPr>
              <w:rPr>
                <w:rFonts w:ascii="Century Gothic" w:hAnsi="Century Gothic" w:cs="Tahoma"/>
                <w:sz w:val="18"/>
                <w:szCs w:val="18"/>
              </w:rPr>
            </w:pPr>
            <w:r w:rsidRPr="000A759C">
              <w:rPr>
                <w:rFonts w:ascii="Century Gothic" w:hAnsi="Century Gothic" w:cs="Tahoma"/>
                <w:sz w:val="18"/>
                <w:szCs w:val="18"/>
              </w:rPr>
              <w:t>Wartość aktywów netto na jedną akcję</w:t>
            </w:r>
          </w:p>
        </w:tc>
        <w:tc>
          <w:tcPr>
            <w:tcW w:w="1300" w:type="dxa"/>
            <w:tcBorders>
              <w:top w:val="nil"/>
              <w:left w:val="nil"/>
              <w:bottom w:val="nil"/>
              <w:right w:val="nil"/>
            </w:tcBorders>
            <w:shd w:val="clear" w:color="000000" w:fill="FFFFFF"/>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0,09</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0,09</w:t>
            </w:r>
          </w:p>
        </w:tc>
        <w:tc>
          <w:tcPr>
            <w:tcW w:w="1300" w:type="dxa"/>
            <w:tcBorders>
              <w:top w:val="nil"/>
              <w:left w:val="nil"/>
              <w:bottom w:val="nil"/>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r w:rsidRPr="000A759C">
              <w:rPr>
                <w:rFonts w:ascii="Century Gothic" w:hAnsi="Century Gothic" w:cs="Tahoma"/>
                <w:sz w:val="18"/>
                <w:szCs w:val="18"/>
              </w:rPr>
              <w:t>0,62</w:t>
            </w:r>
          </w:p>
        </w:tc>
      </w:tr>
      <w:tr w:rsidR="00C60139" w:rsidRPr="00930639" w:rsidTr="00147048">
        <w:trPr>
          <w:trHeight w:val="285"/>
        </w:trPr>
        <w:tc>
          <w:tcPr>
            <w:tcW w:w="5261" w:type="dxa"/>
            <w:tcBorders>
              <w:top w:val="nil"/>
              <w:left w:val="nil"/>
              <w:bottom w:val="single" w:sz="4" w:space="0" w:color="auto"/>
              <w:right w:val="nil"/>
            </w:tcBorders>
            <w:shd w:val="clear" w:color="000000" w:fill="FFFFFF"/>
            <w:vAlign w:val="bottom"/>
          </w:tcPr>
          <w:p w:rsidR="00C60139" w:rsidRPr="000A759C" w:rsidRDefault="00C60139" w:rsidP="00147048">
            <w:pPr>
              <w:rPr>
                <w:rFonts w:ascii="Century Gothic" w:hAnsi="Century Gothic" w:cs="Tahoma"/>
                <w:sz w:val="18"/>
                <w:szCs w:val="18"/>
              </w:rPr>
            </w:pPr>
          </w:p>
        </w:tc>
        <w:tc>
          <w:tcPr>
            <w:tcW w:w="1300" w:type="dxa"/>
            <w:tcBorders>
              <w:top w:val="nil"/>
              <w:left w:val="nil"/>
              <w:bottom w:val="single" w:sz="4" w:space="0" w:color="auto"/>
              <w:right w:val="nil"/>
            </w:tcBorders>
            <w:shd w:val="clear" w:color="000000" w:fill="FFFFFF"/>
            <w:vAlign w:val="bottom"/>
          </w:tcPr>
          <w:p w:rsidR="00C60139" w:rsidRPr="000A759C" w:rsidRDefault="00C60139" w:rsidP="00147048">
            <w:pPr>
              <w:jc w:val="right"/>
              <w:rPr>
                <w:rFonts w:ascii="Century Gothic" w:hAnsi="Century Gothic" w:cs="Tahoma"/>
                <w:sz w:val="18"/>
                <w:szCs w:val="18"/>
              </w:rPr>
            </w:pPr>
          </w:p>
        </w:tc>
        <w:tc>
          <w:tcPr>
            <w:tcW w:w="1300" w:type="dxa"/>
            <w:tcBorders>
              <w:top w:val="nil"/>
              <w:left w:val="nil"/>
              <w:bottom w:val="single" w:sz="4" w:space="0" w:color="auto"/>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p>
        </w:tc>
        <w:tc>
          <w:tcPr>
            <w:tcW w:w="1300" w:type="dxa"/>
            <w:tcBorders>
              <w:top w:val="nil"/>
              <w:left w:val="nil"/>
              <w:bottom w:val="single" w:sz="4" w:space="0" w:color="auto"/>
              <w:right w:val="nil"/>
            </w:tcBorders>
            <w:shd w:val="clear" w:color="000000" w:fill="FFFFFF"/>
            <w:noWrap/>
            <w:vAlign w:val="bottom"/>
          </w:tcPr>
          <w:p w:rsidR="00C60139" w:rsidRPr="000A759C" w:rsidRDefault="00C60139" w:rsidP="00147048">
            <w:pPr>
              <w:jc w:val="right"/>
              <w:rPr>
                <w:rFonts w:ascii="Century Gothic" w:hAnsi="Century Gothic" w:cs="Tahoma"/>
                <w:sz w:val="18"/>
                <w:szCs w:val="18"/>
              </w:rPr>
            </w:pPr>
          </w:p>
        </w:tc>
      </w:tr>
    </w:tbl>
    <w:p w:rsidR="00C60139" w:rsidRPr="00930639" w:rsidRDefault="00C60139" w:rsidP="00C60139">
      <w:pPr>
        <w:shd w:val="clear" w:color="auto" w:fill="FFFFFF"/>
        <w:ind w:left="360"/>
        <w:jc w:val="both"/>
        <w:rPr>
          <w:rFonts w:ascii="Century Gothic" w:hAnsi="Century Gothic"/>
          <w:highlight w:val="yellow"/>
        </w:rPr>
      </w:pPr>
    </w:p>
    <w:p w:rsidR="00C60139" w:rsidRPr="00101601" w:rsidRDefault="00C60139" w:rsidP="00C60139">
      <w:pPr>
        <w:shd w:val="clear" w:color="auto" w:fill="FFFFFF"/>
        <w:ind w:left="360"/>
        <w:jc w:val="both"/>
        <w:rPr>
          <w:rFonts w:ascii="Century Gothic" w:hAnsi="Century Gothic"/>
        </w:rPr>
      </w:pPr>
      <w:r w:rsidRPr="00101601">
        <w:rPr>
          <w:rFonts w:ascii="Century Gothic" w:hAnsi="Century Gothic"/>
        </w:rPr>
        <w:t xml:space="preserve">Największą pozycję aktywów </w:t>
      </w:r>
      <w:proofErr w:type="spellStart"/>
      <w:r w:rsidRPr="00101601">
        <w:rPr>
          <w:rFonts w:ascii="Century Gothic" w:hAnsi="Century Gothic"/>
        </w:rPr>
        <w:t>Skystone</w:t>
      </w:r>
      <w:proofErr w:type="spellEnd"/>
      <w:r w:rsidRPr="00101601">
        <w:rPr>
          <w:rFonts w:ascii="Century Gothic" w:hAnsi="Century Gothic"/>
        </w:rPr>
        <w:t xml:space="preserve"> Capital stanowią należności z tytułu udzielonych pożyczek i naliczonych od nich odsetek. Na dzień 31 marca 2013 r. należności z tego tytułu wyniosły łącznie 26.072 tys. zł, co stanowiło 56,7% sumy bilansowej. Wszystkie pożyczki zostały udzielone spółkom wchodzącym w skład portfela inwestycyjnego. Portfel inwestycyjny jest drugą co do wielkości kategorią majątku Spółki i stanowi 37,3% wartości aktywów. </w:t>
      </w:r>
    </w:p>
    <w:p w:rsidR="00C60139" w:rsidRPr="00101601" w:rsidRDefault="00C60139" w:rsidP="00C60139">
      <w:pPr>
        <w:shd w:val="clear" w:color="auto" w:fill="FFFFFF"/>
        <w:ind w:left="360"/>
        <w:jc w:val="both"/>
        <w:rPr>
          <w:rFonts w:ascii="Century Gothic" w:hAnsi="Century Gothic"/>
        </w:rPr>
      </w:pPr>
      <w:r w:rsidRPr="00101601">
        <w:rPr>
          <w:rFonts w:ascii="Century Gothic" w:hAnsi="Century Gothic"/>
        </w:rPr>
        <w:t xml:space="preserve">Portfel inwestycyjny obejmował wyłącznie inwestycje w jednostki zależne. Zmiany w składzie portfela po </w:t>
      </w:r>
      <w:smartTag w:uri="urn:schemas-microsoft-com:office:smarttags" w:element="date">
        <w:smartTagPr>
          <w:attr w:name="ls" w:val="trans"/>
          <w:attr w:name="Month" w:val="12"/>
          <w:attr w:name="Day" w:val="31"/>
          <w:attr w:name="Year" w:val="2012"/>
        </w:smartTagPr>
        <w:r w:rsidRPr="00101601">
          <w:rPr>
            <w:rFonts w:ascii="Century Gothic" w:hAnsi="Century Gothic"/>
          </w:rPr>
          <w:t>31 grudnia 2012 r.</w:t>
        </w:r>
      </w:smartTag>
      <w:r w:rsidRPr="00101601">
        <w:rPr>
          <w:rFonts w:ascii="Century Gothic" w:hAnsi="Century Gothic"/>
        </w:rPr>
        <w:t xml:space="preserve"> obejmowały</w:t>
      </w:r>
      <w:r>
        <w:rPr>
          <w:rFonts w:ascii="Century Gothic" w:hAnsi="Century Gothic"/>
        </w:rPr>
        <w:t xml:space="preserve"> głównie</w:t>
      </w:r>
      <w:r w:rsidRPr="00101601">
        <w:rPr>
          <w:rFonts w:ascii="Century Gothic" w:hAnsi="Century Gothic"/>
        </w:rPr>
        <w:t>:</w:t>
      </w:r>
    </w:p>
    <w:p w:rsidR="00C60139" w:rsidRPr="00101601" w:rsidRDefault="00C60139" w:rsidP="00C60139">
      <w:pPr>
        <w:shd w:val="clear" w:color="auto" w:fill="FFFFFF"/>
        <w:ind w:left="360"/>
        <w:jc w:val="both"/>
        <w:rPr>
          <w:rFonts w:ascii="Century Gothic" w:hAnsi="Century Gothic" w:cs="Tahoma"/>
        </w:rPr>
      </w:pPr>
      <w:r w:rsidRPr="00101601">
        <w:rPr>
          <w:rFonts w:ascii="Century Gothic" w:hAnsi="Century Gothic"/>
        </w:rPr>
        <w:t>-</w:t>
      </w:r>
      <w:r w:rsidRPr="00101601">
        <w:rPr>
          <w:rFonts w:ascii="Century Gothic" w:hAnsi="Century Gothic"/>
        </w:rPr>
        <w:tab/>
      </w:r>
      <w:r w:rsidRPr="00101601">
        <w:rPr>
          <w:rFonts w:ascii="Century Gothic" w:hAnsi="Century Gothic" w:cs="Tahoma"/>
        </w:rPr>
        <w:t>sp</w:t>
      </w:r>
      <w:r>
        <w:rPr>
          <w:rFonts w:ascii="Century Gothic" w:hAnsi="Century Gothic" w:cs="Tahoma"/>
        </w:rPr>
        <w:t xml:space="preserve">rzedaż 128.000 akcji </w:t>
      </w:r>
      <w:proofErr w:type="spellStart"/>
      <w:r>
        <w:rPr>
          <w:rFonts w:ascii="Century Gothic" w:hAnsi="Century Gothic" w:cs="Tahoma"/>
        </w:rPr>
        <w:t>Viatron</w:t>
      </w:r>
      <w:proofErr w:type="spellEnd"/>
      <w:r>
        <w:rPr>
          <w:rFonts w:ascii="Century Gothic" w:hAnsi="Century Gothic" w:cs="Tahoma"/>
        </w:rPr>
        <w:t xml:space="preserve"> </w:t>
      </w:r>
      <w:r w:rsidRPr="00101601">
        <w:rPr>
          <w:rFonts w:ascii="Century Gothic" w:hAnsi="Century Gothic" w:cs="Tahoma"/>
        </w:rPr>
        <w:tab/>
      </w:r>
      <w:r w:rsidRPr="00101601">
        <w:rPr>
          <w:rFonts w:ascii="Century Gothic" w:hAnsi="Century Gothic" w:cs="Tahoma"/>
        </w:rPr>
        <w:tab/>
      </w:r>
      <w:r w:rsidRPr="00101601">
        <w:rPr>
          <w:rFonts w:ascii="Century Gothic" w:hAnsi="Century Gothic" w:cs="Tahoma"/>
        </w:rPr>
        <w:tab/>
      </w:r>
      <w:r w:rsidRPr="00101601">
        <w:rPr>
          <w:rFonts w:ascii="Century Gothic" w:hAnsi="Century Gothic" w:cs="Tahoma"/>
        </w:rPr>
        <w:tab/>
      </w:r>
      <w:r w:rsidR="00ED16C9">
        <w:rPr>
          <w:rFonts w:ascii="Century Gothic" w:hAnsi="Century Gothic" w:cs="Tahoma"/>
        </w:rPr>
        <w:tab/>
      </w:r>
      <w:r w:rsidRPr="00101601">
        <w:rPr>
          <w:rFonts w:ascii="Century Gothic" w:hAnsi="Century Gothic" w:cs="Tahoma"/>
        </w:rPr>
        <w:t>-</w:t>
      </w:r>
      <w:r w:rsidRPr="00101601">
        <w:rPr>
          <w:rFonts w:ascii="Century Gothic" w:hAnsi="Century Gothic" w:cs="Tahoma"/>
        </w:rPr>
        <w:tab/>
        <w:t>1.091 tys. zł</w:t>
      </w:r>
    </w:p>
    <w:p w:rsidR="00C60139" w:rsidRPr="00101601" w:rsidRDefault="00C60139" w:rsidP="00C60139">
      <w:pPr>
        <w:shd w:val="clear" w:color="auto" w:fill="FFFFFF"/>
        <w:ind w:left="360"/>
        <w:jc w:val="both"/>
        <w:rPr>
          <w:rFonts w:ascii="Century Gothic" w:hAnsi="Century Gothic" w:cs="Tahoma"/>
        </w:rPr>
      </w:pPr>
      <w:r w:rsidRPr="00101601">
        <w:rPr>
          <w:rFonts w:ascii="Century Gothic" w:hAnsi="Century Gothic" w:cs="Tahoma"/>
        </w:rPr>
        <w:t>-</w:t>
      </w:r>
      <w:r w:rsidRPr="00101601">
        <w:rPr>
          <w:rFonts w:ascii="Century Gothic" w:hAnsi="Century Gothic" w:cs="Tahoma"/>
        </w:rPr>
        <w:tab/>
        <w:t>sprzedaż 7.053</w:t>
      </w:r>
      <w:r>
        <w:rPr>
          <w:rFonts w:ascii="Century Gothic" w:hAnsi="Century Gothic" w:cs="Tahoma"/>
        </w:rPr>
        <w:t xml:space="preserve">.900 akcji spółki Energo Eko I </w:t>
      </w:r>
      <w:r w:rsidRPr="00101601">
        <w:rPr>
          <w:rFonts w:ascii="Century Gothic" w:hAnsi="Century Gothic" w:cs="Tahoma"/>
        </w:rPr>
        <w:tab/>
      </w:r>
      <w:r w:rsidRPr="00101601">
        <w:rPr>
          <w:rFonts w:ascii="Century Gothic" w:hAnsi="Century Gothic" w:cs="Tahoma"/>
        </w:rPr>
        <w:tab/>
      </w:r>
      <w:r w:rsidRPr="00101601">
        <w:rPr>
          <w:rFonts w:ascii="Century Gothic" w:hAnsi="Century Gothic" w:cs="Tahoma"/>
        </w:rPr>
        <w:tab/>
      </w:r>
      <w:r w:rsidR="00ED16C9">
        <w:rPr>
          <w:rFonts w:ascii="Century Gothic" w:hAnsi="Century Gothic" w:cs="Tahoma"/>
        </w:rPr>
        <w:tab/>
      </w:r>
      <w:r w:rsidRPr="00101601">
        <w:rPr>
          <w:rFonts w:ascii="Century Gothic" w:hAnsi="Century Gothic" w:cs="Tahoma"/>
        </w:rPr>
        <w:t>-</w:t>
      </w:r>
      <w:r w:rsidRPr="00101601">
        <w:rPr>
          <w:rFonts w:ascii="Century Gothic" w:hAnsi="Century Gothic" w:cs="Tahoma"/>
        </w:rPr>
        <w:tab/>
        <w:t>4.035 tys. zł</w:t>
      </w:r>
    </w:p>
    <w:p w:rsidR="00C60139" w:rsidRPr="00101601" w:rsidRDefault="00C60139" w:rsidP="00C60139">
      <w:pPr>
        <w:shd w:val="clear" w:color="auto" w:fill="FFFFFF"/>
        <w:ind w:left="360"/>
        <w:jc w:val="both"/>
        <w:rPr>
          <w:rFonts w:ascii="Century Gothic" w:hAnsi="Century Gothic"/>
        </w:rPr>
      </w:pPr>
      <w:r w:rsidRPr="00101601">
        <w:rPr>
          <w:rFonts w:ascii="Century Gothic" w:hAnsi="Century Gothic" w:cs="Tahoma"/>
        </w:rPr>
        <w:t>-</w:t>
      </w:r>
      <w:r w:rsidRPr="00101601">
        <w:rPr>
          <w:rFonts w:ascii="Century Gothic" w:hAnsi="Century Gothic" w:cs="Tahoma"/>
        </w:rPr>
        <w:tab/>
        <w:t>podwyższenie</w:t>
      </w:r>
      <w:r w:rsidRPr="00101601">
        <w:rPr>
          <w:rFonts w:ascii="Century Gothic" w:hAnsi="Century Gothic"/>
        </w:rPr>
        <w:t xml:space="preserve"> kapitału OZEN Plus (konwersja pożyczek) </w:t>
      </w:r>
      <w:r w:rsidRPr="00101601">
        <w:rPr>
          <w:rFonts w:ascii="Century Gothic" w:hAnsi="Century Gothic"/>
        </w:rPr>
        <w:tab/>
      </w:r>
      <w:r w:rsidR="00ED16C9">
        <w:rPr>
          <w:rFonts w:ascii="Century Gothic" w:hAnsi="Century Gothic"/>
        </w:rPr>
        <w:tab/>
      </w:r>
      <w:r w:rsidRPr="00101601">
        <w:rPr>
          <w:rFonts w:ascii="Century Gothic" w:hAnsi="Century Gothic"/>
        </w:rPr>
        <w:t>-</w:t>
      </w:r>
      <w:r w:rsidRPr="00101601">
        <w:rPr>
          <w:rFonts w:ascii="Century Gothic" w:hAnsi="Century Gothic"/>
        </w:rPr>
        <w:tab/>
        <w:t>5.000 tys. zł</w:t>
      </w:r>
    </w:p>
    <w:p w:rsidR="00C60139" w:rsidRPr="00101601" w:rsidRDefault="00C60139" w:rsidP="00C60139">
      <w:pPr>
        <w:shd w:val="clear" w:color="auto" w:fill="FFFFFF"/>
        <w:ind w:left="360"/>
        <w:jc w:val="both"/>
        <w:rPr>
          <w:rFonts w:ascii="Century Gothic" w:hAnsi="Century Gothic"/>
        </w:rPr>
      </w:pPr>
      <w:r w:rsidRPr="00101601">
        <w:rPr>
          <w:rFonts w:ascii="Century Gothic" w:hAnsi="Century Gothic"/>
        </w:rPr>
        <w:t>-</w:t>
      </w:r>
      <w:r w:rsidRPr="00101601">
        <w:rPr>
          <w:rFonts w:ascii="Century Gothic" w:hAnsi="Century Gothic"/>
        </w:rPr>
        <w:tab/>
        <w:t xml:space="preserve">podwyższenie kapitału Biogaz </w:t>
      </w:r>
      <w:proofErr w:type="spellStart"/>
      <w:r w:rsidRPr="00101601">
        <w:rPr>
          <w:rFonts w:ascii="Century Gothic" w:hAnsi="Century Gothic"/>
        </w:rPr>
        <w:t>Zeneris</w:t>
      </w:r>
      <w:proofErr w:type="spellEnd"/>
      <w:r w:rsidRPr="00101601">
        <w:rPr>
          <w:rFonts w:ascii="Century Gothic" w:hAnsi="Century Gothic"/>
        </w:rPr>
        <w:t>.(konwersja pożyczek)</w:t>
      </w:r>
      <w:r w:rsidR="00ED16C9">
        <w:rPr>
          <w:rFonts w:ascii="Century Gothic" w:hAnsi="Century Gothic"/>
        </w:rPr>
        <w:tab/>
      </w:r>
      <w:r w:rsidRPr="00101601">
        <w:rPr>
          <w:rFonts w:ascii="Century Gothic" w:hAnsi="Century Gothic"/>
        </w:rPr>
        <w:t>-</w:t>
      </w:r>
      <w:r w:rsidRPr="00101601">
        <w:rPr>
          <w:rFonts w:ascii="Century Gothic" w:hAnsi="Century Gothic"/>
        </w:rPr>
        <w:tab/>
        <w:t xml:space="preserve"> 2.971 tys. zł  </w:t>
      </w:r>
    </w:p>
    <w:p w:rsidR="00C60139" w:rsidRPr="00101601" w:rsidRDefault="00C60139" w:rsidP="00C60139">
      <w:pPr>
        <w:shd w:val="clear" w:color="auto" w:fill="FFFFFF"/>
        <w:ind w:left="360"/>
        <w:jc w:val="both"/>
        <w:rPr>
          <w:rFonts w:ascii="Century Gothic" w:hAnsi="Century Gothic"/>
        </w:rPr>
      </w:pPr>
      <w:r w:rsidRPr="00101601">
        <w:rPr>
          <w:rFonts w:ascii="Century Gothic" w:hAnsi="Century Gothic"/>
        </w:rPr>
        <w:t>-</w:t>
      </w:r>
      <w:r w:rsidRPr="00101601">
        <w:rPr>
          <w:rFonts w:ascii="Century Gothic" w:hAnsi="Century Gothic"/>
        </w:rPr>
        <w:tab/>
        <w:t xml:space="preserve">podwyższenie kapitału Biogaz </w:t>
      </w:r>
      <w:proofErr w:type="spellStart"/>
      <w:r w:rsidRPr="00101601">
        <w:rPr>
          <w:rFonts w:ascii="Century Gothic" w:hAnsi="Century Gothic"/>
        </w:rPr>
        <w:t>Zeneris</w:t>
      </w:r>
      <w:proofErr w:type="spellEnd"/>
      <w:r w:rsidRPr="00101601">
        <w:rPr>
          <w:rFonts w:ascii="Century Gothic" w:hAnsi="Century Gothic"/>
        </w:rPr>
        <w:t xml:space="preserve"> Tech (konwersja pożyczek)</w:t>
      </w:r>
      <w:r w:rsidR="00ED16C9">
        <w:rPr>
          <w:rFonts w:ascii="Century Gothic" w:hAnsi="Century Gothic"/>
        </w:rPr>
        <w:tab/>
      </w:r>
      <w:r w:rsidRPr="00101601">
        <w:rPr>
          <w:rFonts w:ascii="Century Gothic" w:hAnsi="Century Gothic"/>
        </w:rPr>
        <w:t>-</w:t>
      </w:r>
      <w:r w:rsidRPr="00101601">
        <w:rPr>
          <w:rFonts w:ascii="Century Gothic" w:hAnsi="Century Gothic"/>
        </w:rPr>
        <w:tab/>
        <w:t xml:space="preserve">    771 tys. zł</w:t>
      </w:r>
    </w:p>
    <w:p w:rsidR="00C60139" w:rsidRPr="00101601" w:rsidRDefault="00C60139" w:rsidP="00C60139">
      <w:pPr>
        <w:shd w:val="clear" w:color="auto" w:fill="FFFFFF"/>
        <w:ind w:left="360"/>
        <w:jc w:val="both"/>
        <w:rPr>
          <w:rFonts w:ascii="Century Gothic" w:hAnsi="Century Gothic"/>
        </w:rPr>
      </w:pPr>
    </w:p>
    <w:p w:rsidR="00C60139" w:rsidRPr="00101601" w:rsidRDefault="00C60139" w:rsidP="00C60139">
      <w:pPr>
        <w:shd w:val="clear" w:color="auto" w:fill="FFFFFF"/>
        <w:ind w:left="360"/>
        <w:jc w:val="both"/>
        <w:rPr>
          <w:rFonts w:ascii="Century Gothic" w:hAnsi="Century Gothic"/>
        </w:rPr>
      </w:pPr>
      <w:r w:rsidRPr="00101601">
        <w:rPr>
          <w:rFonts w:ascii="Century Gothic" w:hAnsi="Century Gothic"/>
        </w:rPr>
        <w:t>Na pozycję zobowiązań i rezerw składały się głównie wyemitowane obligacje w wysokości 27.315 tys. zł oraz zaciągnięte pożyczki w wysokości 2.757</w:t>
      </w:r>
      <w:r>
        <w:rPr>
          <w:rFonts w:ascii="Century Gothic" w:hAnsi="Century Gothic"/>
        </w:rPr>
        <w:t xml:space="preserve"> </w:t>
      </w:r>
      <w:r w:rsidRPr="00101601">
        <w:rPr>
          <w:rFonts w:ascii="Century Gothic" w:hAnsi="Century Gothic"/>
        </w:rPr>
        <w:t>tys. zł. Szczegółowe informacje dotyczące poszczególnych emisji i wykupu obligacji zostały zawarte w sprawozdaniu finansowym oraz raportach bieżących.</w:t>
      </w:r>
    </w:p>
    <w:p w:rsidR="00C60139" w:rsidRPr="000A759C" w:rsidRDefault="00C60139" w:rsidP="00C60139">
      <w:pPr>
        <w:shd w:val="clear" w:color="auto" w:fill="FFFFFF"/>
        <w:ind w:left="360"/>
        <w:jc w:val="both"/>
        <w:rPr>
          <w:rFonts w:ascii="Century Gothic" w:hAnsi="Century Gothic"/>
        </w:rPr>
      </w:pPr>
    </w:p>
    <w:p w:rsidR="00C60139" w:rsidRPr="000A759C" w:rsidRDefault="00C60139" w:rsidP="00C60139">
      <w:pPr>
        <w:shd w:val="clear" w:color="auto" w:fill="FFFFFF"/>
        <w:ind w:left="360"/>
        <w:jc w:val="both"/>
        <w:rPr>
          <w:rFonts w:ascii="Century Gothic" w:hAnsi="Century Gothic"/>
        </w:rPr>
      </w:pPr>
      <w:r w:rsidRPr="000A759C">
        <w:rPr>
          <w:rFonts w:ascii="Century Gothic" w:hAnsi="Century Gothic"/>
        </w:rPr>
        <w:t>Wybrane dane rachunku zysków i strat oraz rachunku przepływów pieniężnych kształtowały się następująco:</w:t>
      </w:r>
    </w:p>
    <w:tbl>
      <w:tblPr>
        <w:tblW w:w="8080" w:type="dxa"/>
        <w:tblInd w:w="709" w:type="dxa"/>
        <w:tblCellMar>
          <w:left w:w="70" w:type="dxa"/>
          <w:right w:w="70" w:type="dxa"/>
        </w:tblCellMar>
        <w:tblLook w:val="04A0" w:firstRow="1" w:lastRow="0" w:firstColumn="1" w:lastColumn="0" w:noHBand="0" w:noVBand="1"/>
      </w:tblPr>
      <w:tblGrid>
        <w:gridCol w:w="4700"/>
        <w:gridCol w:w="1660"/>
        <w:gridCol w:w="1720"/>
      </w:tblGrid>
      <w:tr w:rsidR="00C60139" w:rsidRPr="000A759C" w:rsidTr="00147048">
        <w:trPr>
          <w:trHeight w:val="1020"/>
        </w:trPr>
        <w:tc>
          <w:tcPr>
            <w:tcW w:w="4700" w:type="dxa"/>
            <w:tcBorders>
              <w:top w:val="nil"/>
              <w:left w:val="nil"/>
              <w:bottom w:val="single" w:sz="4" w:space="0" w:color="auto"/>
              <w:right w:val="nil"/>
            </w:tcBorders>
            <w:shd w:val="clear" w:color="auto" w:fill="auto"/>
            <w:noWrap/>
            <w:vAlign w:val="center"/>
          </w:tcPr>
          <w:p w:rsidR="00C60139" w:rsidRPr="000A759C" w:rsidRDefault="00C60139" w:rsidP="00147048">
            <w:pPr>
              <w:jc w:val="center"/>
              <w:rPr>
                <w:rFonts w:ascii="Century Gothic" w:hAnsi="Century Gothic" w:cs="Tahoma"/>
                <w:b/>
                <w:bCs/>
                <w:sz w:val="16"/>
                <w:szCs w:val="16"/>
              </w:rPr>
            </w:pPr>
            <w:r w:rsidRPr="000A759C">
              <w:rPr>
                <w:rFonts w:ascii="Century Gothic" w:hAnsi="Century Gothic" w:cs="Tahoma"/>
                <w:b/>
                <w:bCs/>
                <w:sz w:val="16"/>
                <w:szCs w:val="16"/>
              </w:rPr>
              <w:t> </w:t>
            </w:r>
          </w:p>
        </w:tc>
        <w:tc>
          <w:tcPr>
            <w:tcW w:w="1660" w:type="dxa"/>
            <w:tcBorders>
              <w:top w:val="nil"/>
              <w:left w:val="nil"/>
              <w:bottom w:val="single" w:sz="4" w:space="0" w:color="auto"/>
              <w:right w:val="nil"/>
            </w:tcBorders>
            <w:shd w:val="clear" w:color="auto" w:fill="auto"/>
            <w:vAlign w:val="center"/>
          </w:tcPr>
          <w:p w:rsidR="00C60139" w:rsidRPr="000A759C" w:rsidRDefault="00C60139" w:rsidP="00147048">
            <w:pPr>
              <w:jc w:val="center"/>
              <w:rPr>
                <w:rFonts w:ascii="Century Gothic" w:hAnsi="Century Gothic" w:cs="Tahoma"/>
                <w:b/>
                <w:bCs/>
                <w:sz w:val="16"/>
                <w:szCs w:val="16"/>
              </w:rPr>
            </w:pPr>
            <w:r w:rsidRPr="000A759C">
              <w:rPr>
                <w:rFonts w:ascii="Century Gothic" w:hAnsi="Century Gothic" w:cs="Tahoma"/>
                <w:b/>
                <w:bCs/>
                <w:sz w:val="16"/>
                <w:szCs w:val="16"/>
              </w:rPr>
              <w:t>3 miesiące zakończone 31.03.2014</w:t>
            </w:r>
          </w:p>
        </w:tc>
        <w:tc>
          <w:tcPr>
            <w:tcW w:w="1720" w:type="dxa"/>
            <w:tcBorders>
              <w:top w:val="nil"/>
              <w:left w:val="nil"/>
              <w:bottom w:val="single" w:sz="4" w:space="0" w:color="auto"/>
              <w:right w:val="nil"/>
            </w:tcBorders>
            <w:shd w:val="clear" w:color="auto" w:fill="auto"/>
            <w:vAlign w:val="center"/>
          </w:tcPr>
          <w:p w:rsidR="00C60139" w:rsidRPr="000A759C" w:rsidRDefault="00C60139" w:rsidP="00147048">
            <w:pPr>
              <w:jc w:val="center"/>
              <w:rPr>
                <w:rFonts w:ascii="Century Gothic" w:hAnsi="Century Gothic" w:cs="Tahoma"/>
                <w:b/>
                <w:bCs/>
                <w:sz w:val="16"/>
                <w:szCs w:val="16"/>
              </w:rPr>
            </w:pPr>
            <w:r w:rsidRPr="000A759C">
              <w:rPr>
                <w:rFonts w:ascii="Century Gothic" w:hAnsi="Century Gothic" w:cs="Tahoma"/>
                <w:b/>
                <w:bCs/>
                <w:sz w:val="16"/>
                <w:szCs w:val="16"/>
              </w:rPr>
              <w:t>3 miesiące zakończone 31.03.2013</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Przychody z inwestycji</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838</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1 157</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i/>
                <w:iCs/>
                <w:sz w:val="16"/>
                <w:szCs w:val="16"/>
              </w:rPr>
            </w:pPr>
            <w:r w:rsidRPr="000A759C">
              <w:rPr>
                <w:rFonts w:ascii="Century Gothic" w:hAnsi="Century Gothic" w:cs="Tahoma"/>
                <w:i/>
                <w:iCs/>
                <w:sz w:val="16"/>
                <w:szCs w:val="16"/>
              </w:rPr>
              <w:t xml:space="preserve">  Odsetki z tytułu zaciągniętych kredytów (pożyczek)</w:t>
            </w:r>
          </w:p>
        </w:tc>
        <w:tc>
          <w:tcPr>
            <w:tcW w:w="1660" w:type="dxa"/>
            <w:tcBorders>
              <w:top w:val="nil"/>
              <w:left w:val="nil"/>
              <w:bottom w:val="nil"/>
              <w:right w:val="nil"/>
            </w:tcBorders>
            <w:shd w:val="clear" w:color="auto" w:fill="auto"/>
            <w:noWrap/>
            <w:vAlign w:val="bottom"/>
          </w:tcPr>
          <w:p w:rsidR="00C60139" w:rsidRPr="000A759C" w:rsidRDefault="00C60139" w:rsidP="00147048">
            <w:pPr>
              <w:jc w:val="right"/>
              <w:rPr>
                <w:rFonts w:ascii="Century Gothic" w:hAnsi="Century Gothic" w:cs="Tahoma"/>
                <w:i/>
                <w:iCs/>
                <w:sz w:val="16"/>
                <w:szCs w:val="16"/>
              </w:rPr>
            </w:pPr>
            <w:r w:rsidRPr="000A759C">
              <w:rPr>
                <w:rFonts w:ascii="Century Gothic" w:hAnsi="Century Gothic" w:cs="Tahoma"/>
                <w:i/>
                <w:iCs/>
                <w:sz w:val="16"/>
                <w:szCs w:val="16"/>
              </w:rPr>
              <w:t>-654</w:t>
            </w:r>
          </w:p>
        </w:tc>
        <w:tc>
          <w:tcPr>
            <w:tcW w:w="1720" w:type="dxa"/>
            <w:tcBorders>
              <w:top w:val="nil"/>
              <w:left w:val="nil"/>
              <w:bottom w:val="nil"/>
              <w:right w:val="nil"/>
            </w:tcBorders>
            <w:shd w:val="clear" w:color="auto" w:fill="auto"/>
            <w:noWrap/>
            <w:vAlign w:val="bottom"/>
          </w:tcPr>
          <w:p w:rsidR="00C60139" w:rsidRPr="000A759C" w:rsidRDefault="00C60139" w:rsidP="00147048">
            <w:pPr>
              <w:jc w:val="right"/>
              <w:rPr>
                <w:rFonts w:ascii="Century Gothic" w:hAnsi="Century Gothic" w:cs="Tahoma"/>
                <w:i/>
                <w:iCs/>
                <w:sz w:val="16"/>
                <w:szCs w:val="16"/>
              </w:rPr>
            </w:pPr>
            <w:r w:rsidRPr="000A759C">
              <w:rPr>
                <w:rFonts w:ascii="Century Gothic" w:hAnsi="Century Gothic" w:cs="Tahoma"/>
                <w:i/>
                <w:iCs/>
                <w:sz w:val="16"/>
                <w:szCs w:val="16"/>
              </w:rPr>
              <w:t>-863</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Wynik z inwestycji netto</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-423</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-414</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Zrealizowane i niezrealizowane zyski (straty) z inwestycji</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144</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902</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Zysk (strata) z działalności operacyjnej</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-279</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488</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Zysk (strata) brutto</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-279</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488</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Zysk (strata) netto</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-279</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488</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Przepływy pieniężne netto z działalności operacyjnej</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-34</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-132</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Przepływy pieniężne netto z działalności finansowej</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230</w:t>
            </w:r>
          </w:p>
        </w:tc>
      </w:tr>
      <w:tr w:rsidR="00C60139" w:rsidRPr="000A759C" w:rsidTr="00147048">
        <w:trPr>
          <w:trHeight w:val="285"/>
        </w:trPr>
        <w:tc>
          <w:tcPr>
            <w:tcW w:w="4700" w:type="dxa"/>
            <w:tcBorders>
              <w:top w:val="nil"/>
              <w:left w:val="nil"/>
              <w:bottom w:val="nil"/>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Przepływy pieniężne netto, razem</w:t>
            </w:r>
          </w:p>
        </w:tc>
        <w:tc>
          <w:tcPr>
            <w:tcW w:w="166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-34</w:t>
            </w:r>
          </w:p>
        </w:tc>
        <w:tc>
          <w:tcPr>
            <w:tcW w:w="1720" w:type="dxa"/>
            <w:tcBorders>
              <w:top w:val="nil"/>
              <w:left w:val="nil"/>
              <w:bottom w:val="nil"/>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98</w:t>
            </w:r>
          </w:p>
        </w:tc>
      </w:tr>
      <w:tr w:rsidR="00C60139" w:rsidRPr="000A759C" w:rsidTr="00147048">
        <w:trPr>
          <w:trHeight w:val="285"/>
        </w:trPr>
        <w:tc>
          <w:tcPr>
            <w:tcW w:w="4700" w:type="dxa"/>
            <w:tcBorders>
              <w:top w:val="nil"/>
              <w:left w:val="nil"/>
              <w:bottom w:val="single" w:sz="4" w:space="0" w:color="auto"/>
              <w:right w:val="nil"/>
            </w:tcBorders>
            <w:shd w:val="clear" w:color="auto" w:fill="auto"/>
            <w:vAlign w:val="bottom"/>
          </w:tcPr>
          <w:p w:rsidR="00C60139" w:rsidRPr="000A759C" w:rsidRDefault="00C60139" w:rsidP="00147048">
            <w:pPr>
              <w:rPr>
                <w:rFonts w:ascii="Century Gothic" w:hAnsi="Century Gothic" w:cs="Tahoma"/>
                <w:sz w:val="16"/>
                <w:szCs w:val="16"/>
              </w:rPr>
            </w:pPr>
            <w:r w:rsidRPr="000A759C">
              <w:rPr>
                <w:rFonts w:ascii="Century Gothic" w:hAnsi="Century Gothic" w:cs="Tahoma"/>
                <w:sz w:val="16"/>
                <w:szCs w:val="16"/>
              </w:rPr>
              <w:t>Zysk (strata) netto na jedną akcję (w zł / EUR)</w:t>
            </w:r>
          </w:p>
        </w:tc>
        <w:tc>
          <w:tcPr>
            <w:tcW w:w="1660" w:type="dxa"/>
            <w:tcBorders>
              <w:top w:val="nil"/>
              <w:left w:val="nil"/>
              <w:bottom w:val="single" w:sz="4" w:space="0" w:color="auto"/>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0,00</w:t>
            </w:r>
          </w:p>
        </w:tc>
        <w:tc>
          <w:tcPr>
            <w:tcW w:w="1720" w:type="dxa"/>
            <w:tcBorders>
              <w:top w:val="nil"/>
              <w:left w:val="nil"/>
              <w:bottom w:val="single" w:sz="4" w:space="0" w:color="auto"/>
              <w:right w:val="nil"/>
            </w:tcBorders>
            <w:shd w:val="clear" w:color="auto" w:fill="auto"/>
            <w:vAlign w:val="bottom"/>
          </w:tcPr>
          <w:p w:rsidR="00C60139" w:rsidRPr="000A759C" w:rsidRDefault="00C60139" w:rsidP="00147048">
            <w:pPr>
              <w:jc w:val="right"/>
              <w:rPr>
                <w:rFonts w:ascii="Century Gothic" w:hAnsi="Century Gothic" w:cs="Tahoma"/>
                <w:sz w:val="16"/>
                <w:szCs w:val="16"/>
              </w:rPr>
            </w:pPr>
            <w:r w:rsidRPr="000A759C">
              <w:rPr>
                <w:rFonts w:ascii="Century Gothic" w:hAnsi="Century Gothic" w:cs="Tahoma"/>
                <w:sz w:val="16"/>
                <w:szCs w:val="16"/>
              </w:rPr>
              <w:t>0,00</w:t>
            </w:r>
          </w:p>
        </w:tc>
      </w:tr>
    </w:tbl>
    <w:p w:rsidR="00C60139" w:rsidRPr="000A759C" w:rsidRDefault="00C60139" w:rsidP="00C60139">
      <w:pPr>
        <w:ind w:left="361"/>
        <w:jc w:val="both"/>
        <w:rPr>
          <w:rFonts w:ascii="Century Gothic" w:hAnsi="Century Gothic"/>
        </w:rPr>
      </w:pPr>
    </w:p>
    <w:p w:rsidR="00C60139" w:rsidRPr="00930639" w:rsidRDefault="00C60139" w:rsidP="00C60139">
      <w:pPr>
        <w:shd w:val="clear" w:color="auto" w:fill="FFFFFF"/>
        <w:ind w:left="360"/>
        <w:jc w:val="both"/>
        <w:rPr>
          <w:rFonts w:ascii="Century Gothic" w:hAnsi="Century Gothic"/>
          <w:highlight w:val="yellow"/>
        </w:rPr>
      </w:pPr>
    </w:p>
    <w:p w:rsidR="00C60139" w:rsidRPr="00511CD7" w:rsidRDefault="00C60139" w:rsidP="00F912A5">
      <w:pPr>
        <w:shd w:val="clear" w:color="auto" w:fill="FFFFFF"/>
        <w:ind w:left="426"/>
        <w:jc w:val="both"/>
        <w:rPr>
          <w:rFonts w:ascii="Century Gothic" w:hAnsi="Century Gothic"/>
        </w:rPr>
      </w:pPr>
      <w:r w:rsidRPr="00511CD7">
        <w:rPr>
          <w:rFonts w:ascii="Century Gothic" w:hAnsi="Century Gothic"/>
        </w:rPr>
        <w:t xml:space="preserve">Za pierwszy kwartał 2014 r.  </w:t>
      </w:r>
      <w:proofErr w:type="spellStart"/>
      <w:r w:rsidRPr="00511CD7">
        <w:rPr>
          <w:rFonts w:ascii="Century Gothic" w:hAnsi="Century Gothic"/>
        </w:rPr>
        <w:t>Skystone</w:t>
      </w:r>
      <w:proofErr w:type="spellEnd"/>
      <w:r w:rsidRPr="00511CD7">
        <w:rPr>
          <w:rFonts w:ascii="Century Gothic" w:hAnsi="Century Gothic"/>
        </w:rPr>
        <w:t xml:space="preserve"> Capital odnotowała stratę w wysokości -279 tys. zł. Na jej wysokość miało wpływ ograniczenie działalności inwestycyjnej i wcześniejsze zbycie części aktywów portfelowych. Stratę odnotowano mimo około 33 procentowego spadku kosztów operacyjnych w stosunku do I kwartału ubiegłego roku, który był efektem obniżenia wszystkich  kosztów rodzajowych. Spadek kosztów rodzajowych jest wynikiem działań strategicznych w zakresie poprawy rentowności przyjętych przez nowy Zarząd Spółki. </w:t>
      </w:r>
    </w:p>
    <w:p w:rsidR="00C60139" w:rsidRPr="00511CD7" w:rsidRDefault="00C60139" w:rsidP="00C60139">
      <w:pPr>
        <w:shd w:val="clear" w:color="auto" w:fill="FFFFFF"/>
        <w:ind w:left="426"/>
        <w:jc w:val="both"/>
        <w:rPr>
          <w:rFonts w:ascii="Century Gothic" w:hAnsi="Century Gothic"/>
        </w:rPr>
      </w:pPr>
    </w:p>
    <w:p w:rsidR="00E53D76" w:rsidRDefault="00C60139" w:rsidP="00C60139">
      <w:pPr>
        <w:shd w:val="clear" w:color="auto" w:fill="FFFFFF"/>
        <w:ind w:left="360"/>
        <w:jc w:val="both"/>
        <w:rPr>
          <w:rFonts w:ascii="Century Gothic" w:hAnsi="Century Gothic"/>
        </w:rPr>
      </w:pPr>
      <w:r w:rsidRPr="00511CD7">
        <w:rPr>
          <w:rFonts w:ascii="Century Gothic" w:hAnsi="Century Gothic"/>
        </w:rPr>
        <w:t xml:space="preserve">Główny wpływ na działalność </w:t>
      </w:r>
      <w:proofErr w:type="spellStart"/>
      <w:r w:rsidRPr="00511CD7">
        <w:rPr>
          <w:rFonts w:ascii="Century Gothic" w:hAnsi="Century Gothic"/>
        </w:rPr>
        <w:t>Skystone</w:t>
      </w:r>
      <w:proofErr w:type="spellEnd"/>
      <w:r w:rsidRPr="00511CD7">
        <w:rPr>
          <w:rFonts w:ascii="Century Gothic" w:hAnsi="Century Gothic"/>
        </w:rPr>
        <w:t xml:space="preserve"> Capital w kolejnych kwartałach będzie miała realizacja nowo opracowanej strategii, ze szczególnym uwzględnieniem zapewnienia ciągłości finansowania działalności.</w:t>
      </w:r>
    </w:p>
    <w:p w:rsidR="0075383A" w:rsidRDefault="0075383A" w:rsidP="00C60139">
      <w:pPr>
        <w:shd w:val="clear" w:color="auto" w:fill="FFFFFF"/>
        <w:ind w:left="360"/>
        <w:jc w:val="both"/>
        <w:rPr>
          <w:rFonts w:ascii="Century Gothic" w:hAnsi="Century Gothic"/>
        </w:rPr>
      </w:pPr>
    </w:p>
    <w:p w:rsidR="0075383A" w:rsidRPr="00930639" w:rsidRDefault="0075383A" w:rsidP="00C60139">
      <w:pPr>
        <w:shd w:val="clear" w:color="auto" w:fill="FFFFFF"/>
        <w:ind w:left="360"/>
        <w:jc w:val="both"/>
        <w:rPr>
          <w:rFonts w:ascii="Century Gothic" w:hAnsi="Century Gothic"/>
          <w:highlight w:val="yellow"/>
        </w:rPr>
      </w:pPr>
    </w:p>
    <w:p w:rsidR="00E53D76" w:rsidRPr="00A213BD" w:rsidRDefault="00E53D76" w:rsidP="00E53D76">
      <w:pPr>
        <w:pStyle w:val="Nagwek2"/>
        <w:numPr>
          <w:ilvl w:val="0"/>
          <w:numId w:val="25"/>
        </w:numPr>
        <w:ind w:hanging="294"/>
        <w:jc w:val="both"/>
        <w:rPr>
          <w:rFonts w:ascii="Century Gothic" w:hAnsi="Century Gothic"/>
          <w:bCs/>
          <w:i w:val="0"/>
          <w:color w:val="0000FF"/>
          <w:sz w:val="20"/>
        </w:rPr>
      </w:pPr>
      <w:bookmarkStart w:id="91" w:name="_Toc387945918"/>
      <w:r>
        <w:rPr>
          <w:rFonts w:ascii="Century Gothic" w:hAnsi="Century Gothic"/>
          <w:bCs/>
          <w:i w:val="0"/>
          <w:color w:val="0000FF"/>
          <w:sz w:val="20"/>
        </w:rPr>
        <w:lastRenderedPageBreak/>
        <w:t>Stanowisko Z</w:t>
      </w:r>
      <w:r w:rsidRPr="00A213BD">
        <w:rPr>
          <w:rFonts w:ascii="Century Gothic" w:hAnsi="Century Gothic"/>
          <w:bCs/>
          <w:i w:val="0"/>
          <w:color w:val="0000FF"/>
          <w:sz w:val="20"/>
        </w:rPr>
        <w:t>arządu odnośnie prognoz wyników na dany rok</w:t>
      </w:r>
      <w:bookmarkEnd w:id="88"/>
      <w:bookmarkEnd w:id="90"/>
      <w:bookmarkEnd w:id="91"/>
      <w:r w:rsidRPr="00A213BD">
        <w:rPr>
          <w:rFonts w:ascii="Century Gothic" w:hAnsi="Century Gothic"/>
          <w:bCs/>
          <w:i w:val="0"/>
          <w:color w:val="0000FF"/>
          <w:sz w:val="20"/>
        </w:rPr>
        <w:t xml:space="preserve"> </w:t>
      </w:r>
    </w:p>
    <w:p w:rsidR="00E53D76" w:rsidRPr="00A213BD" w:rsidRDefault="00E53D76" w:rsidP="00E53D76">
      <w:pPr>
        <w:ind w:left="600"/>
        <w:jc w:val="both"/>
        <w:rPr>
          <w:rFonts w:ascii="Century Gothic" w:hAnsi="Century Gothic" w:cs="Tahoma"/>
        </w:rPr>
      </w:pPr>
    </w:p>
    <w:p w:rsidR="00E53D76" w:rsidRDefault="00E53D76" w:rsidP="00E53D76">
      <w:pPr>
        <w:ind w:left="426"/>
        <w:jc w:val="both"/>
        <w:rPr>
          <w:rFonts w:ascii="Century Gothic" w:hAnsi="Century Gothic" w:cs="Tahoma"/>
        </w:rPr>
      </w:pPr>
      <w:proofErr w:type="spellStart"/>
      <w:r w:rsidRPr="00A213BD">
        <w:rPr>
          <w:rFonts w:ascii="Century Gothic" w:hAnsi="Century Gothic"/>
        </w:rPr>
        <w:t>Skystone</w:t>
      </w:r>
      <w:proofErr w:type="spellEnd"/>
      <w:r w:rsidRPr="00A213BD">
        <w:rPr>
          <w:rFonts w:ascii="Century Gothic" w:hAnsi="Century Gothic"/>
        </w:rPr>
        <w:t xml:space="preserve"> Capital</w:t>
      </w:r>
      <w:r w:rsidRPr="00A213BD">
        <w:rPr>
          <w:rFonts w:ascii="Century Gothic" w:hAnsi="Century Gothic" w:cs="Tahoma"/>
        </w:rPr>
        <w:t xml:space="preserve"> S.A. nie opublikowała dotychczas prognoz wyników.</w:t>
      </w:r>
    </w:p>
    <w:p w:rsidR="00031254" w:rsidRDefault="00031254" w:rsidP="00E53D76">
      <w:pPr>
        <w:ind w:left="426"/>
        <w:jc w:val="both"/>
        <w:rPr>
          <w:rFonts w:ascii="Century Gothic" w:hAnsi="Century Gothic" w:cs="Tahoma"/>
        </w:rPr>
      </w:pPr>
    </w:p>
    <w:p w:rsidR="00E53D76" w:rsidRPr="00031254" w:rsidRDefault="00E53D76" w:rsidP="00031254">
      <w:pPr>
        <w:pStyle w:val="Nagwek2"/>
        <w:numPr>
          <w:ilvl w:val="0"/>
          <w:numId w:val="25"/>
        </w:numPr>
        <w:ind w:hanging="294"/>
        <w:jc w:val="both"/>
        <w:rPr>
          <w:rFonts w:ascii="Century Gothic" w:hAnsi="Century Gothic"/>
          <w:bCs/>
          <w:i w:val="0"/>
          <w:color w:val="0000FF"/>
          <w:sz w:val="20"/>
        </w:rPr>
      </w:pPr>
      <w:bookmarkStart w:id="92" w:name="_Toc334180300"/>
      <w:bookmarkStart w:id="93" w:name="_Toc387945919"/>
      <w:r>
        <w:rPr>
          <w:rFonts w:ascii="Century Gothic" w:hAnsi="Century Gothic"/>
          <w:bCs/>
          <w:i w:val="0"/>
          <w:color w:val="0000FF"/>
          <w:sz w:val="20"/>
        </w:rPr>
        <w:t>Zagrożenia i ryzyka iden</w:t>
      </w:r>
      <w:r w:rsidRPr="00031254">
        <w:rPr>
          <w:rFonts w:ascii="Century Gothic" w:hAnsi="Century Gothic"/>
          <w:bCs/>
          <w:i w:val="0"/>
          <w:color w:val="0000FF"/>
          <w:sz w:val="20"/>
        </w:rPr>
        <w:t>tyfikowane przez Z</w:t>
      </w:r>
      <w:r w:rsidR="00031254">
        <w:rPr>
          <w:rFonts w:ascii="Century Gothic" w:hAnsi="Century Gothic"/>
          <w:bCs/>
          <w:i w:val="0"/>
          <w:color w:val="0000FF"/>
          <w:sz w:val="20"/>
        </w:rPr>
        <w:t>arzą</w:t>
      </w:r>
      <w:r w:rsidRPr="00031254">
        <w:rPr>
          <w:rFonts w:ascii="Century Gothic" w:hAnsi="Century Gothic"/>
          <w:bCs/>
          <w:i w:val="0"/>
          <w:color w:val="0000FF"/>
          <w:sz w:val="20"/>
        </w:rPr>
        <w:t>d</w:t>
      </w:r>
      <w:bookmarkEnd w:id="92"/>
      <w:bookmarkEnd w:id="93"/>
    </w:p>
    <w:p w:rsidR="00E53D76" w:rsidRDefault="00E53D76" w:rsidP="00E53D76">
      <w:pPr>
        <w:jc w:val="both"/>
        <w:rPr>
          <w:rFonts w:ascii="Century Gothic" w:hAnsi="Century Gothic"/>
        </w:rPr>
      </w:pPr>
    </w:p>
    <w:p w:rsidR="00E53D76" w:rsidRPr="007E70E8" w:rsidRDefault="00E53D76" w:rsidP="00E53D76">
      <w:pPr>
        <w:ind w:left="426"/>
        <w:jc w:val="both"/>
        <w:rPr>
          <w:rFonts w:ascii="Century Gothic" w:hAnsi="Century Gothic"/>
        </w:rPr>
      </w:pPr>
      <w:r w:rsidRPr="007E70E8">
        <w:rPr>
          <w:rFonts w:ascii="Century Gothic" w:hAnsi="Century Gothic"/>
        </w:rPr>
        <w:t>Najistotniejsze zagrożenia i ryzyka identyfikowane przez Zarząd Emitenta z punktu widzenia działalności Grupy w najbliższych kwartałach to:</w:t>
      </w:r>
    </w:p>
    <w:p w:rsidR="001A2A25" w:rsidRPr="007E70E8" w:rsidRDefault="00E53D76" w:rsidP="00E53D76">
      <w:pPr>
        <w:ind w:left="709" w:hanging="283"/>
        <w:jc w:val="both"/>
        <w:rPr>
          <w:rFonts w:ascii="Century Gothic" w:hAnsi="Century Gothic"/>
        </w:rPr>
      </w:pPr>
      <w:r w:rsidRPr="007E70E8">
        <w:rPr>
          <w:rFonts w:ascii="Century Gothic" w:hAnsi="Century Gothic"/>
        </w:rPr>
        <w:t>-</w:t>
      </w:r>
      <w:r w:rsidRPr="007E70E8">
        <w:rPr>
          <w:rFonts w:ascii="Century Gothic" w:hAnsi="Century Gothic"/>
        </w:rPr>
        <w:tab/>
      </w:r>
      <w:r w:rsidR="001A2A25" w:rsidRPr="007E70E8">
        <w:rPr>
          <w:rFonts w:ascii="Century Gothic" w:hAnsi="Century Gothic"/>
        </w:rPr>
        <w:t>ryzyko utraty części dotychczasowych źródeł finansowania działalności;</w:t>
      </w:r>
    </w:p>
    <w:p w:rsidR="00E53D76" w:rsidRPr="007E70E8" w:rsidRDefault="001A2A25" w:rsidP="00E53D76">
      <w:pPr>
        <w:ind w:left="709" w:hanging="283"/>
        <w:jc w:val="both"/>
        <w:rPr>
          <w:rFonts w:ascii="Century Gothic" w:hAnsi="Century Gothic" w:cs="Tahoma"/>
        </w:rPr>
      </w:pPr>
      <w:r w:rsidRPr="007E70E8">
        <w:rPr>
          <w:rFonts w:ascii="Century Gothic" w:hAnsi="Century Gothic" w:cs="Tahoma"/>
        </w:rPr>
        <w:t>-</w:t>
      </w:r>
      <w:r w:rsidRPr="007E70E8">
        <w:rPr>
          <w:rFonts w:ascii="Century Gothic" w:hAnsi="Century Gothic" w:cs="Tahoma"/>
        </w:rPr>
        <w:tab/>
      </w:r>
      <w:r w:rsidR="00E53D76" w:rsidRPr="007E70E8">
        <w:rPr>
          <w:rFonts w:ascii="Century Gothic" w:hAnsi="Century Gothic" w:cs="Tahoma"/>
        </w:rPr>
        <w:t xml:space="preserve">ryzyko braku pozyskania środków </w:t>
      </w:r>
      <w:r w:rsidR="00E06AAD">
        <w:rPr>
          <w:rFonts w:ascii="Century Gothic" w:hAnsi="Century Gothic" w:cs="Tahoma"/>
        </w:rPr>
        <w:t>do dalszej działalności</w:t>
      </w:r>
      <w:r w:rsidR="00E53D76" w:rsidRPr="007E70E8">
        <w:rPr>
          <w:rFonts w:ascii="Century Gothic" w:hAnsi="Century Gothic" w:cs="Tahoma"/>
        </w:rPr>
        <w:t>;</w:t>
      </w:r>
    </w:p>
    <w:p w:rsidR="00E53D76" w:rsidRPr="007E70E8" w:rsidRDefault="00E53D76" w:rsidP="00E53D76">
      <w:pPr>
        <w:ind w:left="709" w:hanging="283"/>
        <w:jc w:val="both"/>
        <w:rPr>
          <w:rFonts w:ascii="Century Gothic" w:hAnsi="Century Gothic" w:cs="Tahoma"/>
        </w:rPr>
      </w:pPr>
      <w:r w:rsidRPr="007E70E8">
        <w:rPr>
          <w:rFonts w:ascii="Century Gothic" w:hAnsi="Century Gothic" w:cs="Tahoma"/>
        </w:rPr>
        <w:t>-</w:t>
      </w:r>
      <w:r w:rsidRPr="007E70E8">
        <w:rPr>
          <w:rFonts w:ascii="Century Gothic" w:hAnsi="Century Gothic" w:cs="Tahoma"/>
        </w:rPr>
        <w:tab/>
        <w:t>ryzyko braku możliwości dokapitalizowania spółki OZEN Plus</w:t>
      </w:r>
      <w:r w:rsidR="001A2A25" w:rsidRPr="007E70E8">
        <w:rPr>
          <w:rFonts w:ascii="Century Gothic" w:hAnsi="Century Gothic" w:cs="Tahoma"/>
        </w:rPr>
        <w:t>;</w:t>
      </w:r>
    </w:p>
    <w:p w:rsidR="00E53D76" w:rsidRPr="007E70E8" w:rsidRDefault="00E53D76" w:rsidP="00E53D76">
      <w:pPr>
        <w:ind w:left="709" w:hanging="283"/>
        <w:jc w:val="both"/>
        <w:rPr>
          <w:rFonts w:ascii="Century Gothic" w:hAnsi="Century Gothic" w:cs="Tahoma"/>
        </w:rPr>
      </w:pPr>
      <w:r w:rsidRPr="007E70E8">
        <w:rPr>
          <w:rFonts w:ascii="Century Gothic" w:hAnsi="Century Gothic" w:cs="Tahoma"/>
        </w:rPr>
        <w:t>-</w:t>
      </w:r>
      <w:r w:rsidRPr="007E70E8">
        <w:rPr>
          <w:rFonts w:ascii="Century Gothic" w:hAnsi="Century Gothic" w:cs="Tahoma"/>
        </w:rPr>
        <w:tab/>
        <w:t>ryzyko niekorzystnego kształtowania się cen certyfikatów energetycznych;</w:t>
      </w:r>
    </w:p>
    <w:p w:rsidR="00E53D76" w:rsidRPr="007E70E8" w:rsidRDefault="00E53D76" w:rsidP="00E53D76">
      <w:pPr>
        <w:ind w:left="709" w:hanging="283"/>
        <w:jc w:val="both"/>
        <w:rPr>
          <w:rFonts w:ascii="Century Gothic" w:hAnsi="Century Gothic" w:cs="Tahoma"/>
        </w:rPr>
      </w:pPr>
      <w:r w:rsidRPr="007E70E8">
        <w:rPr>
          <w:rFonts w:ascii="Century Gothic" w:hAnsi="Century Gothic" w:cs="Tahoma"/>
        </w:rPr>
        <w:t xml:space="preserve">- </w:t>
      </w:r>
      <w:r w:rsidRPr="007E70E8">
        <w:rPr>
          <w:rFonts w:ascii="Century Gothic" w:hAnsi="Century Gothic" w:cs="Tahoma"/>
        </w:rPr>
        <w:tab/>
        <w:t>ryzyka finansowe oraz ryzyko kapitałowe, które zostały opisane w nocie 3 skonsolidowanego sprawozdania finansowego;</w:t>
      </w:r>
    </w:p>
    <w:p w:rsidR="00E53D76" w:rsidRDefault="00E53D76" w:rsidP="00E53D76">
      <w:pPr>
        <w:ind w:left="709" w:hanging="283"/>
        <w:jc w:val="both"/>
        <w:rPr>
          <w:rFonts w:ascii="Century Gothic" w:hAnsi="Century Gothic"/>
        </w:rPr>
      </w:pPr>
      <w:r w:rsidRPr="007E70E8">
        <w:rPr>
          <w:rFonts w:ascii="Century Gothic" w:hAnsi="Century Gothic" w:cs="Tahoma"/>
        </w:rPr>
        <w:t>-</w:t>
      </w:r>
      <w:r w:rsidRPr="007E70E8">
        <w:rPr>
          <w:rFonts w:ascii="Century Gothic" w:hAnsi="Century Gothic" w:cs="Tahoma"/>
        </w:rPr>
        <w:tab/>
        <w:t>pozostałe</w:t>
      </w:r>
      <w:r w:rsidRPr="007E70E8">
        <w:rPr>
          <w:rFonts w:ascii="Century Gothic" w:hAnsi="Century Gothic"/>
        </w:rPr>
        <w:t xml:space="preserve"> ryzyka związane z działalnością Grupy Kapitałowej, które są następujące:</w:t>
      </w:r>
      <w:r>
        <w:rPr>
          <w:rFonts w:ascii="Century Gothic" w:hAnsi="Century Gothic"/>
        </w:rPr>
        <w:t xml:space="preserve"> </w:t>
      </w:r>
    </w:p>
    <w:p w:rsidR="00E53D76" w:rsidRDefault="00E53D76" w:rsidP="00E53D76">
      <w:pPr>
        <w:rPr>
          <w:rFonts w:ascii="Calibri" w:hAnsi="Calibri"/>
          <w:color w:val="1F497D"/>
          <w:sz w:val="22"/>
          <w:szCs w:val="22"/>
        </w:rPr>
      </w:pPr>
    </w:p>
    <w:p w:rsidR="00E53D76" w:rsidRDefault="00E53D76" w:rsidP="00E53D76">
      <w:pPr>
        <w:jc w:val="both"/>
        <w:rPr>
          <w:rFonts w:ascii="Century Gothic" w:hAnsi="Century Gothic" w:cs="Tahoma"/>
          <w:b/>
          <w:color w:val="0000FF"/>
        </w:rPr>
      </w:pPr>
      <w:r w:rsidRPr="00792E0B">
        <w:rPr>
          <w:rFonts w:ascii="Century Gothic" w:hAnsi="Century Gothic"/>
        </w:rPr>
        <w:t xml:space="preserve"> </w:t>
      </w:r>
    </w:p>
    <w:p w:rsidR="00E53D76" w:rsidRPr="00792E0B" w:rsidRDefault="00E53D76" w:rsidP="00E53D76">
      <w:pPr>
        <w:ind w:firstLine="426"/>
        <w:jc w:val="both"/>
        <w:rPr>
          <w:rFonts w:ascii="Century Gothic" w:hAnsi="Century Gothic" w:cs="Tahoma"/>
          <w:b/>
          <w:color w:val="0000FF"/>
        </w:rPr>
      </w:pPr>
      <w:r w:rsidRPr="00792E0B">
        <w:rPr>
          <w:rFonts w:ascii="Century Gothic" w:hAnsi="Century Gothic" w:cs="Tahoma"/>
          <w:b/>
          <w:color w:val="0000FF"/>
        </w:rPr>
        <w:t>Ryzyko utraty zdolności do obsługi zadłużenia przez spółki zależne lub upadłości</w:t>
      </w:r>
    </w:p>
    <w:p w:rsidR="00E53D76" w:rsidRPr="00792E0B" w:rsidRDefault="00E53D76" w:rsidP="00E53D76">
      <w:pPr>
        <w:jc w:val="both"/>
        <w:rPr>
          <w:rFonts w:ascii="Century Gothic" w:hAnsi="Century Gothic"/>
        </w:rPr>
      </w:pPr>
    </w:p>
    <w:p w:rsidR="00E53D76" w:rsidRPr="00792E0B" w:rsidRDefault="00E53D76" w:rsidP="00E53D76">
      <w:pPr>
        <w:ind w:left="426"/>
        <w:jc w:val="both"/>
        <w:rPr>
          <w:rFonts w:ascii="Century Gothic" w:hAnsi="Century Gothic"/>
        </w:rPr>
      </w:pPr>
      <w:bookmarkStart w:id="94" w:name="_Toc315966133"/>
      <w:bookmarkStart w:id="95" w:name="_Toc316044250"/>
      <w:bookmarkStart w:id="96" w:name="_Toc317090441"/>
      <w:bookmarkStart w:id="97" w:name="_Toc317694371"/>
      <w:bookmarkStart w:id="98" w:name="_Toc349033385"/>
      <w:r w:rsidRPr="00792E0B">
        <w:rPr>
          <w:rFonts w:ascii="Century Gothic" w:hAnsi="Century Gothic"/>
        </w:rPr>
        <w:t>Spółki zależne, które nie prowadzą jeszcze statutowej działalności operacyjnej lub prowadzą ją w ograniczonym zakresie wskutek np. problemów z pozyskaniem finansowania, niedotrzymaniem harmonogramu realizacji przedsięwzięć</w:t>
      </w:r>
      <w:r>
        <w:rPr>
          <w:rFonts w:ascii="Century Gothic" w:hAnsi="Century Gothic"/>
        </w:rPr>
        <w:t>, nieosiągnięcia dotąd zakładanych parametrów biznesowych</w:t>
      </w:r>
      <w:r w:rsidRPr="00792E0B">
        <w:rPr>
          <w:rFonts w:ascii="Century Gothic" w:hAnsi="Century Gothic"/>
        </w:rPr>
        <w:t xml:space="preserve"> lub wskutek zdarzeń od nich niezależnych, mogą nie być w stanie zakończ</w:t>
      </w:r>
      <w:r>
        <w:rPr>
          <w:rFonts w:ascii="Century Gothic" w:hAnsi="Century Gothic"/>
        </w:rPr>
        <w:t xml:space="preserve">yć realizowanych inwestycji lub </w:t>
      </w:r>
      <w:r w:rsidRPr="00792E0B">
        <w:rPr>
          <w:rFonts w:ascii="Century Gothic" w:hAnsi="Century Gothic"/>
        </w:rPr>
        <w:t>koszty inwestycji mogą znacząco wzrosnąć</w:t>
      </w:r>
      <w:bookmarkStart w:id="99" w:name="_Toc315966134"/>
      <w:bookmarkStart w:id="100" w:name="_Toc316044251"/>
      <w:bookmarkStart w:id="101" w:name="_Toc317090442"/>
      <w:bookmarkStart w:id="102" w:name="_Toc317694372"/>
      <w:bookmarkStart w:id="103" w:name="_Toc349033386"/>
      <w:bookmarkEnd w:id="94"/>
      <w:bookmarkEnd w:id="95"/>
      <w:bookmarkEnd w:id="96"/>
      <w:bookmarkEnd w:id="97"/>
      <w:bookmarkEnd w:id="98"/>
      <w:r w:rsidRPr="00792E0B">
        <w:rPr>
          <w:rFonts w:ascii="Century Gothic" w:hAnsi="Century Gothic"/>
        </w:rPr>
        <w:t>.</w:t>
      </w:r>
      <w:bookmarkEnd w:id="99"/>
      <w:bookmarkEnd w:id="100"/>
      <w:bookmarkEnd w:id="101"/>
      <w:bookmarkEnd w:id="102"/>
      <w:bookmarkEnd w:id="103"/>
    </w:p>
    <w:p w:rsidR="00E53D76" w:rsidRPr="00792E0B" w:rsidRDefault="00E53D76" w:rsidP="00E53D76">
      <w:pPr>
        <w:ind w:left="426"/>
        <w:jc w:val="both"/>
        <w:rPr>
          <w:rFonts w:ascii="Century Gothic" w:hAnsi="Century Gothic"/>
        </w:rPr>
      </w:pPr>
      <w:r w:rsidRPr="00792E0B">
        <w:rPr>
          <w:rFonts w:ascii="Century Gothic" w:hAnsi="Century Gothic"/>
        </w:rPr>
        <w:t>W przypadku spółek, które rozpoczęły prowadzenie działalności operacyjnej, istnieje ryzyko, że w wyniku dekoniunktury</w:t>
      </w:r>
      <w:r>
        <w:rPr>
          <w:rFonts w:ascii="Century Gothic" w:hAnsi="Century Gothic"/>
        </w:rPr>
        <w:t xml:space="preserve"> </w:t>
      </w:r>
      <w:r w:rsidRPr="00792E0B">
        <w:rPr>
          <w:rFonts w:ascii="Century Gothic" w:hAnsi="Century Gothic"/>
        </w:rPr>
        <w:t xml:space="preserve">i innych zdarzeń zachodzących w otoczeniu zewnętrznym, trudności z pozyskaniem rynków zbytu lub uzyskaniem oczekiwanej ceny za produkty i usługi pokrywającej koszty ich wytworzenia oraz problemów organizacyjnych osiągnięcie progu rentowności i zdolność do generowania dodatnich przepływów z działalności operacyjnej może nie nastąpić w zakładanym czasie. To z kolei przy niezmniejszonych kosztach obsługi zadłużenia może być przyczyną problemów z utrzymaniem bieżącej płynności przez spółkę zależną. </w:t>
      </w:r>
    </w:p>
    <w:p w:rsidR="00E53D76" w:rsidRPr="00792E0B" w:rsidRDefault="00E53D76" w:rsidP="00E53D76">
      <w:pPr>
        <w:ind w:left="426"/>
        <w:jc w:val="both"/>
        <w:rPr>
          <w:rFonts w:ascii="Century Gothic" w:hAnsi="Century Gothic"/>
        </w:rPr>
      </w:pPr>
      <w:r w:rsidRPr="00792E0B">
        <w:rPr>
          <w:rFonts w:ascii="Century Gothic" w:hAnsi="Century Gothic"/>
        </w:rPr>
        <w:t xml:space="preserve">W efekcie spółka zależna może nie być w stanie w pełni wywiązać się ze swoich zobowiązań wobec wierzycieli lub w skrajnym przypadku może ogłosić upadłość, wskutek czego Emitent może nie odzyskać części lub całości zainwestowanych w nią środków. Ryzyko powyższe obejmuje również udzielenie przez Emitenta poręczenia finansowego spółkom zależnym. W celu zminimalizowania tego ryzyka, Emitent dokonuje analizy wykonalności każdego </w:t>
      </w:r>
      <w:r w:rsidRPr="00792E0B">
        <w:rPr>
          <w:rFonts w:ascii="Century Gothic" w:hAnsi="Century Gothic"/>
        </w:rPr>
        <w:br/>
        <w:t>z podejmowanych przedsięwzięć i na bieżąco monitoruje postęp prac i koszty każdego przedsięwzięcia.</w:t>
      </w:r>
    </w:p>
    <w:p w:rsidR="00E53D76" w:rsidRPr="00792E0B" w:rsidRDefault="00E53D76" w:rsidP="00E53D76">
      <w:pPr>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związane z płynnością portfela inwestycyjnego</w:t>
      </w:r>
    </w:p>
    <w:p w:rsidR="00E53D76" w:rsidRDefault="00E53D76" w:rsidP="00E53D76">
      <w:pPr>
        <w:ind w:left="426"/>
        <w:jc w:val="both"/>
        <w:rPr>
          <w:rFonts w:ascii="Century Gothic" w:hAnsi="Century Gothic"/>
        </w:rPr>
      </w:pPr>
    </w:p>
    <w:p w:rsidR="00E53D76" w:rsidRPr="000D3840" w:rsidRDefault="00E53D76" w:rsidP="00E53D76">
      <w:pPr>
        <w:ind w:left="426"/>
        <w:jc w:val="both"/>
        <w:rPr>
          <w:rFonts w:ascii="Century Gothic" w:hAnsi="Century Gothic"/>
        </w:rPr>
      </w:pPr>
      <w:r w:rsidRPr="000D3840">
        <w:rPr>
          <w:rFonts w:ascii="Century Gothic" w:hAnsi="Century Gothic"/>
        </w:rPr>
        <w:t xml:space="preserve">Udziały i akcje spółek portfelowych, posiadane przez Emitenta, za wyjątkiem akcji </w:t>
      </w:r>
      <w:proofErr w:type="spellStart"/>
      <w:r w:rsidRPr="000D3840">
        <w:rPr>
          <w:rFonts w:ascii="Century Gothic" w:hAnsi="Century Gothic"/>
        </w:rPr>
        <w:t>Viatron</w:t>
      </w:r>
      <w:proofErr w:type="spellEnd"/>
      <w:r w:rsidRPr="000D3840">
        <w:rPr>
          <w:rFonts w:ascii="Century Gothic" w:hAnsi="Century Gothic"/>
        </w:rPr>
        <w:t xml:space="preserve"> S.A., nie znajdują się w obrocie giełdowym ani w alternatywnym systemie obrotu. Wyjście z inwestycji wymaga znalezienia inwestora branżowego lub finansowego, albo też wprowadzenia akcji danej spółki do obrotu giełdowego albo do alternatywnego systemu obrotu. Potrzeba przeprowadzenia, w sytuacji konieczności pozyskania kapitału do bieżącej działalności Emitenta, szybkiej sprzedaży składnika portfela może mieć negatywny wpływ na uzyskaną cenę przy sprzedaży. Z kolei brak możliwości wyjścia z inwestycji w zakładanym czasie może wpłynąć na kondycję finansową i spowodować trudności w regulowaniu zobowiązań Emitenta. Ograniczenie przedmiotowego ryzyka odbywa się poprzez rozpoznanie rynku i utrzymywanie stałych relacji z potencjalnymi nabywcami spółek i projektów z zakresu energetyki odnawialnej w gronie zarówno inwestorów branżowych jak i finansowych oraz odpowiednio wczesne przygotowanie do procesu sprzedaży</w:t>
      </w:r>
      <w:r>
        <w:rPr>
          <w:rFonts w:ascii="Century Gothic" w:hAnsi="Century Gothic"/>
        </w:rPr>
        <w:t xml:space="preserve"> </w:t>
      </w:r>
      <w:r w:rsidRPr="000D3840">
        <w:rPr>
          <w:rFonts w:ascii="Century Gothic" w:hAnsi="Century Gothic"/>
        </w:rPr>
        <w:t>poprzez spotkani</w:t>
      </w:r>
      <w:r>
        <w:rPr>
          <w:rFonts w:ascii="Century Gothic" w:hAnsi="Century Gothic"/>
        </w:rPr>
        <w:t>a z potencjalnymi inwestorami.</w:t>
      </w:r>
    </w:p>
    <w:p w:rsidR="00E53D76" w:rsidRPr="00792E0B" w:rsidRDefault="00E53D76" w:rsidP="00E53D76">
      <w:pPr>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niepozyskania dodatkowego kapitału</w:t>
      </w:r>
    </w:p>
    <w:p w:rsidR="00E53D76" w:rsidRPr="00792E0B" w:rsidRDefault="00E53D76" w:rsidP="00E53D76">
      <w:pPr>
        <w:ind w:left="426"/>
        <w:jc w:val="both"/>
        <w:rPr>
          <w:rFonts w:ascii="Century Gothic" w:hAnsi="Century Gothic"/>
        </w:rPr>
      </w:pPr>
    </w:p>
    <w:p w:rsidR="00E53D76" w:rsidRPr="000D3840" w:rsidRDefault="00E53D76" w:rsidP="00E53D76">
      <w:pPr>
        <w:ind w:left="426"/>
        <w:jc w:val="both"/>
        <w:rPr>
          <w:rFonts w:ascii="Century Gothic" w:hAnsi="Century Gothic"/>
        </w:rPr>
      </w:pPr>
      <w:bookmarkStart w:id="104" w:name="_Toc349033392"/>
      <w:r w:rsidRPr="000D3840">
        <w:rPr>
          <w:rFonts w:ascii="Century Gothic" w:hAnsi="Century Gothic"/>
        </w:rPr>
        <w:t xml:space="preserve">Inwestycje prowadzone przez spółki zależne Emitenta wymagają dostępu do finansowania. Ten dostęp jest często zapewniany przez samego Emitenta. Może się to odbywać za pośrednictwem </w:t>
      </w:r>
      <w:r w:rsidRPr="000D3840">
        <w:rPr>
          <w:rFonts w:ascii="Century Gothic" w:hAnsi="Century Gothic"/>
        </w:rPr>
        <w:lastRenderedPageBreak/>
        <w:t>kapitału dłużnego lub właścicielskiego. W tym celu z kolei Emitent zamierza uzyskiwać finansowanie na rynku kapitałowym. Istnieje ryzyko, że Emitent nie uzyska planowanej kwoty środków z tytułu przeprowadzenia takich operacji, bądź uzyska je w późniejszym okresie. W takim przypadku istnieje ryzyko, że planowane inwestycje w spółkach zależnych, wobec braku możliwości ich pełnego sfinansowania, nie przyniosą zakładanych zysków lub nawet zakończą się niepowodzeniem.</w:t>
      </w:r>
      <w:bookmarkEnd w:id="104"/>
      <w:r w:rsidRPr="000D3840">
        <w:rPr>
          <w:rFonts w:ascii="Century Gothic" w:hAnsi="Century Gothic"/>
        </w:rPr>
        <w:t xml:space="preserve"> </w:t>
      </w:r>
    </w:p>
    <w:p w:rsidR="00E53D76" w:rsidRPr="000D3840" w:rsidRDefault="00E53D76" w:rsidP="00E53D76">
      <w:pPr>
        <w:ind w:left="426"/>
        <w:jc w:val="both"/>
        <w:rPr>
          <w:rFonts w:ascii="Century Gothic" w:hAnsi="Century Gothic"/>
        </w:rPr>
      </w:pPr>
      <w:bookmarkStart w:id="105" w:name="_Toc349033393"/>
      <w:r w:rsidRPr="000D3840">
        <w:rPr>
          <w:rFonts w:ascii="Century Gothic" w:hAnsi="Century Gothic"/>
        </w:rPr>
        <w:t>Ryzyko niepozyskania dodatkowego kapitału na inwestycje można ograniczyć w sposób nieznaczny poprzez próbę zwiększenia akcji kredytowej spółek zależnych, które z uwagi na moment realizacji inwestycji mają dosyć ograniczone możliwości w tym zakresie.</w:t>
      </w:r>
      <w:bookmarkEnd w:id="105"/>
    </w:p>
    <w:p w:rsidR="00E53D76" w:rsidRDefault="00E53D76" w:rsidP="00E53D76">
      <w:pPr>
        <w:ind w:left="426"/>
        <w:jc w:val="both"/>
        <w:rPr>
          <w:rFonts w:ascii="Century Gothic" w:hAnsi="Century Gothic"/>
        </w:rPr>
      </w:pPr>
      <w:r w:rsidRPr="000D3840">
        <w:rPr>
          <w:rFonts w:ascii="Century Gothic" w:hAnsi="Century Gothic"/>
        </w:rPr>
        <w:t>Niepozyskanie odpowiedniej skali kapitału przez Emitenta, w tym również z rynku kapitałowego, skutkować będzie koniecznością przeformułowania planu inwestycyjnego spółek zależnych, ale będzie też miało istotne znaczenie dla dalszego funkcjonowania Emitenta</w:t>
      </w:r>
      <w:r>
        <w:rPr>
          <w:rFonts w:ascii="Century Gothic" w:hAnsi="Century Gothic"/>
        </w:rPr>
        <w:t>.</w:t>
      </w:r>
    </w:p>
    <w:p w:rsidR="00E53D76" w:rsidRPr="00792E0B" w:rsidRDefault="00E53D76" w:rsidP="00E53D76">
      <w:pPr>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mniejszego zainteresowania finansowaniem projektów energetycznych przez banki</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rPr>
      </w:pPr>
      <w:bookmarkStart w:id="106" w:name="_Toc349033375"/>
      <w:bookmarkStart w:id="107" w:name="_Toc315966124"/>
      <w:bookmarkStart w:id="108" w:name="_Toc316044242"/>
      <w:bookmarkStart w:id="109" w:name="_Toc317090433"/>
      <w:bookmarkStart w:id="110" w:name="_Toc317694363"/>
      <w:r w:rsidRPr="00792E0B">
        <w:rPr>
          <w:rFonts w:ascii="Century Gothic" w:hAnsi="Century Gothic"/>
        </w:rPr>
        <w:t>Dotychczasowe doświadczenia wskazują, że uzyskanie finansowania długiem, dopasowanego do harmonogramu i specyfiki projektów, jest  w Polsce bardzo trudne i często związane z długotrwałymi negocjacjami.</w:t>
      </w:r>
      <w:bookmarkEnd w:id="106"/>
      <w:r w:rsidRPr="00792E0B">
        <w:rPr>
          <w:rFonts w:ascii="Century Gothic" w:hAnsi="Century Gothic"/>
        </w:rPr>
        <w:t xml:space="preserve"> </w:t>
      </w:r>
    </w:p>
    <w:p w:rsidR="00E53D76" w:rsidRPr="00792E0B" w:rsidRDefault="00E53D76" w:rsidP="00E53D76">
      <w:pPr>
        <w:ind w:left="426"/>
        <w:jc w:val="both"/>
        <w:rPr>
          <w:rFonts w:ascii="Century Gothic" w:hAnsi="Century Gothic"/>
        </w:rPr>
      </w:pPr>
      <w:bookmarkStart w:id="111" w:name="_Toc349033376"/>
      <w:r w:rsidRPr="00792E0B">
        <w:rPr>
          <w:rFonts w:ascii="Century Gothic" w:hAnsi="Century Gothic"/>
        </w:rPr>
        <w:t>Istnieje ryzyko, iż w przypadku niekorzystnych zmian w rozwoju rynku OZE, jak i gorszej niż dotychczas kondycji finansowej podmiotów operujących na rynku energii, banki mogą z jeszcze większą niż do tej pory ostrożnością podchodzić do finansowania projektów energetycznych, co może powodować trudności w uzyskiwaniu przez Spółkę i podmioty z jej Grupy Kapitałowej dłużnego finansowania przedsięwzięć w zakładanym zakresie</w:t>
      </w:r>
      <w:r w:rsidR="00E06AAD">
        <w:rPr>
          <w:rFonts w:ascii="Century Gothic" w:hAnsi="Century Gothic"/>
        </w:rPr>
        <w:t xml:space="preserve"> jak i może wpłynąć niekorzystnie na możliwość restrukturyzacji zadłużenia.</w:t>
      </w:r>
      <w:bookmarkEnd w:id="111"/>
    </w:p>
    <w:bookmarkEnd w:id="107"/>
    <w:bookmarkEnd w:id="108"/>
    <w:bookmarkEnd w:id="109"/>
    <w:bookmarkEnd w:id="110"/>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związane z koniunkturą gospodarczą w Polsce</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rPr>
      </w:pPr>
      <w:r w:rsidRPr="00792E0B">
        <w:rPr>
          <w:rFonts w:ascii="Century Gothic" w:hAnsi="Century Gothic"/>
        </w:rPr>
        <w:t xml:space="preserve">W okresie trwającej dekoniunktury w całej gospodarce, która może mieć swoje przełożenie także na branże, w których działają spółki portfelowe, może nastąpić pogorszenie wyników i sytuacji finansowej spółek. To z kolei może skutkować niższą wyceną tych podmiotów, a tym samym mieć wpływ na cenę </w:t>
      </w:r>
      <w:r>
        <w:rPr>
          <w:rFonts w:ascii="Century Gothic" w:hAnsi="Century Gothic"/>
        </w:rPr>
        <w:t>uzyskaną w przypadku ich</w:t>
      </w:r>
      <w:r w:rsidRPr="00792E0B">
        <w:rPr>
          <w:rFonts w:ascii="Century Gothic" w:hAnsi="Century Gothic"/>
        </w:rPr>
        <w:t xml:space="preserve"> sprzedaży. </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związane z warunkami inwestycji</w:t>
      </w:r>
    </w:p>
    <w:p w:rsidR="00E53D76" w:rsidRPr="00792E0B" w:rsidRDefault="00E53D76" w:rsidP="00E53D76">
      <w:pPr>
        <w:jc w:val="both"/>
        <w:rPr>
          <w:rFonts w:ascii="Century Gothic" w:hAnsi="Century Gothic"/>
        </w:rPr>
      </w:pPr>
    </w:p>
    <w:p w:rsidR="00E53D76" w:rsidRPr="00792E0B" w:rsidRDefault="00E53D76" w:rsidP="00E53D76">
      <w:pPr>
        <w:ind w:left="426"/>
        <w:jc w:val="both"/>
        <w:rPr>
          <w:rFonts w:ascii="Century Gothic" w:hAnsi="Century Gothic"/>
        </w:rPr>
      </w:pPr>
      <w:bookmarkStart w:id="112" w:name="_Toc315966136"/>
      <w:bookmarkStart w:id="113" w:name="_Toc316044253"/>
      <w:bookmarkStart w:id="114" w:name="_Toc317090444"/>
      <w:bookmarkStart w:id="115" w:name="_Toc317694374"/>
      <w:bookmarkStart w:id="116" w:name="_Toc349033388"/>
      <w:r w:rsidRPr="00792E0B">
        <w:rPr>
          <w:rFonts w:ascii="Century Gothic" w:hAnsi="Century Gothic"/>
        </w:rPr>
        <w:t>Przed rozpoczęciem projektu inwestycyjnego, nabyciem udziałów lub akcji innych podmiotów albo nabyciem papierów dłużnych lub udzieleniem pożyczki, Emitent dokonuje starannej analizy efektywności inwestycji. Nie można jednak wykluczyć, że perspektywy rozwoju danej spółki zostaną ocenione błędnie. Nie można także wykluczyć, że udziały lub akcje zostaną nabyte po cenie, która w okresie gorszej koniunktury uniemożliwi realizację zysku z inwestycji. Czynniki tego rodzaju mogą negatywnie wpływać na sytuację majątkową, finansową i dochodową Emitenta. Ryzyko powyższe jest ograniczane poprzez ciągły monitoring inwestycji jak również ciągłą analizę perspektyw rozwoju finansowanych inwestycji. Powoduje to, iż potencjalnie negatywne tendencje mogą zostać wychwycone odpowiednio wcześniej, tym samym ograniczając potencjalną stratę.</w:t>
      </w:r>
      <w:bookmarkEnd w:id="112"/>
      <w:bookmarkEnd w:id="113"/>
      <w:bookmarkEnd w:id="114"/>
      <w:bookmarkEnd w:id="115"/>
      <w:bookmarkEnd w:id="116"/>
      <w:r w:rsidRPr="00792E0B">
        <w:rPr>
          <w:rFonts w:ascii="Century Gothic" w:hAnsi="Century Gothic"/>
        </w:rPr>
        <w:t xml:space="preserve"> </w:t>
      </w:r>
    </w:p>
    <w:p w:rsidR="00E53D76" w:rsidRPr="00792E0B" w:rsidRDefault="00E53D76" w:rsidP="00E53D76">
      <w:pPr>
        <w:ind w:left="426"/>
        <w:jc w:val="both"/>
        <w:rPr>
          <w:rFonts w:ascii="Century Gothic" w:hAnsi="Century Gothic" w:cs="Tahoma"/>
          <w:b/>
          <w:color w:val="0000FF"/>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 xml:space="preserve">Ryzyko związane z otoczeniem prawnym </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rPr>
      </w:pPr>
      <w:r w:rsidRPr="00792E0B">
        <w:rPr>
          <w:rFonts w:ascii="Century Gothic" w:hAnsi="Century Gothic"/>
        </w:rPr>
        <w:t xml:space="preserve">Rynek energii w Polsce jest rynkiem regulowanym. Prezes Urzędu Regulacji Energetyki jest organem, który z mocy ustawy - Prawo energetyczne powołany jest do wykonywania zadań z zakresu spraw regulacji gospodarki paliwami i energią oraz promowania konkurencji w sektorze energetycznym. Do zakresu kompetencji i obowiązków Prezesa URE należy m.in. udzielanie, zmiana i cofanie koncesji, uzgadnianie projektów planów rozwoju przedsiębiorstw energetycznych, rozstrzyganie sporów pomiędzy przedsiębiorstwami energetycznymi oraz pomiędzy tymi przedsiębiorstwami i odbiorcami, a także zatwierdzanie i kontrolowanie taryf przedsiębiorstw energetycznych pod kątem ich zgodności z zasadami określonymi w przepisach, w szczególności z zasadą ochrony odbiorców przed nieuzasadnionym poziomem cen. Prezes URE ma prawo nakładać kary na przedsiębiorstwa koncesjonowane. Istnieje ryzyko, iż URE naliczy kary związane z działalnością koncesjonowaną lub zmieni czy cofnie koncesję. Grupa Kapitałowa  </w:t>
      </w:r>
      <w:proofErr w:type="spellStart"/>
      <w:r>
        <w:rPr>
          <w:rFonts w:ascii="Century Gothic" w:hAnsi="Century Gothic"/>
        </w:rPr>
        <w:t>Skystone</w:t>
      </w:r>
      <w:proofErr w:type="spellEnd"/>
      <w:r>
        <w:rPr>
          <w:rFonts w:ascii="Century Gothic" w:hAnsi="Century Gothic"/>
        </w:rPr>
        <w:t xml:space="preserve"> Capital</w:t>
      </w:r>
      <w:r w:rsidRPr="00792E0B">
        <w:rPr>
          <w:rFonts w:ascii="Century Gothic" w:hAnsi="Century Gothic"/>
        </w:rPr>
        <w:t xml:space="preserve"> stara się ograniczyć takie ryzyko dzięki efektywnym rozwiązaniom technologicznym.</w:t>
      </w:r>
    </w:p>
    <w:p w:rsidR="00E53D76" w:rsidRPr="00792E0B" w:rsidRDefault="00E53D76" w:rsidP="00E53D76">
      <w:pPr>
        <w:ind w:left="426"/>
        <w:jc w:val="both"/>
        <w:rPr>
          <w:rFonts w:ascii="Century Gothic" w:hAnsi="Century Gothic"/>
        </w:rPr>
      </w:pPr>
      <w:r w:rsidRPr="00792E0B">
        <w:rPr>
          <w:rFonts w:ascii="Century Gothic" w:hAnsi="Century Gothic"/>
        </w:rPr>
        <w:lastRenderedPageBreak/>
        <w:t>Funkcjonowanie spółek zależnych, przez które realizowane są inwestycje z zakresu energetyki odnawialnej oraz utylizacji odpadów, wiąże się z koniecznością posiadania zezwoleń prawnych na korzystanie ze środowiska naturalnego. Ewentualny brak uzyskania wymaganych pozwoleń może skutkować brakiem możliwości rozpoczęcia działalności eksploatacyjnej spółek zależnych, co w konsekwencji może wpływać negatywnie na wyniki finansowe.</w:t>
      </w:r>
    </w:p>
    <w:p w:rsidR="00E53D76" w:rsidRPr="00792E0B" w:rsidRDefault="00E53D76" w:rsidP="00E53D76">
      <w:pPr>
        <w:ind w:left="426"/>
        <w:jc w:val="both"/>
        <w:rPr>
          <w:rFonts w:ascii="Century Gothic" w:hAnsi="Century Gothic"/>
        </w:rPr>
      </w:pPr>
      <w:r w:rsidRPr="00792E0B">
        <w:rPr>
          <w:rFonts w:ascii="Century Gothic" w:hAnsi="Century Gothic"/>
        </w:rPr>
        <w:t>Z uwagi na fakt rosnących wymagań w zakresie dopuszczalnych poziomów emisji gazów do powietrza oraz poboru wód powierzchniowych, czy też wprowadzania ścieków, a więc zaostrzenia norm korzystania ze środowiska należy liczyć się ze wzrostem cen technologii, co w konsekwencji może doprowadzić do obniżenia rentowności inwestycji.</w:t>
      </w:r>
    </w:p>
    <w:p w:rsidR="00E53D76" w:rsidRPr="00792E0B" w:rsidRDefault="00E53D76" w:rsidP="00E53D76">
      <w:pPr>
        <w:ind w:left="426"/>
        <w:jc w:val="both"/>
        <w:rPr>
          <w:rFonts w:ascii="Century Gothic" w:hAnsi="Century Gothic"/>
        </w:rPr>
      </w:pPr>
      <w:r w:rsidRPr="00792E0B">
        <w:rPr>
          <w:rFonts w:ascii="Century Gothic" w:hAnsi="Century Gothic"/>
        </w:rPr>
        <w:t>Powyższe wpłynąć może na znaczące ograniczenie zainteresowania przedmiotowymi inwestycjami inwestorów finansowych oraz instytucji finansowych, w tym banków.</w:t>
      </w:r>
    </w:p>
    <w:p w:rsidR="00E53D76" w:rsidRPr="00792E0B" w:rsidRDefault="00E53D76" w:rsidP="00E53D76">
      <w:pPr>
        <w:ind w:left="426"/>
        <w:jc w:val="both"/>
        <w:rPr>
          <w:rFonts w:ascii="Century Gothic" w:hAnsi="Century Gothic"/>
        </w:rPr>
      </w:pPr>
      <w:r w:rsidRPr="00792E0B">
        <w:rPr>
          <w:rFonts w:ascii="Century Gothic" w:hAnsi="Century Gothic"/>
        </w:rPr>
        <w:t xml:space="preserve">Tym samym spełnienie wymagań przewidzianych przepisami dotyczącymi ochrony środowiska może wiązać się z nakładami finansowymi, m.in. poprzez konieczność sporządzania dodatkowej dokumentacji, a w konsekwencji również koniecznością uwzględnienia w stosowanej technologii dodatkowych urządzeń.  </w:t>
      </w:r>
    </w:p>
    <w:p w:rsidR="00E53D76" w:rsidRPr="00792E0B" w:rsidRDefault="00E53D76" w:rsidP="00E53D76">
      <w:pPr>
        <w:ind w:left="426"/>
        <w:jc w:val="both"/>
        <w:rPr>
          <w:rFonts w:ascii="Century Gothic" w:hAnsi="Century Gothic"/>
        </w:rPr>
      </w:pPr>
      <w:bookmarkStart w:id="117" w:name="_Toc349033460"/>
      <w:bookmarkStart w:id="118" w:name="_Toc359580910"/>
      <w:r w:rsidRPr="00792E0B">
        <w:rPr>
          <w:rFonts w:ascii="Century Gothic" w:hAnsi="Century Gothic"/>
        </w:rPr>
        <w:t>Ewentualne zmiany w prawie wodnym lub ochrony środowiska mogą mieć wpływ na rozwój projektów z branży hydroenergetyki. Rozszerzanie obszarów Natura 2000 oraz parków krajobrazowych może ograniczyć potencjał kreowania nowych projektów wodnych. W październiku 2009 r. Komitet Rady Ministrów zatwierdził nową poszerzoną listę Obszarów Natura 2000, która została przekazana przez Ministerstwo Środowiska do akceptacji Komisji Europejskiej. Możliwości lokowania inwestycji hydroenergetycznych w lokalizacjach objętych Obszarami Natura 2000 będą utrudnione, uzależnione również od opracowanych w przyszłości zakresów planów ochrony Obszarów Natura 2000.</w:t>
      </w:r>
      <w:bookmarkEnd w:id="117"/>
      <w:bookmarkEnd w:id="118"/>
    </w:p>
    <w:p w:rsidR="00E53D76" w:rsidRPr="00792E0B" w:rsidRDefault="00E53D76" w:rsidP="00E53D76">
      <w:pPr>
        <w:jc w:val="both"/>
        <w:rPr>
          <w:rFonts w:ascii="Century Gothic" w:hAnsi="Century Gothic" w:cs="Tahoma"/>
          <w:b/>
          <w:color w:val="0000FF"/>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wad prawnych spółki zależnej</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rPr>
      </w:pPr>
      <w:r w:rsidRPr="00792E0B">
        <w:rPr>
          <w:rFonts w:ascii="Century Gothic" w:hAnsi="Century Gothic"/>
        </w:rPr>
        <w:t xml:space="preserve">W przypadku przystąpienia przez </w:t>
      </w:r>
      <w:proofErr w:type="spellStart"/>
      <w:r>
        <w:rPr>
          <w:rFonts w:ascii="Century Gothic" w:hAnsi="Century Gothic"/>
        </w:rPr>
        <w:t>Skystone</w:t>
      </w:r>
      <w:proofErr w:type="spellEnd"/>
      <w:r>
        <w:rPr>
          <w:rFonts w:ascii="Century Gothic" w:hAnsi="Century Gothic"/>
        </w:rPr>
        <w:t xml:space="preserve"> Capital</w:t>
      </w:r>
      <w:r w:rsidRPr="00792E0B">
        <w:rPr>
          <w:rFonts w:ascii="Century Gothic" w:hAnsi="Century Gothic"/>
        </w:rPr>
        <w:t xml:space="preserve"> do spółki może zachodzić ryzyko wad prawnych tej spółki, np. nie ujawnienie przez zarząd nabywanej spółki umów rodzących przyszłe zobowiązania lub zdarzenia, które miały miejsce przy tworzeniu spółki. Ujawnienie takich wad prawnych po zawarciu transakcji zakupu spółki może skutkować istotnym spadkiem wartości spółki. W celu wyeliminowania tego ryzyka Spółka przeprowadza szczegółowe badanie potencjalnych przedmiotów inwestycji.</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uzależnienia od osób zajmujących kluczowe stanowiska</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rPr>
      </w:pPr>
      <w:bookmarkStart w:id="119" w:name="_Toc315966144"/>
      <w:bookmarkStart w:id="120" w:name="_Toc316044261"/>
      <w:bookmarkStart w:id="121" w:name="_Toc317090452"/>
      <w:bookmarkStart w:id="122" w:name="_Toc317694382"/>
      <w:bookmarkStart w:id="123" w:name="_Toc349033397"/>
      <w:r w:rsidRPr="00792E0B">
        <w:rPr>
          <w:rFonts w:ascii="Century Gothic" w:hAnsi="Century Gothic"/>
        </w:rPr>
        <w:t>Istotne znaczenie dla Spółki ma know-how posiadane przez osoby zarządzające i zajmujące kluczowe stanowiska w zakresie pozyskiwania projektów inwestycyjnych oraz ich oceny, posiadania specjalistycznej wiedzy w obszarze OZE czy też wiedzy z zarządzania projektami.  Odejście jednego lub kilku członków kadry kierowniczej albo innych osób ze stanowisk o kluczowym znaczeniu mogłoby się negatywnie odbić na prowadzonej działalności. Ryzyko uzależnienia od osób zajmujących kluczowe stanowiska może być ograniczane poprzez plany bliższego ich związania ze spółką poprzez odpowiedni system motywacji</w:t>
      </w:r>
      <w:bookmarkStart w:id="124" w:name="_Toc315966145"/>
      <w:bookmarkStart w:id="125" w:name="_Toc316044262"/>
      <w:bookmarkStart w:id="126" w:name="_Toc317090453"/>
      <w:bookmarkStart w:id="127" w:name="_Toc317694383"/>
      <w:bookmarkStart w:id="128" w:name="_Toc349033398"/>
      <w:bookmarkEnd w:id="119"/>
      <w:bookmarkEnd w:id="120"/>
      <w:bookmarkEnd w:id="121"/>
      <w:bookmarkEnd w:id="122"/>
      <w:bookmarkEnd w:id="123"/>
      <w:r w:rsidRPr="00792E0B">
        <w:rPr>
          <w:rFonts w:ascii="Century Gothic" w:hAnsi="Century Gothic"/>
        </w:rPr>
        <w:t>.</w:t>
      </w:r>
      <w:bookmarkEnd w:id="124"/>
      <w:bookmarkEnd w:id="125"/>
      <w:bookmarkEnd w:id="126"/>
      <w:bookmarkEnd w:id="127"/>
      <w:bookmarkEnd w:id="128"/>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związane z nasyceniem rynku energii odnawialnej</w:t>
      </w:r>
    </w:p>
    <w:p w:rsidR="00E53D76" w:rsidRPr="00792E0B" w:rsidRDefault="00E53D76" w:rsidP="00E53D76">
      <w:pPr>
        <w:jc w:val="both"/>
        <w:rPr>
          <w:rFonts w:ascii="Century Gothic" w:hAnsi="Century Gothic"/>
        </w:rPr>
      </w:pPr>
    </w:p>
    <w:p w:rsidR="00E53D76" w:rsidRPr="00792E0B" w:rsidRDefault="00E53D76" w:rsidP="00E53D76">
      <w:pPr>
        <w:pStyle w:val="Tekstblokowy"/>
        <w:rPr>
          <w:rFonts w:ascii="Century Gothic" w:hAnsi="Century Gothic"/>
          <w:color w:val="auto"/>
          <w:sz w:val="20"/>
        </w:rPr>
      </w:pPr>
      <w:bookmarkStart w:id="129" w:name="_Toc315966191"/>
      <w:bookmarkStart w:id="130" w:name="_Toc316044304"/>
      <w:bookmarkStart w:id="131" w:name="_Toc317090495"/>
      <w:bookmarkStart w:id="132" w:name="_Toc317694425"/>
      <w:bookmarkStart w:id="133" w:name="_Toc349033448"/>
      <w:r w:rsidRPr="00792E0B">
        <w:rPr>
          <w:rFonts w:ascii="Century Gothic" w:hAnsi="Century Gothic"/>
          <w:color w:val="auto"/>
          <w:sz w:val="20"/>
        </w:rPr>
        <w:t>W związku z coraz poważniej traktowanym problemem zmian klimatycznych na Ziemi, przewiduje się wzrost wymagań dotyczących obniżania emisji „gazów cieplarnianych”, a w ślad za tym wzrost ilości energii ze źródeł odnawialnych, jaką będą zobowiązane kupować przedsiębiorstwa. Obowiązujące prawo przewiduje wzrost obligatoryjnego udziału elektrycznej energii odnawialnej w sprzedaży e</w:t>
      </w:r>
      <w:r>
        <w:rPr>
          <w:rFonts w:ascii="Century Gothic" w:hAnsi="Century Gothic"/>
          <w:color w:val="auto"/>
          <w:sz w:val="20"/>
        </w:rPr>
        <w:t>nergii elektrycznej ogółem do roku</w:t>
      </w:r>
      <w:r w:rsidRPr="00792E0B">
        <w:rPr>
          <w:rFonts w:ascii="Century Gothic" w:hAnsi="Century Gothic"/>
          <w:color w:val="auto"/>
          <w:sz w:val="20"/>
        </w:rPr>
        <w:t xml:space="preserve"> 20</w:t>
      </w:r>
      <w:r w:rsidR="001A5965">
        <w:rPr>
          <w:rFonts w:ascii="Century Gothic" w:hAnsi="Century Gothic"/>
          <w:color w:val="auto"/>
          <w:sz w:val="20"/>
        </w:rPr>
        <w:t>21</w:t>
      </w:r>
      <w:r w:rsidRPr="00792E0B">
        <w:rPr>
          <w:rFonts w:ascii="Century Gothic" w:hAnsi="Century Gothic"/>
          <w:color w:val="auto"/>
          <w:sz w:val="20"/>
        </w:rPr>
        <w:t xml:space="preserve"> do wartości </w:t>
      </w:r>
      <w:r w:rsidR="001A5965">
        <w:rPr>
          <w:rFonts w:ascii="Century Gothic" w:hAnsi="Century Gothic"/>
          <w:color w:val="auto"/>
          <w:sz w:val="20"/>
        </w:rPr>
        <w:t>20</w:t>
      </w:r>
      <w:r w:rsidRPr="00792E0B">
        <w:rPr>
          <w:rFonts w:ascii="Century Gothic" w:hAnsi="Century Gothic"/>
          <w:color w:val="auto"/>
          <w:sz w:val="20"/>
        </w:rPr>
        <w:t>% oraz wysokie kary za niewypełnienie tego obowiązku dla przedsiębiorstw obrotu energią, oraz producentów energii sprzedających energię do odbiorców końcowych. Zgodnie z zapisami dokumentu „Polityka energetyczna Polski do 2030 r.” wzrost udziału odnawialnych źródeł energii w finalnym zużyciu energii ma wynosić co najmniej 15% w r. 2020 oraz wykazywać dalszy wzrost tego wskaźnika w latach następnych.</w:t>
      </w:r>
      <w:bookmarkEnd w:id="129"/>
      <w:bookmarkEnd w:id="130"/>
      <w:bookmarkEnd w:id="131"/>
      <w:bookmarkEnd w:id="132"/>
      <w:bookmarkEnd w:id="133"/>
      <w:r w:rsidRPr="00792E0B">
        <w:rPr>
          <w:rFonts w:ascii="Century Gothic" w:hAnsi="Century Gothic"/>
          <w:color w:val="auto"/>
          <w:sz w:val="20"/>
        </w:rPr>
        <w:t xml:space="preserve"> W kontekście braku oczekiwanej przez środowisko związane z OZE Ustawy o Odnawialnych Źródłach Energii, trudno dziś przewidzieć kierunki dalszego rozwoju tego rynku. Wprawdzie specjaliści przewidują dalszy wzrost zainteresowania produkcją energii odnawialnej, głównie pochodzącą z farm wiatrowych, spalania biomasy oraz mikro instalacji tzw. instalacji </w:t>
      </w:r>
      <w:proofErr w:type="spellStart"/>
      <w:r w:rsidRPr="00792E0B">
        <w:rPr>
          <w:rFonts w:ascii="Century Gothic" w:hAnsi="Century Gothic"/>
          <w:color w:val="auto"/>
          <w:sz w:val="20"/>
        </w:rPr>
        <w:t>prosumenckich</w:t>
      </w:r>
      <w:proofErr w:type="spellEnd"/>
      <w:r w:rsidRPr="00792E0B">
        <w:rPr>
          <w:rFonts w:ascii="Century Gothic" w:hAnsi="Century Gothic"/>
          <w:color w:val="auto"/>
          <w:sz w:val="20"/>
        </w:rPr>
        <w:t xml:space="preserve">. W sposób umiarkowany a wynikający ze specyfiki sektora będzie następował przyrost mocy w małych elektrowniach wodnych, a przy dalszym braku uregulowania rynku OZE, </w:t>
      </w:r>
      <w:r w:rsidRPr="00792E0B">
        <w:rPr>
          <w:rFonts w:ascii="Century Gothic" w:hAnsi="Century Gothic"/>
          <w:color w:val="auto"/>
          <w:sz w:val="20"/>
        </w:rPr>
        <w:lastRenderedPageBreak/>
        <w:t>również instalacji biogazowych. Wprowadzenie możliwości handlu limitami emisji zanieczyszczeń do środowiska pozwoli zwiększyć zyski producentom zmniejszającym emisje zanieczyszczeń i produkującym energię w oparciu o spalanie biomasy i biogazu.</w:t>
      </w:r>
    </w:p>
    <w:p w:rsidR="00E53D76" w:rsidRPr="00792E0B" w:rsidRDefault="00E53D76" w:rsidP="00E53D76">
      <w:pPr>
        <w:pStyle w:val="Tekstblokowy"/>
        <w:rPr>
          <w:rFonts w:ascii="Century Gothic" w:hAnsi="Century Gothic"/>
          <w:color w:val="auto"/>
          <w:sz w:val="20"/>
        </w:rPr>
      </w:pPr>
      <w:r w:rsidRPr="00792E0B">
        <w:rPr>
          <w:rFonts w:ascii="Century Gothic" w:hAnsi="Century Gothic"/>
          <w:color w:val="auto"/>
          <w:sz w:val="20"/>
        </w:rPr>
        <w:t>Konieczność wywiązania się z zobowiązań zapewnienia 15% udziału odnawialnych źródeł energii w finalnym zużyciu energii i ślad za nim wprowadzenie odpowiedniego systemu wsparcia inwestycji produkujących energię ze źródeł odnawialnych może spowodować, że w tym segmencie rynku zostaną dokonane inwestycje na tyle znaczące, że przełożą się na radykalny wzrost potencjału wytwarzania energii „zielonej” w Polsce, a w konsekwencji doprowadzą do spadku jej cen, co przyczynić się może do osiągnięcia niższej rentowności projektów z zakresu energetyki odnawialnej niż zakładana przez Emitenta.</w:t>
      </w:r>
    </w:p>
    <w:p w:rsidR="00E53D76" w:rsidRPr="00792E0B" w:rsidRDefault="00E53D76" w:rsidP="00E53D76">
      <w:pPr>
        <w:pStyle w:val="Tekstblokowy"/>
        <w:rPr>
          <w:sz w:val="18"/>
          <w:szCs w:val="18"/>
        </w:rPr>
      </w:pPr>
      <w:r w:rsidRPr="00792E0B">
        <w:rPr>
          <w:rFonts w:ascii="Century Gothic" w:hAnsi="Century Gothic"/>
          <w:color w:val="auto"/>
          <w:sz w:val="20"/>
        </w:rPr>
        <w:t>W związku z niedostosowaniem poziomu obowiązku umarzania świadectw pochodzenia do rosnących możliwości wytwórczych "zielonej" energii wystąpiła na rynku sytuacja nadpodaży zielonych certyfikatów, która doprowadziła do spadku ich ceny. Ryzyko nadpodaży zielonych certyfikatów zostanie ograniczone przez wprowadzenie w nowej ustawie o OZE stosownych mechanizmów stabilizujących ten rynek</w:t>
      </w:r>
      <w:r w:rsidRPr="00792E0B">
        <w:rPr>
          <w:sz w:val="18"/>
          <w:szCs w:val="18"/>
        </w:rPr>
        <w:t>.</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nakazu zwrotu otrzymanych dotacji</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rPr>
      </w:pPr>
      <w:bookmarkStart w:id="134" w:name="_Toc315966147"/>
      <w:bookmarkStart w:id="135" w:name="_Toc316044264"/>
      <w:bookmarkStart w:id="136" w:name="_Toc317090455"/>
      <w:bookmarkStart w:id="137" w:name="_Toc317694385"/>
      <w:bookmarkStart w:id="138" w:name="_Toc349033400"/>
      <w:r w:rsidRPr="00792E0B">
        <w:rPr>
          <w:rFonts w:ascii="Century Gothic" w:hAnsi="Century Gothic"/>
        </w:rPr>
        <w:t>Spółki zależne aktywnie uczestniczą w procesie pozyskiwania środków z dotacji Unii Europejskiej. Pozyskanie oraz wydatkowanie dotacji obwarowane jest szeregiem zastrzeżeń, tak w zakresie procedur związanych z pozyskiwaniem decyzji administracyjnych jak i w ramach umowy wsparcia projektu podpisywanej z właściwą instytucją finansującą. Niespełnienie warunków wynikających z umów wsparcia naraża spółki zależne na ryzyko wystąpienia organów państwowych z nakazem zwrotu otrzymanej dotacji. Ryzyko to jest ograniczane poprzez bieżący monitoring wywiązywania się z warunków określonych w umowach wsparcia.</w:t>
      </w:r>
      <w:bookmarkEnd w:id="134"/>
      <w:bookmarkEnd w:id="135"/>
      <w:bookmarkEnd w:id="136"/>
      <w:bookmarkEnd w:id="137"/>
      <w:bookmarkEnd w:id="138"/>
      <w:r w:rsidRPr="00792E0B">
        <w:rPr>
          <w:rFonts w:ascii="Century Gothic" w:hAnsi="Century Gothic"/>
        </w:rPr>
        <w:t xml:space="preserve"> </w:t>
      </w:r>
    </w:p>
    <w:p w:rsidR="00E53D76" w:rsidRPr="00792E0B" w:rsidRDefault="00E53D76" w:rsidP="00E53D76">
      <w:pPr>
        <w:ind w:left="426"/>
        <w:jc w:val="both"/>
        <w:rPr>
          <w:rFonts w:ascii="Century Gothic" w:hAnsi="Century Gothic"/>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związane ze zmianami cen energii i certyfikatów</w:t>
      </w:r>
    </w:p>
    <w:p w:rsidR="00E53D76" w:rsidRPr="00792E0B" w:rsidRDefault="00E53D76" w:rsidP="00E53D76">
      <w:pPr>
        <w:pStyle w:val="Tekstblokowy"/>
        <w:rPr>
          <w:rFonts w:ascii="Century Gothic" w:hAnsi="Century Gothic"/>
          <w:color w:val="auto"/>
          <w:sz w:val="20"/>
        </w:rPr>
      </w:pPr>
    </w:p>
    <w:p w:rsidR="00E53D76" w:rsidRPr="00792E0B" w:rsidRDefault="00E53D76" w:rsidP="00E53D76">
      <w:pPr>
        <w:pStyle w:val="Tekstblokowy"/>
        <w:rPr>
          <w:rFonts w:ascii="Century Gothic" w:hAnsi="Century Gothic"/>
          <w:color w:val="auto"/>
          <w:sz w:val="20"/>
        </w:rPr>
      </w:pPr>
      <w:r w:rsidRPr="00792E0B">
        <w:rPr>
          <w:rFonts w:ascii="Century Gothic" w:hAnsi="Century Gothic"/>
          <w:color w:val="auto"/>
          <w:sz w:val="20"/>
        </w:rPr>
        <w:t>Ceny energii elektrycznej i certyfikatów są decydujące dla wielkości przychodów i rentowności poszczególnych projektów.  Spadki cen energii lub certyfikatów mogą spowodować spadek rentowności projektów i ograniczenie możliwość realizacji zobowiązań przez poszczególne spółki celowe.</w:t>
      </w:r>
    </w:p>
    <w:p w:rsidR="00E53D76" w:rsidRPr="00792E0B" w:rsidRDefault="00E53D76" w:rsidP="00E53D76">
      <w:pPr>
        <w:pStyle w:val="Tekstblokowy"/>
        <w:ind w:left="0"/>
        <w:rPr>
          <w:rFonts w:ascii="Century Gothic" w:hAnsi="Century Gothic"/>
          <w:color w:val="auto"/>
          <w:sz w:val="20"/>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nie osiągnięcia parametrów projektowych</w:t>
      </w:r>
    </w:p>
    <w:p w:rsidR="00E53D76" w:rsidRPr="00792E0B" w:rsidRDefault="00E53D76" w:rsidP="00E53D76">
      <w:pPr>
        <w:pStyle w:val="Tekstblokowy"/>
        <w:rPr>
          <w:rFonts w:ascii="Century Gothic" w:hAnsi="Century Gothic"/>
          <w:color w:val="auto"/>
          <w:sz w:val="20"/>
        </w:rPr>
      </w:pPr>
    </w:p>
    <w:p w:rsidR="00E53D76" w:rsidRPr="00792E0B" w:rsidRDefault="00E53D76" w:rsidP="00E53D76">
      <w:pPr>
        <w:pStyle w:val="Tekstblokowy"/>
        <w:rPr>
          <w:rFonts w:ascii="Century Gothic" w:hAnsi="Century Gothic"/>
          <w:color w:val="auto"/>
          <w:sz w:val="20"/>
        </w:rPr>
      </w:pPr>
      <w:r w:rsidRPr="00792E0B">
        <w:rPr>
          <w:rFonts w:ascii="Century Gothic" w:hAnsi="Century Gothic"/>
          <w:color w:val="auto"/>
          <w:sz w:val="20"/>
        </w:rPr>
        <w:t>Ze względu na stopień skomplikowania i innowacyjność instalacji wykonywanych przez spółki zależne istnieje ryzyko nie osiągnięcia zakładanych parametrów projektowych, które może wynikać z następujących czynników:</w:t>
      </w:r>
    </w:p>
    <w:p w:rsidR="00E53D76" w:rsidRPr="00792E0B" w:rsidRDefault="00E53D76" w:rsidP="00E53D76">
      <w:pPr>
        <w:pStyle w:val="Tekstblokowy"/>
        <w:ind w:left="710" w:hanging="284"/>
        <w:rPr>
          <w:rFonts w:ascii="Century Gothic" w:hAnsi="Century Gothic"/>
          <w:color w:val="auto"/>
          <w:sz w:val="20"/>
        </w:rPr>
      </w:pPr>
      <w:r w:rsidRPr="00792E0B">
        <w:rPr>
          <w:rFonts w:ascii="Century Gothic" w:hAnsi="Century Gothic"/>
          <w:color w:val="auto"/>
          <w:sz w:val="20"/>
        </w:rPr>
        <w:t xml:space="preserve">- </w:t>
      </w:r>
      <w:r>
        <w:rPr>
          <w:rFonts w:ascii="Century Gothic" w:hAnsi="Century Gothic"/>
          <w:color w:val="auto"/>
          <w:sz w:val="20"/>
        </w:rPr>
        <w:tab/>
      </w:r>
      <w:r w:rsidRPr="00792E0B">
        <w:rPr>
          <w:rFonts w:ascii="Century Gothic" w:hAnsi="Century Gothic"/>
          <w:color w:val="auto"/>
          <w:sz w:val="20"/>
        </w:rPr>
        <w:t>dostarczenie/zamontowanie wadliwych urządzeń i materiałów, pociągające za sobą konieczność napraw i wymian, wzrost kosztów i opóźnienia,</w:t>
      </w:r>
    </w:p>
    <w:p w:rsidR="00E53D76" w:rsidRPr="00792E0B" w:rsidRDefault="00E53D76" w:rsidP="00E53D76">
      <w:pPr>
        <w:pStyle w:val="Tekstblokowy"/>
        <w:ind w:left="710" w:hanging="284"/>
        <w:rPr>
          <w:rFonts w:ascii="Century Gothic" w:hAnsi="Century Gothic"/>
          <w:color w:val="auto"/>
          <w:sz w:val="20"/>
        </w:rPr>
      </w:pPr>
      <w:r w:rsidRPr="00792E0B">
        <w:rPr>
          <w:rFonts w:ascii="Century Gothic" w:hAnsi="Century Gothic"/>
          <w:color w:val="auto"/>
          <w:sz w:val="20"/>
        </w:rPr>
        <w:t>-</w:t>
      </w:r>
      <w:r>
        <w:rPr>
          <w:rFonts w:ascii="Century Gothic" w:hAnsi="Century Gothic"/>
          <w:color w:val="auto"/>
          <w:sz w:val="20"/>
        </w:rPr>
        <w:tab/>
      </w:r>
      <w:r w:rsidRPr="00792E0B">
        <w:rPr>
          <w:rFonts w:ascii="Century Gothic" w:hAnsi="Century Gothic"/>
          <w:color w:val="auto"/>
          <w:sz w:val="20"/>
        </w:rPr>
        <w:t>awarie budowlane spowodowane trudnymi warunkami realizacji prac lub nieprzestrzeganiem procedur – skutkujące wstrzymaniem prac oraz opóźnieniem</w:t>
      </w:r>
      <w:r w:rsidR="00E06AAD">
        <w:rPr>
          <w:rFonts w:ascii="Century Gothic" w:hAnsi="Century Gothic"/>
          <w:color w:val="auto"/>
          <w:sz w:val="20"/>
        </w:rPr>
        <w:t xml:space="preserve"> </w:t>
      </w:r>
      <w:r w:rsidRPr="00792E0B">
        <w:rPr>
          <w:rFonts w:ascii="Century Gothic" w:hAnsi="Century Gothic"/>
          <w:color w:val="auto"/>
          <w:sz w:val="20"/>
        </w:rPr>
        <w:t>i przekroczeniem budżetu,</w:t>
      </w:r>
    </w:p>
    <w:p w:rsidR="00E53D76" w:rsidRPr="00792E0B" w:rsidRDefault="00847AD5" w:rsidP="00847AD5">
      <w:pPr>
        <w:pStyle w:val="Tekstblokowy"/>
        <w:ind w:left="709" w:hanging="283"/>
        <w:rPr>
          <w:rFonts w:ascii="Century Gothic" w:hAnsi="Century Gothic"/>
          <w:color w:val="auto"/>
          <w:sz w:val="20"/>
        </w:rPr>
      </w:pPr>
      <w:r>
        <w:rPr>
          <w:rFonts w:ascii="Century Gothic" w:hAnsi="Century Gothic"/>
          <w:color w:val="auto"/>
          <w:sz w:val="20"/>
        </w:rPr>
        <w:t>-</w:t>
      </w:r>
      <w:r>
        <w:rPr>
          <w:rFonts w:ascii="Century Gothic" w:hAnsi="Century Gothic"/>
          <w:color w:val="auto"/>
          <w:sz w:val="20"/>
        </w:rPr>
        <w:tab/>
      </w:r>
      <w:r w:rsidR="00E53D76" w:rsidRPr="00792E0B">
        <w:rPr>
          <w:rFonts w:ascii="Century Gothic" w:hAnsi="Century Gothic"/>
          <w:color w:val="auto"/>
          <w:sz w:val="20"/>
        </w:rPr>
        <w:t>nie osiągnięcie pełnych parametrów procesowych uruchamianych instalacji z powodu ukrytych wad projektowych – skutkujące dodatkowymi kosztami doprowadzenia instalacji do podstawowych parametrów projektowych bądź utraconymi zyskami,</w:t>
      </w:r>
    </w:p>
    <w:p w:rsidR="00E53D76" w:rsidRPr="00792E0B" w:rsidRDefault="00E53D76" w:rsidP="00E53D76">
      <w:pPr>
        <w:pStyle w:val="Tekstblokowy"/>
        <w:rPr>
          <w:rFonts w:ascii="Century Gothic" w:hAnsi="Century Gothic"/>
          <w:color w:val="auto"/>
          <w:sz w:val="20"/>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t>Ryzyko związane z dostępem do surowca oraz zmianami jego cen</w:t>
      </w:r>
    </w:p>
    <w:p w:rsidR="00E53D76" w:rsidRPr="00792E0B" w:rsidRDefault="00E53D76" w:rsidP="00E53D76">
      <w:pPr>
        <w:pStyle w:val="Tekstblokowy"/>
        <w:rPr>
          <w:rFonts w:ascii="Century Gothic" w:hAnsi="Century Gothic"/>
          <w:color w:val="auto"/>
          <w:sz w:val="20"/>
        </w:rPr>
      </w:pPr>
    </w:p>
    <w:p w:rsidR="00E53D76" w:rsidRDefault="00E53D76" w:rsidP="00E53D76">
      <w:pPr>
        <w:pStyle w:val="Tekstblokowy"/>
        <w:rPr>
          <w:rFonts w:ascii="Century Gothic" w:hAnsi="Century Gothic"/>
          <w:color w:val="auto"/>
          <w:sz w:val="20"/>
        </w:rPr>
      </w:pPr>
      <w:bookmarkStart w:id="139" w:name="_Toc315966174"/>
      <w:bookmarkStart w:id="140" w:name="_Toc316044289"/>
      <w:bookmarkStart w:id="141" w:name="_Toc317090480"/>
      <w:bookmarkStart w:id="142" w:name="_Toc317694410"/>
      <w:bookmarkStart w:id="143" w:name="_Toc349033434"/>
      <w:r w:rsidRPr="00792E0B">
        <w:rPr>
          <w:rFonts w:ascii="Century Gothic" w:hAnsi="Century Gothic"/>
          <w:color w:val="auto"/>
          <w:sz w:val="20"/>
        </w:rPr>
        <w:t xml:space="preserve">Z uwagi na konieczność osiągnięcia określonego udziału energii elektrycznej pochodzącej ze źródeł odnawialnych oraz z uwagi na potencjał surowcowy Polski w zakresie OZE, należy spodziewać się, iż głównymi wytwórcami energii elektrycznej pochodzącej z OZE będą instalacje w technologii </w:t>
      </w:r>
      <w:proofErr w:type="spellStart"/>
      <w:r w:rsidRPr="00792E0B">
        <w:rPr>
          <w:rFonts w:ascii="Century Gothic" w:hAnsi="Century Gothic"/>
          <w:color w:val="auto"/>
          <w:sz w:val="20"/>
        </w:rPr>
        <w:t>biomasowej</w:t>
      </w:r>
      <w:proofErr w:type="spellEnd"/>
      <w:r w:rsidRPr="00792E0B">
        <w:rPr>
          <w:rFonts w:ascii="Century Gothic" w:hAnsi="Century Gothic"/>
          <w:color w:val="auto"/>
          <w:sz w:val="20"/>
        </w:rPr>
        <w:t xml:space="preserve">. Może to wpłynąć  na ograniczenie dostępności surowca do produkcji, a w konsekwencji również na wzrost jego ceny. Projekty realizowane przez spółki celowe </w:t>
      </w:r>
      <w:proofErr w:type="spellStart"/>
      <w:r>
        <w:rPr>
          <w:rFonts w:ascii="Century Gothic" w:hAnsi="Century Gothic"/>
          <w:color w:val="auto"/>
          <w:sz w:val="20"/>
        </w:rPr>
        <w:t>Skystone</w:t>
      </w:r>
      <w:proofErr w:type="spellEnd"/>
      <w:r>
        <w:rPr>
          <w:rFonts w:ascii="Century Gothic" w:hAnsi="Century Gothic"/>
          <w:color w:val="auto"/>
          <w:sz w:val="20"/>
        </w:rPr>
        <w:t xml:space="preserve"> Capital</w:t>
      </w:r>
      <w:r w:rsidRPr="00792E0B">
        <w:rPr>
          <w:rFonts w:ascii="Century Gothic" w:hAnsi="Century Gothic"/>
          <w:color w:val="auto"/>
          <w:sz w:val="20"/>
        </w:rPr>
        <w:t xml:space="preserve"> wymagają dostarczenia surowców niezbędnych do prawidłowego funkcjonowania eksploatacyjnego. Mając na uwadze rozwój sektora OZE, a co za tym idzie, wzrost konkurencji przy pozyskiwaniu surowców, spółki Emitenta zabezpieczają dostawy surowców oraz ich ceny poprzez umowy z wieloma dostawcami.</w:t>
      </w:r>
      <w:bookmarkEnd w:id="139"/>
      <w:bookmarkEnd w:id="140"/>
      <w:bookmarkEnd w:id="141"/>
      <w:bookmarkEnd w:id="142"/>
      <w:bookmarkEnd w:id="143"/>
      <w:r w:rsidRPr="00792E0B">
        <w:rPr>
          <w:rFonts w:ascii="Century Gothic" w:hAnsi="Century Gothic"/>
          <w:color w:val="auto"/>
          <w:sz w:val="20"/>
        </w:rPr>
        <w:t xml:space="preserve"> </w:t>
      </w:r>
    </w:p>
    <w:p w:rsidR="0075383A" w:rsidRDefault="0075383A" w:rsidP="00E53D76">
      <w:pPr>
        <w:pStyle w:val="Tekstblokowy"/>
        <w:rPr>
          <w:rFonts w:ascii="Century Gothic" w:hAnsi="Century Gothic"/>
          <w:color w:val="auto"/>
          <w:sz w:val="20"/>
        </w:rPr>
      </w:pPr>
    </w:p>
    <w:p w:rsidR="0075383A" w:rsidRPr="00792E0B" w:rsidRDefault="0075383A" w:rsidP="00E53D76">
      <w:pPr>
        <w:pStyle w:val="Tekstblokowy"/>
        <w:rPr>
          <w:rFonts w:ascii="Century Gothic" w:hAnsi="Century Gothic"/>
          <w:color w:val="auto"/>
          <w:sz w:val="20"/>
        </w:rPr>
      </w:pPr>
    </w:p>
    <w:p w:rsidR="00E53D76" w:rsidRDefault="00E53D76" w:rsidP="00E53D76">
      <w:pPr>
        <w:ind w:left="426"/>
        <w:jc w:val="both"/>
        <w:rPr>
          <w:rFonts w:ascii="Century Gothic" w:hAnsi="Century Gothic" w:cs="Tahoma"/>
          <w:b/>
          <w:color w:val="0000FF"/>
        </w:rPr>
      </w:pPr>
    </w:p>
    <w:p w:rsidR="00E53D76" w:rsidRPr="00792E0B" w:rsidRDefault="00E53D76" w:rsidP="00E53D76">
      <w:pPr>
        <w:ind w:left="426"/>
        <w:jc w:val="both"/>
        <w:rPr>
          <w:rFonts w:ascii="Century Gothic" w:hAnsi="Century Gothic" w:cs="Tahoma"/>
          <w:b/>
          <w:color w:val="0000FF"/>
        </w:rPr>
      </w:pPr>
      <w:r w:rsidRPr="00792E0B">
        <w:rPr>
          <w:rFonts w:ascii="Century Gothic" w:hAnsi="Century Gothic" w:cs="Tahoma"/>
          <w:b/>
          <w:color w:val="0000FF"/>
        </w:rPr>
        <w:lastRenderedPageBreak/>
        <w:t>Ryzyko związane z opóźnieniami harmonogramu realizacji inwestycji</w:t>
      </w:r>
    </w:p>
    <w:p w:rsidR="00E53D76" w:rsidRPr="00792E0B" w:rsidRDefault="00E53D76" w:rsidP="00E53D76">
      <w:pPr>
        <w:pStyle w:val="Tekstblokowy"/>
        <w:rPr>
          <w:rFonts w:ascii="Century Gothic" w:hAnsi="Century Gothic"/>
          <w:color w:val="auto"/>
          <w:sz w:val="20"/>
        </w:rPr>
      </w:pPr>
    </w:p>
    <w:p w:rsidR="00AC5DCF" w:rsidRPr="00792E0B" w:rsidRDefault="00E53D76" w:rsidP="00E53D76">
      <w:pPr>
        <w:ind w:left="426"/>
        <w:jc w:val="both"/>
        <w:rPr>
          <w:rFonts w:ascii="Century Gothic" w:hAnsi="Century Gothic"/>
        </w:rPr>
      </w:pPr>
      <w:r w:rsidRPr="00792E0B">
        <w:rPr>
          <w:rFonts w:ascii="Century Gothic" w:hAnsi="Century Gothic"/>
        </w:rPr>
        <w:t xml:space="preserve">Z uwagi na stopień skomplikowania realizowanych inwestycji </w:t>
      </w:r>
      <w:proofErr w:type="spellStart"/>
      <w:r w:rsidRPr="00792E0B">
        <w:rPr>
          <w:rFonts w:ascii="Century Gothic" w:hAnsi="Century Gothic"/>
        </w:rPr>
        <w:t>start’upowych</w:t>
      </w:r>
      <w:proofErr w:type="spellEnd"/>
      <w:r w:rsidRPr="00792E0B">
        <w:rPr>
          <w:rFonts w:ascii="Century Gothic" w:hAnsi="Century Gothic"/>
        </w:rPr>
        <w:t>, nierzadko mających innowacyjny charakter, istnieje ryzyko opóźnień w realizacji ich harmonogramu. Przedmiotowe ryzyko rzutować może na relacje Spółki z rynkiem kapitałowym oraz instytucjami finansowymi.</w:t>
      </w:r>
    </w:p>
    <w:p w:rsidR="00AC5DCF" w:rsidRPr="00792E0B" w:rsidRDefault="00AC5DCF" w:rsidP="00C5101C">
      <w:pPr>
        <w:ind w:left="426"/>
        <w:jc w:val="both"/>
        <w:rPr>
          <w:rFonts w:ascii="Century Gothic" w:hAnsi="Century Gothic"/>
        </w:rPr>
      </w:pPr>
    </w:p>
    <w:p w:rsidR="00F8739B" w:rsidRPr="000F406C" w:rsidRDefault="00F8739B" w:rsidP="00F8739B">
      <w:pPr>
        <w:jc w:val="both"/>
        <w:rPr>
          <w:rFonts w:ascii="Century Gothic" w:hAnsi="Century Gothic"/>
          <w:sz w:val="22"/>
          <w:szCs w:val="22"/>
        </w:rPr>
      </w:pPr>
    </w:p>
    <w:p w:rsidR="00F8739B" w:rsidRPr="000F406C" w:rsidRDefault="00497692" w:rsidP="00497692">
      <w:pPr>
        <w:pStyle w:val="Nagwek1"/>
        <w:pBdr>
          <w:bottom w:val="none" w:sz="0" w:space="0" w:color="auto"/>
        </w:pBdr>
        <w:spacing w:before="240" w:after="60"/>
        <w:ind w:left="76"/>
        <w:jc w:val="both"/>
        <w:rPr>
          <w:rFonts w:ascii="Century Gothic" w:hAnsi="Century Gothic"/>
          <w:color w:val="0000FF"/>
          <w:sz w:val="22"/>
          <w:szCs w:val="22"/>
        </w:rPr>
      </w:pPr>
      <w:bookmarkStart w:id="144" w:name="_Toc228169596"/>
      <w:bookmarkStart w:id="145" w:name="_Toc334180301"/>
      <w:bookmarkStart w:id="146" w:name="_Toc387945920"/>
      <w:r>
        <w:rPr>
          <w:rFonts w:ascii="Century Gothic" w:hAnsi="Century Gothic"/>
          <w:color w:val="0000FF"/>
          <w:sz w:val="22"/>
          <w:szCs w:val="22"/>
        </w:rPr>
        <w:t xml:space="preserve">3   </w:t>
      </w:r>
      <w:r w:rsidR="00F8739B">
        <w:rPr>
          <w:rFonts w:ascii="Century Gothic" w:hAnsi="Century Gothic"/>
          <w:color w:val="0000FF"/>
          <w:sz w:val="22"/>
          <w:szCs w:val="22"/>
        </w:rPr>
        <w:t>POZOSTAŁE INFORMACJE</w:t>
      </w:r>
      <w:bookmarkEnd w:id="144"/>
      <w:bookmarkEnd w:id="145"/>
      <w:bookmarkEnd w:id="146"/>
    </w:p>
    <w:p w:rsidR="00F8739B" w:rsidRPr="007D037C" w:rsidRDefault="00413D97" w:rsidP="00A64E9D">
      <w:pPr>
        <w:pStyle w:val="Nagwek2"/>
        <w:numPr>
          <w:ilvl w:val="0"/>
          <w:numId w:val="27"/>
        </w:numPr>
        <w:ind w:hanging="294"/>
        <w:jc w:val="both"/>
        <w:rPr>
          <w:rFonts w:ascii="Century Gothic" w:hAnsi="Century Gothic"/>
          <w:bCs/>
          <w:i w:val="0"/>
          <w:color w:val="0000FF"/>
          <w:sz w:val="20"/>
        </w:rPr>
      </w:pPr>
      <w:bookmarkStart w:id="147" w:name="_Toc228169582"/>
      <w:bookmarkStart w:id="148" w:name="_Toc334180302"/>
      <w:bookmarkStart w:id="149" w:name="_Toc387945921"/>
      <w:r>
        <w:rPr>
          <w:rFonts w:ascii="Century Gothic" w:hAnsi="Century Gothic"/>
          <w:bCs/>
          <w:i w:val="0"/>
          <w:color w:val="0000FF"/>
          <w:sz w:val="20"/>
        </w:rPr>
        <w:t>P</w:t>
      </w:r>
      <w:r w:rsidR="00D62567">
        <w:rPr>
          <w:rFonts w:ascii="Century Gothic" w:hAnsi="Century Gothic"/>
          <w:bCs/>
          <w:i w:val="0"/>
          <w:color w:val="0000FF"/>
          <w:sz w:val="20"/>
        </w:rPr>
        <w:t>ostępowania przed sądem, organem właściwym dla postępowania arbitrażowego lub organem administracji publicznej</w:t>
      </w:r>
      <w:bookmarkEnd w:id="147"/>
      <w:bookmarkEnd w:id="148"/>
      <w:bookmarkEnd w:id="149"/>
    </w:p>
    <w:p w:rsidR="00F8739B" w:rsidRPr="009479F2" w:rsidRDefault="00F8739B" w:rsidP="00AC5DCF">
      <w:pPr>
        <w:pStyle w:val="Tekstpodstawowy3"/>
        <w:ind w:left="426"/>
        <w:rPr>
          <w:rFonts w:ascii="Century Gothic" w:hAnsi="Century Gothic" w:cs="Tahoma"/>
          <w:sz w:val="20"/>
        </w:rPr>
      </w:pPr>
    </w:p>
    <w:p w:rsidR="00AC5DCF" w:rsidRDefault="00AC5DCF" w:rsidP="00AC5DCF">
      <w:pPr>
        <w:ind w:left="360"/>
        <w:jc w:val="both"/>
        <w:rPr>
          <w:rFonts w:ascii="Century Gothic" w:hAnsi="Century Gothic"/>
        </w:rPr>
      </w:pPr>
      <w:bookmarkStart w:id="150" w:name="_Toc228169586"/>
      <w:bookmarkStart w:id="151" w:name="_Toc334180304"/>
      <w:r w:rsidRPr="00792E0B">
        <w:rPr>
          <w:rFonts w:ascii="Century Gothic" w:hAnsi="Century Gothic"/>
        </w:rPr>
        <w:t xml:space="preserve">W styczniu 2012 r. spółka OZEN Plus otrzymała od AWBUD, tj. byłego Generalnego wykonawcy inwestycji w Wałczu pozew, w którym AWBUD wystąpił w stosunku do OZEN Plus z żądaniami zapłaty przez OZEN Plus łącznie kwoty 15.361 tys. zł wraz z ustawowymi odsetkami. OZEN Plus odpowiedziała na pozew AWBUD wnioskując o oddalenie powództwa, wskazując je w całości jako nieuzasadnione. W dniu </w:t>
      </w:r>
      <w:smartTag w:uri="urn:schemas-microsoft-com:office:smarttags" w:element="date">
        <w:smartTagPr>
          <w:attr w:name="Year" w:val="2012"/>
          <w:attr w:name="Day" w:val="18"/>
          <w:attr w:name="Month" w:val="4"/>
          <w:attr w:name="ls" w:val="trans"/>
        </w:smartTagPr>
        <w:r w:rsidRPr="00792E0B">
          <w:rPr>
            <w:rFonts w:ascii="Century Gothic" w:hAnsi="Century Gothic"/>
          </w:rPr>
          <w:t>18 kwietnia 2012 roku</w:t>
        </w:r>
      </w:smartTag>
      <w:r w:rsidRPr="00792E0B">
        <w:rPr>
          <w:rFonts w:ascii="Century Gothic" w:hAnsi="Century Gothic"/>
        </w:rPr>
        <w:t xml:space="preserve"> odbyło się pierwsze posiedzenie Sądu, które rozpoczęło właściwy etap postępowania i rozstrzygania sporu pomiędzy spółkami. W związku z toczącym się postępowaniem AWBUD dokonał wpisu hipotek przymusowych na nieruchomościach należących do OZEN Plus do wysokości 8.148 tys. zł. Szczegółowe informacje na temat sporu zostały opublikowane we wcześniejszych raportach. Na dzień publikacji niniejszego raportu proces jest w toku i nie nastąpiły żadne rozstrzygnięcia sprawy.</w:t>
      </w:r>
    </w:p>
    <w:p w:rsidR="00AC5DCF" w:rsidRDefault="00AC5DCF" w:rsidP="00AC5DCF">
      <w:pPr>
        <w:ind w:left="360"/>
        <w:jc w:val="both"/>
        <w:rPr>
          <w:rFonts w:ascii="Century Gothic" w:hAnsi="Century Gothic"/>
        </w:rPr>
      </w:pPr>
    </w:p>
    <w:p w:rsidR="00AC5DCF" w:rsidRPr="008A067B" w:rsidRDefault="00AC5DCF" w:rsidP="00AC5DCF">
      <w:pPr>
        <w:ind w:left="360"/>
        <w:jc w:val="both"/>
        <w:rPr>
          <w:rFonts w:ascii="Century Gothic" w:hAnsi="Century Gothic"/>
        </w:rPr>
      </w:pPr>
      <w:r w:rsidRPr="008A067B">
        <w:rPr>
          <w:rFonts w:ascii="Century Gothic" w:hAnsi="Century Gothic"/>
        </w:rPr>
        <w:t xml:space="preserve">W dniu </w:t>
      </w:r>
      <w:smartTag w:uri="urn:schemas-microsoft-com:office:smarttags" w:element="date">
        <w:smartTagPr>
          <w:attr w:name="Year" w:val="2013"/>
          <w:attr w:name="Day" w:val="26"/>
          <w:attr w:name="Month" w:val="8"/>
          <w:attr w:name="ls" w:val="trans"/>
        </w:smartTagPr>
        <w:r w:rsidRPr="008A067B">
          <w:rPr>
            <w:rFonts w:ascii="Century Gothic" w:hAnsi="Century Gothic"/>
          </w:rPr>
          <w:t>26 sierpnia 2013 r.</w:t>
        </w:r>
      </w:smartTag>
      <w:r w:rsidRPr="008A067B">
        <w:rPr>
          <w:rFonts w:ascii="Century Gothic" w:hAnsi="Century Gothic"/>
        </w:rPr>
        <w:t xml:space="preserve"> do spółki Biogaz </w:t>
      </w:r>
      <w:proofErr w:type="spellStart"/>
      <w:r w:rsidRPr="008A067B">
        <w:rPr>
          <w:rFonts w:ascii="Century Gothic" w:hAnsi="Century Gothic"/>
        </w:rPr>
        <w:t>Zeneris</w:t>
      </w:r>
      <w:proofErr w:type="spellEnd"/>
      <w:r w:rsidRPr="008A067B">
        <w:rPr>
          <w:rFonts w:ascii="Century Gothic" w:hAnsi="Century Gothic"/>
        </w:rPr>
        <w:t xml:space="preserve"> TECH Sp. z o.o  (BZ TECH) wpłynął  z Sądu Rejonowego Poznań - Stare Miasto w Poznaniu, XI Wydział Gospodarczy do Spraw Upadłościowych i Naprawczych, zgodnie z zarządzeniem sędziego z dnia </w:t>
      </w:r>
      <w:smartTag w:uri="urn:schemas-microsoft-com:office:smarttags" w:element="date">
        <w:smartTagPr>
          <w:attr w:name="Year" w:val="2013"/>
          <w:attr w:name="Day" w:val="19"/>
          <w:attr w:name="Month" w:val="8"/>
          <w:attr w:name="ls" w:val="trans"/>
        </w:smartTagPr>
        <w:r w:rsidRPr="008A067B">
          <w:rPr>
            <w:rFonts w:ascii="Century Gothic" w:hAnsi="Century Gothic"/>
          </w:rPr>
          <w:t>19 sierpnia 2013 r.</w:t>
        </w:r>
      </w:smartTag>
      <w:r w:rsidRPr="008A067B">
        <w:rPr>
          <w:rFonts w:ascii="Century Gothic" w:hAnsi="Century Gothic"/>
        </w:rPr>
        <w:t xml:space="preserve">, odpis wniosku Energia System Sp. z o.o. z dnia </w:t>
      </w:r>
      <w:smartTag w:uri="urn:schemas-microsoft-com:office:smarttags" w:element="date">
        <w:smartTagPr>
          <w:attr w:name="Year" w:val="2013"/>
          <w:attr w:name="Day" w:val="27"/>
          <w:attr w:name="Month" w:val="3"/>
          <w:attr w:name="ls" w:val="trans"/>
        </w:smartTagPr>
        <w:r w:rsidRPr="008A067B">
          <w:rPr>
            <w:rFonts w:ascii="Century Gothic" w:hAnsi="Century Gothic"/>
          </w:rPr>
          <w:t>27 marca 2013 r.</w:t>
        </w:r>
      </w:smartTag>
      <w:r w:rsidRPr="008A067B">
        <w:rPr>
          <w:rFonts w:ascii="Century Gothic" w:hAnsi="Century Gothic"/>
        </w:rPr>
        <w:t xml:space="preserve"> o ogłoszenie upadłości obejmującej likwidację majątku spółki Biogaz </w:t>
      </w:r>
      <w:proofErr w:type="spellStart"/>
      <w:r w:rsidRPr="008A067B">
        <w:rPr>
          <w:rFonts w:ascii="Century Gothic" w:hAnsi="Century Gothic"/>
        </w:rPr>
        <w:t>Zeneris</w:t>
      </w:r>
      <w:proofErr w:type="spellEnd"/>
      <w:r w:rsidRPr="008A067B">
        <w:rPr>
          <w:rFonts w:ascii="Century Gothic" w:hAnsi="Century Gothic"/>
        </w:rPr>
        <w:t xml:space="preserve"> TECH Sp. z o.o., o którego złożeniu Emitent informował w raporcie bieżącym nr 21/2013 z </w:t>
      </w:r>
      <w:smartTag w:uri="urn:schemas-microsoft-com:office:smarttags" w:element="date">
        <w:smartTagPr>
          <w:attr w:name="Year" w:val="2013"/>
          <w:attr w:name="Day" w:val="29"/>
          <w:attr w:name="Month" w:val="3"/>
          <w:attr w:name="ls" w:val="trans"/>
        </w:smartTagPr>
        <w:r w:rsidRPr="008A067B">
          <w:rPr>
            <w:rFonts w:ascii="Century Gothic" w:hAnsi="Century Gothic"/>
          </w:rPr>
          <w:t>29 marca 2013 r.</w:t>
        </w:r>
      </w:smartTag>
      <w:r w:rsidRPr="008A067B">
        <w:rPr>
          <w:rFonts w:ascii="Century Gothic" w:hAnsi="Century Gothic"/>
        </w:rPr>
        <w:t xml:space="preserve"> Jednocześnie Sąd zobowiązał BZ TECH do ustosunkowania się do wniosku </w:t>
      </w:r>
      <w:r w:rsidRPr="00473D6E">
        <w:rPr>
          <w:rFonts w:ascii="Century Gothic" w:hAnsi="Century Gothic"/>
        </w:rPr>
        <w:t>w terminie 7 dni pod rygorem</w:t>
      </w:r>
      <w:r w:rsidRPr="008A067B">
        <w:rPr>
          <w:rFonts w:ascii="Century Gothic" w:hAnsi="Century Gothic"/>
        </w:rPr>
        <w:t xml:space="preserve"> uznania, iż BZ TECH wniosku nie kwestionuje.</w:t>
      </w:r>
    </w:p>
    <w:p w:rsidR="00AC5DCF" w:rsidRPr="008A067B" w:rsidRDefault="00AC5DCF" w:rsidP="00AC5DCF">
      <w:pPr>
        <w:ind w:left="360"/>
        <w:jc w:val="both"/>
        <w:rPr>
          <w:rFonts w:ascii="Century Gothic" w:hAnsi="Century Gothic"/>
        </w:rPr>
      </w:pPr>
      <w:r w:rsidRPr="008A067B">
        <w:rPr>
          <w:rFonts w:ascii="Century Gothic" w:hAnsi="Century Gothic"/>
        </w:rPr>
        <w:t xml:space="preserve">Jak wspomniano w przywołanym wyżej raporcie bieżącym nr 21/2013 z </w:t>
      </w:r>
      <w:smartTag w:uri="urn:schemas-microsoft-com:office:smarttags" w:element="date">
        <w:smartTagPr>
          <w:attr w:name="Year" w:val="2013"/>
          <w:attr w:name="Day" w:val="29"/>
          <w:attr w:name="Month" w:val="3"/>
          <w:attr w:name="ls" w:val="trans"/>
        </w:smartTagPr>
        <w:r w:rsidRPr="008A067B">
          <w:rPr>
            <w:rFonts w:ascii="Century Gothic" w:hAnsi="Century Gothic"/>
          </w:rPr>
          <w:t>29 marca 2013 r.</w:t>
        </w:r>
      </w:smartTag>
      <w:r w:rsidRPr="008A067B">
        <w:rPr>
          <w:rFonts w:ascii="Century Gothic" w:hAnsi="Century Gothic"/>
        </w:rPr>
        <w:t>, w ocenie BZ TECH dochodzone przez Energia System Sp. z o.o. roszczenie o zapłatę wierzytelności jest bezzasadne, jako że przedmiotowa wierzytelność została w sposób skuteczny potrącona z karami umownymi naliczonymi wobec tej spółki w związku z zapisami umowy o podwykonawstwo przy realizacji inwestycji w Boleszynie, i na moment obecny nie istnieje.</w:t>
      </w:r>
      <w:r>
        <w:rPr>
          <w:rFonts w:ascii="Calibri" w:hAnsi="Calibri" w:cs="Calibri"/>
          <w:sz w:val="22"/>
          <w:szCs w:val="22"/>
        </w:rPr>
        <w:t xml:space="preserve"> </w:t>
      </w:r>
    </w:p>
    <w:p w:rsidR="00F8739B" w:rsidRPr="007D037C" w:rsidRDefault="00413D97" w:rsidP="00A64E9D">
      <w:pPr>
        <w:pStyle w:val="Nagwek2"/>
        <w:numPr>
          <w:ilvl w:val="0"/>
          <w:numId w:val="27"/>
        </w:numPr>
        <w:ind w:hanging="294"/>
        <w:jc w:val="both"/>
        <w:rPr>
          <w:rFonts w:ascii="Century Gothic" w:hAnsi="Century Gothic"/>
          <w:bCs/>
          <w:i w:val="0"/>
          <w:color w:val="0000FF"/>
          <w:sz w:val="20"/>
        </w:rPr>
      </w:pPr>
      <w:bookmarkStart w:id="152" w:name="_Toc387945922"/>
      <w:r w:rsidRPr="00BC1121">
        <w:rPr>
          <w:rFonts w:ascii="Century Gothic" w:hAnsi="Century Gothic"/>
          <w:bCs/>
          <w:i w:val="0"/>
          <w:color w:val="0000FF"/>
          <w:sz w:val="20"/>
        </w:rPr>
        <w:t>U</w:t>
      </w:r>
      <w:r w:rsidR="00D62567" w:rsidRPr="00BC1121">
        <w:rPr>
          <w:rFonts w:ascii="Century Gothic" w:hAnsi="Century Gothic"/>
          <w:bCs/>
          <w:i w:val="0"/>
          <w:color w:val="0000FF"/>
          <w:sz w:val="20"/>
        </w:rPr>
        <w:t>dzielone poręczenia kredytu, pożyczki oraz</w:t>
      </w:r>
      <w:r w:rsidR="00D62567">
        <w:rPr>
          <w:rFonts w:ascii="Century Gothic" w:hAnsi="Century Gothic"/>
          <w:bCs/>
          <w:i w:val="0"/>
          <w:color w:val="0000FF"/>
          <w:sz w:val="20"/>
        </w:rPr>
        <w:t xml:space="preserve"> gwarancje</w:t>
      </w:r>
      <w:bookmarkEnd w:id="150"/>
      <w:bookmarkEnd w:id="151"/>
      <w:bookmarkEnd w:id="152"/>
    </w:p>
    <w:p w:rsidR="00F8739B" w:rsidRDefault="00F8739B" w:rsidP="00F8739B">
      <w:pPr>
        <w:jc w:val="both"/>
        <w:rPr>
          <w:rFonts w:ascii="Century Gothic" w:hAnsi="Century Gothic"/>
        </w:rPr>
      </w:pPr>
    </w:p>
    <w:p w:rsidR="00AC5DCF" w:rsidRDefault="00AC5DCF" w:rsidP="00AC5DCF">
      <w:pPr>
        <w:ind w:left="426"/>
        <w:jc w:val="both"/>
        <w:rPr>
          <w:rFonts w:ascii="Century Gothic" w:hAnsi="Century Gothic"/>
          <w:color w:val="000000"/>
        </w:rPr>
      </w:pPr>
      <w:bookmarkStart w:id="153" w:name="_Toc230162998"/>
      <w:bookmarkStart w:id="154" w:name="_Toc230162999"/>
      <w:bookmarkStart w:id="155" w:name="_Toc230163000"/>
      <w:bookmarkStart w:id="156" w:name="_Toc230163001"/>
      <w:bookmarkStart w:id="157" w:name="_Toc223433270"/>
      <w:bookmarkEnd w:id="54"/>
      <w:bookmarkEnd w:id="153"/>
      <w:bookmarkEnd w:id="154"/>
      <w:bookmarkEnd w:id="155"/>
      <w:bookmarkEnd w:id="156"/>
      <w:bookmarkEnd w:id="157"/>
      <w:r>
        <w:rPr>
          <w:rFonts w:ascii="Century Gothic" w:hAnsi="Century Gothic"/>
          <w:color w:val="000000"/>
        </w:rPr>
        <w:t xml:space="preserve">Dnia </w:t>
      </w:r>
      <w:smartTag w:uri="urn:schemas-microsoft-com:office:smarttags" w:element="date">
        <w:smartTagPr>
          <w:attr w:name="ls" w:val="trans"/>
          <w:attr w:name="Month" w:val="2"/>
          <w:attr w:name="Day" w:val="4"/>
          <w:attr w:name="Year" w:val="2013"/>
        </w:smartTagPr>
        <w:r>
          <w:rPr>
            <w:rFonts w:ascii="Century Gothic" w:hAnsi="Century Gothic"/>
            <w:color w:val="000000"/>
          </w:rPr>
          <w:t>4 lutego 2013 roku</w:t>
        </w:r>
      </w:smartTag>
      <w:r>
        <w:rPr>
          <w:rFonts w:ascii="Century Gothic" w:hAnsi="Century Gothic"/>
          <w:color w:val="000000"/>
        </w:rPr>
        <w:t xml:space="preserve"> pomiędzy OZEN PLUS Sp. z o.o. a Bankiem Polskiej Spółdzielczości S.A. została zawarta umowa kredytu obrotowego na kwotę 10 mln zł z terminem spłaty </w:t>
      </w:r>
      <w:smartTag w:uri="urn:schemas-microsoft-com:office:smarttags" w:element="date">
        <w:smartTagPr>
          <w:attr w:name="ls" w:val="trans"/>
          <w:attr w:name="Month" w:val="8"/>
          <w:attr w:name="Day" w:val="30"/>
          <w:attr w:name="Year" w:val="2013"/>
        </w:smartTagPr>
        <w:r>
          <w:rPr>
            <w:rFonts w:ascii="Century Gothic" w:hAnsi="Century Gothic"/>
            <w:color w:val="000000"/>
          </w:rPr>
          <w:t>30 sierpnia 2013 r.</w:t>
        </w:r>
      </w:smartTag>
      <w:r>
        <w:rPr>
          <w:rFonts w:ascii="Century Gothic" w:hAnsi="Century Gothic"/>
          <w:color w:val="000000"/>
        </w:rPr>
        <w:t xml:space="preserve"> Jednym z zabezpieczeń spłaty kredytu jest poręczenie wg prawa cywilnego udzielone przez </w:t>
      </w:r>
      <w:proofErr w:type="spellStart"/>
      <w:r w:rsidR="00473D6E">
        <w:rPr>
          <w:rFonts w:ascii="Century Gothic" w:hAnsi="Century Gothic"/>
          <w:color w:val="000000"/>
        </w:rPr>
        <w:t>Skystone</w:t>
      </w:r>
      <w:proofErr w:type="spellEnd"/>
      <w:r w:rsidR="00473D6E">
        <w:rPr>
          <w:rFonts w:ascii="Century Gothic" w:hAnsi="Century Gothic"/>
          <w:color w:val="000000"/>
        </w:rPr>
        <w:t xml:space="preserve"> Capital</w:t>
      </w:r>
      <w:r>
        <w:rPr>
          <w:rFonts w:ascii="Century Gothic" w:hAnsi="Century Gothic"/>
          <w:color w:val="000000"/>
        </w:rPr>
        <w:t>.</w:t>
      </w:r>
    </w:p>
    <w:p w:rsidR="00AC5DCF" w:rsidRDefault="00AC5DCF" w:rsidP="00AC5DCF">
      <w:pPr>
        <w:ind w:left="426"/>
        <w:jc w:val="both"/>
        <w:rPr>
          <w:rFonts w:ascii="Century Gothic" w:hAnsi="Century Gothic"/>
          <w:color w:val="000000"/>
        </w:rPr>
      </w:pPr>
    </w:p>
    <w:p w:rsidR="00AC5DCF" w:rsidRDefault="00AC5DCF" w:rsidP="00AC5DCF">
      <w:pPr>
        <w:ind w:left="426"/>
        <w:jc w:val="both"/>
        <w:rPr>
          <w:rFonts w:ascii="Century Gothic" w:hAnsi="Century Gothic"/>
          <w:color w:val="000000"/>
        </w:rPr>
      </w:pPr>
      <w:r w:rsidRPr="0026361E">
        <w:rPr>
          <w:rFonts w:ascii="Century Gothic" w:hAnsi="Century Gothic"/>
          <w:color w:val="000000"/>
        </w:rPr>
        <w:t xml:space="preserve">W dniu </w:t>
      </w:r>
      <w:smartTag w:uri="urn:schemas-microsoft-com:office:smarttags" w:element="date">
        <w:smartTagPr>
          <w:attr w:name="Year" w:val="2013"/>
          <w:attr w:name="Day" w:val="7"/>
          <w:attr w:name="Month" w:val="3"/>
          <w:attr w:name="ls" w:val="trans"/>
        </w:smartTagPr>
        <w:smartTag w:uri="urn:schemas-microsoft-com:office:smarttags" w:element="date">
          <w:smartTagPr>
            <w:attr w:name="ls" w:val="trans"/>
            <w:attr w:name="Month" w:val="3"/>
            <w:attr w:name="Day" w:val="7"/>
            <w:attr w:name="Year" w:val="2013"/>
          </w:smartTagPr>
          <w:r w:rsidRPr="0026361E">
            <w:rPr>
              <w:rFonts w:ascii="Century Gothic" w:hAnsi="Century Gothic"/>
              <w:color w:val="000000"/>
            </w:rPr>
            <w:t>7 marca 2013</w:t>
          </w:r>
        </w:smartTag>
        <w:r w:rsidRPr="0026361E">
          <w:rPr>
            <w:rFonts w:ascii="Century Gothic" w:hAnsi="Century Gothic"/>
            <w:color w:val="000000"/>
          </w:rPr>
          <w:t xml:space="preserve"> roku</w:t>
        </w:r>
      </w:smartTag>
      <w:r w:rsidRPr="0026361E">
        <w:rPr>
          <w:rFonts w:ascii="Century Gothic" w:hAnsi="Century Gothic"/>
          <w:color w:val="000000"/>
        </w:rPr>
        <w:t xml:space="preserve"> </w:t>
      </w:r>
      <w:proofErr w:type="spellStart"/>
      <w:r w:rsidR="00473D6E" w:rsidRPr="0026361E">
        <w:rPr>
          <w:rFonts w:ascii="Century Gothic" w:hAnsi="Century Gothic"/>
          <w:color w:val="000000"/>
        </w:rPr>
        <w:t>Skystone</w:t>
      </w:r>
      <w:proofErr w:type="spellEnd"/>
      <w:r w:rsidR="00473D6E" w:rsidRPr="0026361E">
        <w:rPr>
          <w:rFonts w:ascii="Century Gothic" w:hAnsi="Century Gothic"/>
          <w:color w:val="000000"/>
        </w:rPr>
        <w:t xml:space="preserve"> Capital</w:t>
      </w:r>
      <w:r w:rsidRPr="0026361E">
        <w:rPr>
          <w:rFonts w:ascii="Century Gothic" w:hAnsi="Century Gothic"/>
          <w:color w:val="000000"/>
        </w:rPr>
        <w:t xml:space="preserve"> SA otrzymało pożyczkę od osoby fizycznej w wysokości 200.000,00 zł. Zabezpieczenie pożyczki stanowi</w:t>
      </w:r>
      <w:r w:rsidR="0026361E">
        <w:rPr>
          <w:rFonts w:ascii="Century Gothic" w:hAnsi="Century Gothic"/>
          <w:color w:val="000000"/>
        </w:rPr>
        <w:t>ł</w:t>
      </w:r>
      <w:r w:rsidRPr="0026361E">
        <w:rPr>
          <w:rFonts w:ascii="Century Gothic" w:hAnsi="Century Gothic"/>
          <w:color w:val="000000"/>
        </w:rPr>
        <w:t xml:space="preserve"> zastaw rejestrowy na 140.000 udziałów spółki Elektrownie Wodne </w:t>
      </w:r>
      <w:proofErr w:type="spellStart"/>
      <w:r w:rsidRPr="0026361E">
        <w:rPr>
          <w:rFonts w:ascii="Century Gothic" w:hAnsi="Century Gothic"/>
          <w:color w:val="000000"/>
        </w:rPr>
        <w:t>Zeneris</w:t>
      </w:r>
      <w:proofErr w:type="spellEnd"/>
      <w:r w:rsidRPr="0026361E">
        <w:rPr>
          <w:rFonts w:ascii="Century Gothic" w:hAnsi="Century Gothic"/>
          <w:color w:val="000000"/>
        </w:rPr>
        <w:t xml:space="preserve"> Sp. z o.o.</w:t>
      </w:r>
      <w:r w:rsidR="0026361E">
        <w:rPr>
          <w:rFonts w:ascii="Century Gothic" w:hAnsi="Century Gothic"/>
          <w:color w:val="000000"/>
        </w:rPr>
        <w:t xml:space="preserve"> W dniu 7 stycznia 2014 roku, pożyczka została skompensowana z wartością przejętych przez osobę fizyczną 140.000 udziałów w Elektrowniach Wodnych </w:t>
      </w:r>
      <w:proofErr w:type="spellStart"/>
      <w:r w:rsidR="0026361E">
        <w:rPr>
          <w:rFonts w:ascii="Century Gothic" w:hAnsi="Century Gothic"/>
          <w:color w:val="000000"/>
        </w:rPr>
        <w:t>Zeneris</w:t>
      </w:r>
      <w:proofErr w:type="spellEnd"/>
      <w:r w:rsidR="0026361E">
        <w:rPr>
          <w:rFonts w:ascii="Century Gothic" w:hAnsi="Century Gothic"/>
          <w:color w:val="000000"/>
        </w:rPr>
        <w:t xml:space="preserve"> Sp. z o.o.</w:t>
      </w:r>
    </w:p>
    <w:p w:rsidR="00AC5DCF" w:rsidRDefault="00AC5DCF" w:rsidP="00AC5DCF">
      <w:pPr>
        <w:ind w:left="426"/>
        <w:jc w:val="both"/>
        <w:rPr>
          <w:rFonts w:ascii="Century Gothic" w:hAnsi="Century Gothic"/>
          <w:color w:val="000000"/>
        </w:rPr>
      </w:pPr>
    </w:p>
    <w:p w:rsidR="00ED5EEC" w:rsidRDefault="00ED5EEC" w:rsidP="00ED5EEC">
      <w:pPr>
        <w:ind w:left="426"/>
        <w:jc w:val="both"/>
        <w:rPr>
          <w:rFonts w:ascii="Century Gothic" w:hAnsi="Century Gothic" w:cs="Tahoma"/>
          <w:color w:val="000000"/>
        </w:rPr>
      </w:pPr>
      <w:r>
        <w:rPr>
          <w:rFonts w:ascii="Century Gothic" w:hAnsi="Century Gothic" w:cs="Tahoma"/>
          <w:color w:val="000000"/>
        </w:rPr>
        <w:t xml:space="preserve">W dniu </w:t>
      </w:r>
      <w:smartTag w:uri="urn:schemas-microsoft-com:office:smarttags" w:element="date">
        <w:smartTagPr>
          <w:attr w:name="Year" w:val="2013"/>
          <w:attr w:name="Day" w:val="11"/>
          <w:attr w:name="Month" w:val="03"/>
          <w:attr w:name="ls" w:val="trans"/>
        </w:smartTagPr>
        <w:r>
          <w:rPr>
            <w:rFonts w:ascii="Century Gothic" w:hAnsi="Century Gothic" w:cs="Tahoma"/>
            <w:color w:val="000000"/>
          </w:rPr>
          <w:t>11.03.2013 r.</w:t>
        </w:r>
      </w:smartTag>
      <w:r>
        <w:rPr>
          <w:rFonts w:ascii="Century Gothic" w:hAnsi="Century Gothic" w:cs="Tahoma"/>
          <w:color w:val="000000"/>
        </w:rPr>
        <w:t xml:space="preserve"> Biogaz </w:t>
      </w:r>
      <w:proofErr w:type="spellStart"/>
      <w:r>
        <w:rPr>
          <w:rFonts w:ascii="Century Gothic" w:hAnsi="Century Gothic" w:cs="Tahoma"/>
          <w:color w:val="000000"/>
        </w:rPr>
        <w:t>Zeneris</w:t>
      </w:r>
      <w:proofErr w:type="spellEnd"/>
      <w:r>
        <w:rPr>
          <w:rFonts w:ascii="Century Gothic" w:hAnsi="Century Gothic" w:cs="Tahoma"/>
          <w:color w:val="000000"/>
        </w:rPr>
        <w:t xml:space="preserve"> Sp. z o.o. zawarł umowę pożyczki na kwotę 300 tys. zł w ramach inicjatywy </w:t>
      </w:r>
      <w:proofErr w:type="spellStart"/>
      <w:r>
        <w:rPr>
          <w:rFonts w:ascii="Century Gothic" w:hAnsi="Century Gothic" w:cs="Tahoma"/>
          <w:color w:val="000000"/>
        </w:rPr>
        <w:t>Jeremie</w:t>
      </w:r>
      <w:proofErr w:type="spellEnd"/>
      <w:r>
        <w:rPr>
          <w:rFonts w:ascii="Century Gothic" w:hAnsi="Century Gothic" w:cs="Tahoma"/>
          <w:color w:val="000000"/>
        </w:rPr>
        <w:t>. Zabezpieczeniem pożyczki są:</w:t>
      </w:r>
    </w:p>
    <w:p w:rsidR="00ED5EEC" w:rsidRPr="00A41EC3" w:rsidRDefault="00ED5EEC" w:rsidP="00ED5EEC">
      <w:pPr>
        <w:ind w:left="709" w:hanging="283"/>
        <w:jc w:val="both"/>
        <w:rPr>
          <w:rFonts w:ascii="Century Gothic" w:hAnsi="Century Gothic" w:cs="Tahoma"/>
        </w:rPr>
      </w:pPr>
      <w:r>
        <w:rPr>
          <w:rFonts w:ascii="Century Gothic" w:hAnsi="Century Gothic"/>
          <w:color w:val="000000"/>
        </w:rPr>
        <w:t xml:space="preserve">- </w:t>
      </w:r>
      <w:r>
        <w:rPr>
          <w:rFonts w:ascii="Century Gothic" w:hAnsi="Century Gothic"/>
          <w:color w:val="000000"/>
        </w:rPr>
        <w:tab/>
      </w:r>
      <w:r w:rsidRPr="00A41EC3">
        <w:rPr>
          <w:rFonts w:ascii="Century Gothic" w:hAnsi="Century Gothic" w:cs="Tahoma"/>
        </w:rPr>
        <w:t>weksel in blanco z wystawienia Pożyczkobiorcy,</w:t>
      </w:r>
    </w:p>
    <w:p w:rsidR="00ED5EEC" w:rsidRPr="00A41EC3" w:rsidRDefault="00ED5EEC" w:rsidP="00ED5EEC">
      <w:pPr>
        <w:ind w:left="709" w:hanging="283"/>
        <w:jc w:val="both"/>
        <w:rPr>
          <w:rFonts w:ascii="Century Gothic" w:hAnsi="Century Gothic" w:cs="Tahoma"/>
        </w:rPr>
      </w:pPr>
      <w:r w:rsidRPr="00A41EC3">
        <w:rPr>
          <w:rFonts w:ascii="Century Gothic" w:hAnsi="Century Gothic" w:cs="Tahoma"/>
        </w:rPr>
        <w:t>-</w:t>
      </w:r>
      <w:r>
        <w:rPr>
          <w:rFonts w:ascii="Century Gothic" w:hAnsi="Century Gothic" w:cs="Tahoma"/>
        </w:rPr>
        <w:tab/>
      </w:r>
      <w:r w:rsidRPr="00A41EC3">
        <w:rPr>
          <w:rFonts w:ascii="Century Gothic" w:hAnsi="Century Gothic" w:cs="Tahoma"/>
        </w:rPr>
        <w:t xml:space="preserve">poręczenie wekslowe złożone przez </w:t>
      </w:r>
      <w:proofErr w:type="spellStart"/>
      <w:r>
        <w:rPr>
          <w:rFonts w:ascii="Century Gothic" w:hAnsi="Century Gothic" w:cs="Tahoma"/>
        </w:rPr>
        <w:t>Skystone</w:t>
      </w:r>
      <w:proofErr w:type="spellEnd"/>
      <w:r>
        <w:rPr>
          <w:rFonts w:ascii="Century Gothic" w:hAnsi="Century Gothic" w:cs="Tahoma"/>
        </w:rPr>
        <w:t xml:space="preserve"> Capital</w:t>
      </w:r>
      <w:r w:rsidRPr="00A41EC3">
        <w:rPr>
          <w:rFonts w:ascii="Century Gothic" w:hAnsi="Century Gothic" w:cs="Tahoma"/>
        </w:rPr>
        <w:t xml:space="preserve"> S.A.,</w:t>
      </w:r>
    </w:p>
    <w:p w:rsidR="00ED5EEC" w:rsidRPr="00A41EC3" w:rsidRDefault="00ED5EEC" w:rsidP="00ED5EEC">
      <w:pPr>
        <w:ind w:left="709" w:hanging="283"/>
        <w:jc w:val="both"/>
        <w:rPr>
          <w:rFonts w:ascii="Century Gothic" w:hAnsi="Century Gothic" w:cs="Tahoma"/>
        </w:rPr>
      </w:pPr>
      <w:r w:rsidRPr="00A41EC3">
        <w:rPr>
          <w:rFonts w:ascii="Century Gothic" w:hAnsi="Century Gothic" w:cs="Tahoma"/>
        </w:rPr>
        <w:t>-</w:t>
      </w:r>
      <w:r>
        <w:rPr>
          <w:rFonts w:ascii="Century Gothic" w:hAnsi="Century Gothic" w:cs="Tahoma"/>
        </w:rPr>
        <w:tab/>
      </w:r>
      <w:r w:rsidRPr="00A41EC3">
        <w:rPr>
          <w:rFonts w:ascii="Century Gothic" w:hAnsi="Century Gothic" w:cs="Tahoma"/>
        </w:rPr>
        <w:t xml:space="preserve">poręczenie spłaty pożyczki do kwoty 150 </w:t>
      </w:r>
      <w:proofErr w:type="spellStart"/>
      <w:r w:rsidRPr="00A41EC3">
        <w:rPr>
          <w:rFonts w:ascii="Century Gothic" w:hAnsi="Century Gothic" w:cs="Tahoma"/>
        </w:rPr>
        <w:t>tys</w:t>
      </w:r>
      <w:proofErr w:type="spellEnd"/>
      <w:r w:rsidRPr="00A41EC3">
        <w:rPr>
          <w:rFonts w:ascii="Century Gothic" w:hAnsi="Century Gothic" w:cs="Tahoma"/>
        </w:rPr>
        <w:t xml:space="preserve"> PLN przez </w:t>
      </w:r>
      <w:proofErr w:type="spellStart"/>
      <w:r w:rsidRPr="00A41EC3">
        <w:rPr>
          <w:rFonts w:ascii="Century Gothic" w:hAnsi="Century Gothic" w:cs="Tahoma"/>
        </w:rPr>
        <w:t>FRiPWW</w:t>
      </w:r>
      <w:proofErr w:type="spellEnd"/>
      <w:r w:rsidRPr="00A41EC3">
        <w:rPr>
          <w:rFonts w:ascii="Century Gothic" w:hAnsi="Century Gothic" w:cs="Tahoma"/>
        </w:rPr>
        <w:t xml:space="preserve"> SA</w:t>
      </w:r>
    </w:p>
    <w:p w:rsidR="00ED5EEC" w:rsidRPr="00DE7CD0" w:rsidRDefault="00ED5EEC" w:rsidP="00ED5EEC">
      <w:pPr>
        <w:ind w:left="709" w:hanging="283"/>
        <w:jc w:val="both"/>
        <w:rPr>
          <w:rFonts w:ascii="Century Gothic" w:hAnsi="Century Gothic"/>
          <w:color w:val="000000"/>
        </w:rPr>
      </w:pPr>
      <w:r w:rsidRPr="00A41EC3">
        <w:rPr>
          <w:rFonts w:ascii="Century Gothic" w:hAnsi="Century Gothic" w:cs="Tahoma"/>
        </w:rPr>
        <w:t>-</w:t>
      </w:r>
      <w:r>
        <w:rPr>
          <w:rFonts w:ascii="Century Gothic" w:hAnsi="Century Gothic" w:cs="Tahoma"/>
        </w:rPr>
        <w:tab/>
      </w:r>
      <w:r w:rsidRPr="00A41EC3">
        <w:rPr>
          <w:rFonts w:ascii="Century Gothic" w:hAnsi="Century Gothic" w:cs="Tahoma"/>
        </w:rPr>
        <w:t>hipoteka umowna do kwoty 390 tys</w:t>
      </w:r>
      <w:r w:rsidR="00E02E80">
        <w:rPr>
          <w:rFonts w:ascii="Century Gothic" w:hAnsi="Century Gothic" w:cs="Tahoma"/>
        </w:rPr>
        <w:t>.</w:t>
      </w:r>
      <w:r w:rsidRPr="00A41EC3">
        <w:rPr>
          <w:rFonts w:ascii="Century Gothic" w:hAnsi="Century Gothic" w:cs="Tahoma"/>
        </w:rPr>
        <w:t xml:space="preserve"> PLN na nieruchomości położonej w miejscowości  Mierki,</w:t>
      </w:r>
      <w:r w:rsidRPr="00DE7CD0">
        <w:rPr>
          <w:rFonts w:ascii="Century Gothic" w:hAnsi="Century Gothic"/>
          <w:color w:val="000000"/>
        </w:rPr>
        <w:t xml:space="preserve"> dla której Sąd Rejonowy w Olsztynie prowadzi KW OL1O/00070098/7</w:t>
      </w:r>
    </w:p>
    <w:p w:rsidR="00ED5EEC" w:rsidRDefault="00ED5EEC" w:rsidP="00AC5DCF">
      <w:pPr>
        <w:ind w:left="426"/>
        <w:jc w:val="both"/>
        <w:rPr>
          <w:rFonts w:ascii="Century Gothic" w:hAnsi="Century Gothic"/>
          <w:color w:val="000000"/>
        </w:rPr>
      </w:pPr>
    </w:p>
    <w:p w:rsidR="00AC5DCF" w:rsidRDefault="00AC5DCF" w:rsidP="00AC5DCF">
      <w:pPr>
        <w:ind w:left="426"/>
        <w:jc w:val="both"/>
        <w:rPr>
          <w:rFonts w:ascii="Century Gothic" w:hAnsi="Century Gothic"/>
          <w:color w:val="000000"/>
        </w:rPr>
      </w:pPr>
      <w:r>
        <w:rPr>
          <w:rFonts w:ascii="Century Gothic" w:hAnsi="Century Gothic"/>
          <w:color w:val="000000"/>
        </w:rPr>
        <w:t xml:space="preserve">W dniu </w:t>
      </w:r>
      <w:smartTag w:uri="urn:schemas-microsoft-com:office:smarttags" w:element="date">
        <w:smartTagPr>
          <w:attr w:name="Year" w:val="2013"/>
          <w:attr w:name="Day" w:val="02"/>
          <w:attr w:name="Month" w:val="7"/>
          <w:attr w:name="ls" w:val="trans"/>
        </w:smartTagPr>
        <w:smartTag w:uri="urn:schemas-microsoft-com:office:smarttags" w:element="date">
          <w:smartTagPr>
            <w:attr w:name="ls" w:val="trans"/>
            <w:attr w:name="Month" w:val="7"/>
            <w:attr w:name="Day" w:val="02"/>
            <w:attr w:name="Year" w:val="2013"/>
          </w:smartTagPr>
          <w:r>
            <w:rPr>
              <w:rFonts w:ascii="Century Gothic" w:hAnsi="Century Gothic"/>
              <w:color w:val="000000"/>
            </w:rPr>
            <w:t>02 lipca 2013</w:t>
          </w:r>
        </w:smartTag>
        <w:r>
          <w:rPr>
            <w:rFonts w:ascii="Century Gothic" w:hAnsi="Century Gothic"/>
            <w:color w:val="000000"/>
          </w:rPr>
          <w:t xml:space="preserve"> roku</w:t>
        </w:r>
      </w:smartTag>
      <w:r>
        <w:rPr>
          <w:rFonts w:ascii="Century Gothic" w:hAnsi="Century Gothic"/>
          <w:color w:val="000000"/>
        </w:rPr>
        <w:t xml:space="preserve"> Zarząd </w:t>
      </w:r>
      <w:proofErr w:type="spellStart"/>
      <w:r w:rsidR="00473D6E" w:rsidRPr="00836A46">
        <w:rPr>
          <w:rFonts w:ascii="Century Gothic" w:hAnsi="Century Gothic"/>
          <w:color w:val="000000"/>
        </w:rPr>
        <w:t>Skystone</w:t>
      </w:r>
      <w:proofErr w:type="spellEnd"/>
      <w:r w:rsidR="00473D6E" w:rsidRPr="00836A46">
        <w:rPr>
          <w:rFonts w:ascii="Century Gothic" w:hAnsi="Century Gothic"/>
          <w:color w:val="000000"/>
        </w:rPr>
        <w:t xml:space="preserve"> Capital</w:t>
      </w:r>
      <w:r w:rsidRPr="00836A46">
        <w:rPr>
          <w:rFonts w:ascii="Century Gothic" w:hAnsi="Century Gothic"/>
          <w:color w:val="000000"/>
        </w:rPr>
        <w:t xml:space="preserve"> SA</w:t>
      </w:r>
      <w:r w:rsidRPr="00D35BD1">
        <w:rPr>
          <w:rFonts w:ascii="Century Gothic" w:hAnsi="Century Gothic"/>
          <w:color w:val="000000"/>
        </w:rPr>
        <w:t xml:space="preserve"> na</w:t>
      </w:r>
      <w:r>
        <w:rPr>
          <w:rFonts w:ascii="Century Gothic" w:hAnsi="Century Gothic"/>
          <w:color w:val="000000"/>
        </w:rPr>
        <w:t xml:space="preserve"> mocy uchwały nr 1/</w:t>
      </w:r>
      <w:smartTag w:uri="urn:schemas-microsoft-com:office:smarttags" w:element="date">
        <w:smartTagPr>
          <w:attr w:name="Year" w:val="2013"/>
          <w:attr w:name="Day" w:val="07"/>
          <w:attr w:name="Month" w:val="2"/>
          <w:attr w:name="ls" w:val="trans"/>
        </w:smartTagPr>
        <w:r>
          <w:rPr>
            <w:rFonts w:ascii="Century Gothic" w:hAnsi="Century Gothic"/>
            <w:color w:val="000000"/>
          </w:rPr>
          <w:t>2/07/2013</w:t>
        </w:r>
      </w:smartTag>
      <w:r>
        <w:rPr>
          <w:rFonts w:ascii="Century Gothic" w:hAnsi="Century Gothic"/>
          <w:color w:val="000000"/>
        </w:rPr>
        <w:t xml:space="preserve"> dokonał przydziału </w:t>
      </w:r>
      <w:r>
        <w:rPr>
          <w:rFonts w:ascii="Century Gothic" w:hAnsi="Century Gothic"/>
        </w:rPr>
        <w:t>231.956</w:t>
      </w:r>
      <w:r>
        <w:rPr>
          <w:rFonts w:ascii="Century Gothic" w:hAnsi="Century Gothic"/>
          <w:color w:val="000000"/>
        </w:rPr>
        <w:t xml:space="preserve"> obligacji na okaziciela serii J, o wartości nominalnej 100,00 zł. Ich zabezpieczenie stanowią:</w:t>
      </w:r>
    </w:p>
    <w:p w:rsidR="00AC5DCF" w:rsidRDefault="00AC5DCF" w:rsidP="00AC5DCF">
      <w:pPr>
        <w:numPr>
          <w:ilvl w:val="0"/>
          <w:numId w:val="47"/>
        </w:numPr>
        <w:ind w:left="709" w:hanging="283"/>
        <w:jc w:val="both"/>
        <w:rPr>
          <w:rFonts w:ascii="Century Gothic" w:hAnsi="Century Gothic"/>
          <w:color w:val="000000"/>
        </w:rPr>
      </w:pPr>
      <w:r>
        <w:rPr>
          <w:rFonts w:ascii="Century Gothic" w:hAnsi="Century Gothic"/>
          <w:color w:val="000000"/>
        </w:rPr>
        <w:t>zastaw rejestrowy na wierzytelnościach przysługujących Emitentowi z tytułu pożyczek udzielonych OZEN Plus Sp. z o.o., których łączna wartość kapitału wynosi 38.859.804,10 zł;</w:t>
      </w:r>
    </w:p>
    <w:p w:rsidR="00AC5DCF" w:rsidRDefault="00AC5DCF" w:rsidP="00AC5DCF">
      <w:pPr>
        <w:numPr>
          <w:ilvl w:val="0"/>
          <w:numId w:val="47"/>
        </w:numPr>
        <w:ind w:left="709" w:hanging="283"/>
        <w:jc w:val="both"/>
        <w:rPr>
          <w:rFonts w:ascii="Century Gothic" w:hAnsi="Century Gothic"/>
          <w:color w:val="000000"/>
        </w:rPr>
      </w:pPr>
      <w:r>
        <w:rPr>
          <w:rFonts w:ascii="Century Gothic" w:hAnsi="Century Gothic"/>
          <w:color w:val="000000"/>
        </w:rPr>
        <w:t xml:space="preserve">zastaw rejestrowy na należących do Emitenta akcjach spółki </w:t>
      </w:r>
      <w:proofErr w:type="spellStart"/>
      <w:r>
        <w:rPr>
          <w:rFonts w:ascii="Century Gothic" w:hAnsi="Century Gothic"/>
          <w:color w:val="000000"/>
        </w:rPr>
        <w:t>Viatron</w:t>
      </w:r>
      <w:proofErr w:type="spellEnd"/>
      <w:r>
        <w:rPr>
          <w:rFonts w:ascii="Century Gothic" w:hAnsi="Century Gothic"/>
          <w:color w:val="000000"/>
        </w:rPr>
        <w:t xml:space="preserve"> S.A., o łącznej wartości według wyceny biegłego rewidenta wynoszącej 7.595.642,88 zł;</w:t>
      </w:r>
    </w:p>
    <w:p w:rsidR="00AC5DCF" w:rsidRDefault="003521C1" w:rsidP="00836A46">
      <w:pPr>
        <w:ind w:left="426"/>
        <w:jc w:val="both"/>
        <w:rPr>
          <w:rFonts w:ascii="Century Gothic" w:hAnsi="Century Gothic"/>
          <w:color w:val="000000"/>
        </w:rPr>
      </w:pPr>
      <w:r>
        <w:rPr>
          <w:rFonts w:ascii="Century Gothic" w:hAnsi="Century Gothic"/>
          <w:color w:val="000000"/>
        </w:rPr>
        <w:t>-</w:t>
      </w:r>
      <w:r>
        <w:rPr>
          <w:rFonts w:ascii="Century Gothic" w:hAnsi="Century Gothic"/>
          <w:color w:val="000000"/>
        </w:rPr>
        <w:tab/>
      </w:r>
      <w:r w:rsidR="00AC5DCF">
        <w:rPr>
          <w:rFonts w:ascii="Century Gothic" w:hAnsi="Century Gothic"/>
          <w:color w:val="000000"/>
        </w:rPr>
        <w:t>hipoteka umowna łączna do kwoty 10.400.000,00 zł na nieruchomościach gruntowych</w:t>
      </w:r>
      <w:r>
        <w:rPr>
          <w:rFonts w:ascii="Century Gothic" w:hAnsi="Century Gothic"/>
          <w:color w:val="000000"/>
        </w:rPr>
        <w:t xml:space="preserve"> </w:t>
      </w:r>
      <w:r>
        <w:rPr>
          <w:rFonts w:ascii="Century Gothic" w:hAnsi="Century Gothic"/>
          <w:color w:val="000000"/>
        </w:rPr>
        <w:tab/>
      </w:r>
      <w:r w:rsidR="00AC5DCF">
        <w:rPr>
          <w:rFonts w:ascii="Century Gothic" w:hAnsi="Century Gothic"/>
          <w:color w:val="000000"/>
        </w:rPr>
        <w:t>zabudowanych obiektem elektrociepłowni biogazowej w Skrzatuszu.</w:t>
      </w:r>
    </w:p>
    <w:p w:rsidR="00AC5DCF" w:rsidRDefault="00AC5DCF" w:rsidP="00AC5DCF">
      <w:pPr>
        <w:ind w:left="709"/>
        <w:jc w:val="both"/>
        <w:rPr>
          <w:rFonts w:ascii="Century Gothic" w:hAnsi="Century Gothic"/>
          <w:color w:val="000000"/>
        </w:rPr>
      </w:pPr>
    </w:p>
    <w:p w:rsidR="00ED5EEC" w:rsidRPr="00BC1F3F" w:rsidRDefault="00ED5EEC" w:rsidP="00ED5EEC">
      <w:pPr>
        <w:tabs>
          <w:tab w:val="left" w:pos="0"/>
        </w:tabs>
        <w:ind w:left="426"/>
        <w:jc w:val="both"/>
        <w:rPr>
          <w:rFonts w:ascii="Century Gothic" w:hAnsi="Century Gothic" w:cs="Tahoma"/>
        </w:rPr>
      </w:pPr>
      <w:r>
        <w:rPr>
          <w:rFonts w:ascii="Century Gothic" w:hAnsi="Century Gothic" w:cs="Tahoma"/>
        </w:rPr>
        <w:t>W wyniku aneksów podpisanych przez OZEN Sp. z o.o. z BPS SA,</w:t>
      </w:r>
      <w:r w:rsidRPr="00BC1F3F">
        <w:rPr>
          <w:rFonts w:ascii="Century Gothic" w:hAnsi="Century Gothic" w:cs="Tahoma"/>
        </w:rPr>
        <w:t xml:space="preserve"> ustanowiono dodatkowe zabezpieczenia kredytu w postaci:</w:t>
      </w:r>
    </w:p>
    <w:p w:rsidR="00ED5EEC" w:rsidRPr="00BC1F3F" w:rsidRDefault="00ED5EEC" w:rsidP="00ED5EEC">
      <w:pPr>
        <w:tabs>
          <w:tab w:val="left" w:pos="0"/>
        </w:tabs>
        <w:ind w:left="709" w:hanging="283"/>
        <w:jc w:val="both"/>
        <w:rPr>
          <w:rFonts w:ascii="Century Gothic" w:hAnsi="Century Gothic" w:cs="Tahoma"/>
        </w:rPr>
      </w:pPr>
      <w:r>
        <w:rPr>
          <w:rFonts w:ascii="Century Gothic" w:hAnsi="Century Gothic" w:cs="Tahoma"/>
        </w:rPr>
        <w:t>-</w:t>
      </w:r>
      <w:r>
        <w:rPr>
          <w:rFonts w:ascii="Century Gothic" w:hAnsi="Century Gothic" w:cs="Tahoma"/>
        </w:rPr>
        <w:tab/>
      </w:r>
      <w:r w:rsidRPr="00BC1F3F">
        <w:rPr>
          <w:rFonts w:ascii="Century Gothic" w:hAnsi="Century Gothic" w:cs="Tahoma"/>
        </w:rPr>
        <w:t>zastawu rejestrowego na udziałach w spółce OZEN Plus Sp. z o.o.,</w:t>
      </w:r>
    </w:p>
    <w:p w:rsidR="00ED5EEC" w:rsidRDefault="00ED5EEC" w:rsidP="00ED5EEC">
      <w:pPr>
        <w:ind w:left="709" w:hanging="283"/>
        <w:jc w:val="both"/>
        <w:rPr>
          <w:rFonts w:ascii="Century Gothic" w:hAnsi="Century Gothic" w:cs="Tahoma"/>
        </w:rPr>
      </w:pPr>
      <w:r>
        <w:rPr>
          <w:rFonts w:ascii="Century Gothic" w:hAnsi="Century Gothic" w:cs="Tahoma"/>
        </w:rPr>
        <w:t>-</w:t>
      </w:r>
      <w:r>
        <w:rPr>
          <w:rFonts w:ascii="Century Gothic" w:hAnsi="Century Gothic" w:cs="Tahoma"/>
        </w:rPr>
        <w:tab/>
      </w:r>
      <w:r w:rsidRPr="00BC1F3F">
        <w:rPr>
          <w:rFonts w:ascii="Century Gothic" w:hAnsi="Century Gothic" w:cs="Tahoma"/>
        </w:rPr>
        <w:t>zastawu rejestrowego na mieniu ruchomym przedsiębiorstwa Kredytobiorc</w:t>
      </w:r>
      <w:r>
        <w:rPr>
          <w:rFonts w:ascii="Century Gothic" w:hAnsi="Century Gothic" w:cs="Tahoma"/>
        </w:rPr>
        <w:t>y, wg pozycji B1 katalogu</w:t>
      </w:r>
      <w:r w:rsidRPr="00BC1F3F">
        <w:rPr>
          <w:rFonts w:ascii="Century Gothic" w:hAnsi="Century Gothic" w:cs="Tahoma"/>
        </w:rPr>
        <w:t xml:space="preserve"> opisu przedmiotu zastawu, zabezpieczającego wszystkie wierzytelności  Kredytobiorcy wobec Banku BPS S.A.</w:t>
      </w:r>
    </w:p>
    <w:p w:rsidR="00ED5EEC" w:rsidRDefault="00ED5EEC" w:rsidP="00ED5EEC">
      <w:pPr>
        <w:ind w:left="709" w:hanging="283"/>
        <w:jc w:val="both"/>
        <w:rPr>
          <w:rFonts w:ascii="Century Gothic" w:hAnsi="Century Gothic" w:cs="Tahoma"/>
        </w:rPr>
      </w:pPr>
      <w:r>
        <w:rPr>
          <w:rFonts w:ascii="Century Gothic" w:hAnsi="Century Gothic" w:cs="Tahoma"/>
        </w:rPr>
        <w:t>-</w:t>
      </w:r>
      <w:r>
        <w:rPr>
          <w:rFonts w:ascii="Century Gothic" w:hAnsi="Century Gothic" w:cs="Tahoma"/>
        </w:rPr>
        <w:tab/>
      </w:r>
      <w:r w:rsidRPr="00BC1F3F">
        <w:rPr>
          <w:rFonts w:ascii="Century Gothic" w:hAnsi="Century Gothic" w:cs="Tahoma"/>
        </w:rPr>
        <w:t>zwiększenia zastawu rejestrowego na udziałach w Spółce OZEN Plus Sp. z o.o. z 35.400 sztuk na 60.000 sztuk tj. dodatkowe zabezpieczenie na 24.600 sztuk udziałów.</w:t>
      </w:r>
    </w:p>
    <w:p w:rsidR="00ED5EEC" w:rsidRDefault="00ED5EEC" w:rsidP="00AC5DCF">
      <w:pPr>
        <w:ind w:left="426"/>
        <w:jc w:val="both"/>
        <w:rPr>
          <w:rFonts w:ascii="Century Gothic" w:hAnsi="Century Gothic" w:cs="Tahoma"/>
          <w:color w:val="000000"/>
        </w:rPr>
      </w:pPr>
    </w:p>
    <w:p w:rsidR="00272FE3" w:rsidRPr="00B233C1" w:rsidRDefault="00E80B8E" w:rsidP="00A64E9D">
      <w:pPr>
        <w:pStyle w:val="Nagwek2"/>
        <w:numPr>
          <w:ilvl w:val="0"/>
          <w:numId w:val="27"/>
        </w:numPr>
        <w:ind w:hanging="294"/>
        <w:jc w:val="both"/>
        <w:rPr>
          <w:rFonts w:ascii="Century Gothic" w:hAnsi="Century Gothic"/>
          <w:bCs/>
          <w:i w:val="0"/>
          <w:color w:val="0000FF"/>
          <w:sz w:val="20"/>
        </w:rPr>
      </w:pPr>
      <w:bookmarkStart w:id="158" w:name="_Toc387945923"/>
      <w:r w:rsidRPr="00B233C1">
        <w:rPr>
          <w:rFonts w:ascii="Century Gothic" w:hAnsi="Century Gothic"/>
          <w:bCs/>
          <w:i w:val="0"/>
          <w:color w:val="0000FF"/>
          <w:sz w:val="20"/>
        </w:rPr>
        <w:t>I</w:t>
      </w:r>
      <w:r w:rsidR="00D62567" w:rsidRPr="00B233C1">
        <w:rPr>
          <w:rFonts w:ascii="Century Gothic" w:hAnsi="Century Gothic"/>
          <w:bCs/>
          <w:i w:val="0"/>
          <w:color w:val="0000FF"/>
          <w:sz w:val="20"/>
        </w:rPr>
        <w:t>nformacje dotyczące wypłaconej lub zadeklarowanej dywidendy</w:t>
      </w:r>
      <w:bookmarkEnd w:id="158"/>
    </w:p>
    <w:p w:rsidR="00272FE3" w:rsidRPr="009479F2" w:rsidRDefault="00272FE3">
      <w:pPr>
        <w:autoSpaceDE w:val="0"/>
        <w:autoSpaceDN w:val="0"/>
        <w:adjustRightInd w:val="0"/>
        <w:ind w:left="426"/>
        <w:rPr>
          <w:rFonts w:ascii="Century Gothic" w:hAnsi="Century Gothic" w:cs="Tahoma"/>
        </w:rPr>
      </w:pPr>
    </w:p>
    <w:p w:rsidR="004C4671" w:rsidRPr="009479F2" w:rsidRDefault="004C4671" w:rsidP="004C4671">
      <w:pPr>
        <w:autoSpaceDE w:val="0"/>
        <w:autoSpaceDN w:val="0"/>
        <w:adjustRightInd w:val="0"/>
        <w:ind w:left="426"/>
        <w:jc w:val="both"/>
        <w:rPr>
          <w:rFonts w:ascii="Century Gothic" w:hAnsi="Century Gothic" w:cs="Tahoma"/>
        </w:rPr>
      </w:pPr>
      <w:r w:rsidRPr="009479F2">
        <w:rPr>
          <w:rFonts w:ascii="Century Gothic" w:hAnsi="Century Gothic" w:cs="Tahoma"/>
        </w:rPr>
        <w:t xml:space="preserve">W okresie objętym skonsolidowanym sprawozdaniem za </w:t>
      </w:r>
      <w:r w:rsidR="00B135DB">
        <w:rPr>
          <w:rFonts w:ascii="Century Gothic" w:hAnsi="Century Gothic" w:cs="Tahoma"/>
        </w:rPr>
        <w:t>I</w:t>
      </w:r>
      <w:r w:rsidRPr="009479F2">
        <w:rPr>
          <w:rFonts w:ascii="Century Gothic" w:hAnsi="Century Gothic" w:cs="Tahoma"/>
        </w:rPr>
        <w:t xml:space="preserve"> kwartał 20</w:t>
      </w:r>
      <w:r>
        <w:rPr>
          <w:rFonts w:ascii="Century Gothic" w:hAnsi="Century Gothic" w:cs="Tahoma"/>
        </w:rPr>
        <w:t>1</w:t>
      </w:r>
      <w:r w:rsidR="00342CCA">
        <w:rPr>
          <w:rFonts w:ascii="Century Gothic" w:hAnsi="Century Gothic" w:cs="Tahoma"/>
        </w:rPr>
        <w:t>4</w:t>
      </w:r>
      <w:r w:rsidRPr="009479F2">
        <w:rPr>
          <w:rFonts w:ascii="Century Gothic" w:hAnsi="Century Gothic" w:cs="Tahoma"/>
        </w:rPr>
        <w:t xml:space="preserve"> roku jednostka dominująca i spółki zależne nie </w:t>
      </w:r>
      <w:r>
        <w:rPr>
          <w:rFonts w:ascii="Century Gothic" w:hAnsi="Century Gothic" w:cs="Tahoma"/>
        </w:rPr>
        <w:t xml:space="preserve">wypłacały ani nie </w:t>
      </w:r>
      <w:r w:rsidRPr="009479F2">
        <w:rPr>
          <w:rFonts w:ascii="Century Gothic" w:hAnsi="Century Gothic" w:cs="Tahoma"/>
        </w:rPr>
        <w:t>deklarowały wypłaty dywidendy.</w:t>
      </w:r>
    </w:p>
    <w:p w:rsidR="006C651D" w:rsidRDefault="006C651D" w:rsidP="00A64E9D">
      <w:pPr>
        <w:pStyle w:val="Nagwek2"/>
        <w:numPr>
          <w:ilvl w:val="0"/>
          <w:numId w:val="27"/>
        </w:numPr>
        <w:ind w:hanging="294"/>
        <w:jc w:val="both"/>
        <w:rPr>
          <w:rFonts w:ascii="Century Gothic" w:hAnsi="Century Gothic"/>
          <w:bCs/>
          <w:i w:val="0"/>
          <w:color w:val="0000FF"/>
          <w:sz w:val="20"/>
        </w:rPr>
      </w:pPr>
      <w:bookmarkStart w:id="159" w:name="_Toc334177976"/>
      <w:bookmarkStart w:id="160" w:name="_Toc387945924"/>
      <w:r w:rsidRPr="00CD7301">
        <w:rPr>
          <w:rFonts w:ascii="Century Gothic" w:hAnsi="Century Gothic"/>
          <w:bCs/>
          <w:i w:val="0"/>
          <w:color w:val="0000FF"/>
          <w:sz w:val="20"/>
        </w:rPr>
        <w:t xml:space="preserve">Inne istotne wydarzenia w </w:t>
      </w:r>
      <w:r w:rsidR="00A64E9D">
        <w:rPr>
          <w:rFonts w:ascii="Century Gothic" w:hAnsi="Century Gothic"/>
          <w:bCs/>
          <w:i w:val="0"/>
          <w:color w:val="0000FF"/>
          <w:sz w:val="20"/>
        </w:rPr>
        <w:t>I kwartale 201</w:t>
      </w:r>
      <w:r w:rsidR="001A5965">
        <w:rPr>
          <w:rFonts w:ascii="Century Gothic" w:hAnsi="Century Gothic"/>
          <w:bCs/>
          <w:i w:val="0"/>
          <w:color w:val="0000FF"/>
          <w:sz w:val="20"/>
        </w:rPr>
        <w:t>4</w:t>
      </w:r>
      <w:r w:rsidR="00A64E9D">
        <w:rPr>
          <w:rFonts w:ascii="Century Gothic" w:hAnsi="Century Gothic"/>
          <w:bCs/>
          <w:i w:val="0"/>
          <w:color w:val="0000FF"/>
          <w:sz w:val="20"/>
        </w:rPr>
        <w:t xml:space="preserve"> r.</w:t>
      </w:r>
      <w:r w:rsidRPr="00CD7301">
        <w:rPr>
          <w:rFonts w:ascii="Century Gothic" w:hAnsi="Century Gothic"/>
          <w:bCs/>
          <w:i w:val="0"/>
          <w:color w:val="0000FF"/>
          <w:sz w:val="20"/>
        </w:rPr>
        <w:t xml:space="preserve"> oraz </w:t>
      </w:r>
      <w:r w:rsidR="00A64E9D">
        <w:rPr>
          <w:rFonts w:ascii="Century Gothic" w:hAnsi="Century Gothic"/>
          <w:bCs/>
          <w:i w:val="0"/>
          <w:color w:val="0000FF"/>
          <w:sz w:val="20"/>
        </w:rPr>
        <w:t>do dnia publikacji niniejszego raportu</w:t>
      </w:r>
      <w:bookmarkEnd w:id="159"/>
      <w:bookmarkEnd w:id="160"/>
    </w:p>
    <w:p w:rsidR="00096C8F" w:rsidRDefault="00096C8F" w:rsidP="009B7F15">
      <w:pPr>
        <w:pStyle w:val="Tytu"/>
        <w:ind w:left="426"/>
        <w:jc w:val="both"/>
        <w:rPr>
          <w:rFonts w:ascii="Century Gothic" w:hAnsi="Century Gothic"/>
          <w:sz w:val="20"/>
        </w:rPr>
      </w:pPr>
    </w:p>
    <w:p w:rsidR="00783046" w:rsidRDefault="004A0B18" w:rsidP="009B7F15">
      <w:pPr>
        <w:pStyle w:val="Tytu"/>
        <w:ind w:left="426"/>
        <w:jc w:val="both"/>
        <w:rPr>
          <w:rFonts w:ascii="Century Gothic" w:hAnsi="Century Gothic" w:cs="Calibri"/>
          <w:b w:val="0"/>
          <w:sz w:val="20"/>
        </w:rPr>
      </w:pPr>
      <w:r>
        <w:rPr>
          <w:rFonts w:ascii="Century Gothic" w:hAnsi="Century Gothic" w:cs="Calibri"/>
          <w:b w:val="0"/>
          <w:sz w:val="20"/>
        </w:rPr>
        <w:t xml:space="preserve">W okresie objętym sprawozdaniem oraz po dacie bilansu nie nastąpiły zdarzenia, które powinny, a nie zostały ujęte w sprawozdaniu finansowym. </w:t>
      </w:r>
    </w:p>
    <w:p w:rsidR="00A5120B" w:rsidRDefault="00A5120B" w:rsidP="009B7F15">
      <w:pPr>
        <w:pStyle w:val="Tytu"/>
        <w:ind w:left="426"/>
        <w:jc w:val="both"/>
        <w:rPr>
          <w:rFonts w:ascii="Century Gothic" w:hAnsi="Century Gothic" w:cs="Calibri"/>
          <w:b w:val="0"/>
          <w:sz w:val="20"/>
        </w:rPr>
      </w:pPr>
    </w:p>
    <w:p w:rsidR="00E30685" w:rsidRPr="00E30685" w:rsidRDefault="00A5120B" w:rsidP="00A5120B">
      <w:pPr>
        <w:ind w:left="426"/>
        <w:jc w:val="both"/>
        <w:rPr>
          <w:rFonts w:ascii="Century Gothic" w:hAnsi="Century Gothic"/>
          <w:color w:val="000000"/>
        </w:rPr>
      </w:pPr>
      <w:r w:rsidRPr="00E30685">
        <w:rPr>
          <w:rFonts w:ascii="Century Gothic" w:hAnsi="Century Gothic"/>
          <w:color w:val="000000"/>
        </w:rPr>
        <w:t xml:space="preserve">W dniu 7 </w:t>
      </w:r>
      <w:r w:rsidR="00A603C0" w:rsidRPr="00E30685">
        <w:rPr>
          <w:rFonts w:ascii="Century Gothic" w:hAnsi="Century Gothic"/>
          <w:color w:val="000000"/>
        </w:rPr>
        <w:t>stycznia</w:t>
      </w:r>
      <w:r w:rsidRPr="00E30685">
        <w:rPr>
          <w:rFonts w:ascii="Century Gothic" w:hAnsi="Century Gothic"/>
          <w:color w:val="000000"/>
        </w:rPr>
        <w:t xml:space="preserve"> 201</w:t>
      </w:r>
      <w:r w:rsidR="00A603C0" w:rsidRPr="00E30685">
        <w:rPr>
          <w:rFonts w:ascii="Century Gothic" w:hAnsi="Century Gothic"/>
          <w:color w:val="000000"/>
        </w:rPr>
        <w:t>4</w:t>
      </w:r>
      <w:r w:rsidRPr="00E30685">
        <w:rPr>
          <w:rFonts w:ascii="Century Gothic" w:hAnsi="Century Gothic"/>
          <w:color w:val="000000"/>
        </w:rPr>
        <w:t xml:space="preserve"> roku </w:t>
      </w:r>
      <w:r w:rsidR="00A603C0" w:rsidRPr="00E30685">
        <w:rPr>
          <w:rFonts w:ascii="Century Gothic" w:hAnsi="Century Gothic"/>
          <w:color w:val="000000"/>
        </w:rPr>
        <w:t xml:space="preserve">140.000 udziałów w spółce Elektrownie Wodne </w:t>
      </w:r>
      <w:proofErr w:type="spellStart"/>
      <w:r w:rsidR="00A603C0" w:rsidRPr="00E30685">
        <w:rPr>
          <w:rFonts w:ascii="Century Gothic" w:hAnsi="Century Gothic"/>
          <w:color w:val="000000"/>
        </w:rPr>
        <w:t>Zeneris</w:t>
      </w:r>
      <w:proofErr w:type="spellEnd"/>
      <w:r w:rsidR="00A603C0" w:rsidRPr="00E30685">
        <w:rPr>
          <w:rFonts w:ascii="Century Gothic" w:hAnsi="Century Gothic"/>
          <w:color w:val="000000"/>
        </w:rPr>
        <w:t xml:space="preserve"> Sp. z o.o. zostały przejęte od </w:t>
      </w:r>
      <w:proofErr w:type="spellStart"/>
      <w:r w:rsidRPr="00E30685">
        <w:rPr>
          <w:rFonts w:ascii="Century Gothic" w:hAnsi="Century Gothic"/>
          <w:color w:val="000000"/>
        </w:rPr>
        <w:t>Skystone</w:t>
      </w:r>
      <w:proofErr w:type="spellEnd"/>
      <w:r w:rsidRPr="00E30685">
        <w:rPr>
          <w:rFonts w:ascii="Century Gothic" w:hAnsi="Century Gothic"/>
          <w:color w:val="000000"/>
        </w:rPr>
        <w:t xml:space="preserve"> Capital SA </w:t>
      </w:r>
      <w:r w:rsidR="00E30685" w:rsidRPr="00E30685">
        <w:rPr>
          <w:rFonts w:ascii="Century Gothic" w:hAnsi="Century Gothic"/>
          <w:color w:val="000000"/>
        </w:rPr>
        <w:t xml:space="preserve">przez podmiot zewnętrzny </w:t>
      </w:r>
      <w:r w:rsidR="00A603C0" w:rsidRPr="00E30685">
        <w:rPr>
          <w:rFonts w:ascii="Century Gothic" w:hAnsi="Century Gothic"/>
          <w:color w:val="000000"/>
        </w:rPr>
        <w:t>z</w:t>
      </w:r>
      <w:r w:rsidR="00E30685" w:rsidRPr="00E30685">
        <w:rPr>
          <w:rFonts w:ascii="Century Gothic" w:hAnsi="Century Gothic"/>
          <w:color w:val="000000"/>
        </w:rPr>
        <w:t>a kwotę 214 tys.</w:t>
      </w:r>
      <w:r w:rsidR="00A603C0" w:rsidRPr="00E30685">
        <w:rPr>
          <w:rFonts w:ascii="Century Gothic" w:hAnsi="Century Gothic"/>
          <w:color w:val="000000"/>
        </w:rPr>
        <w:t xml:space="preserve"> zł.</w:t>
      </w:r>
      <w:r w:rsidR="00E30685">
        <w:rPr>
          <w:rFonts w:ascii="Century Gothic" w:hAnsi="Century Gothic"/>
          <w:color w:val="000000"/>
        </w:rPr>
        <w:t xml:space="preserve"> Tym samym </w:t>
      </w:r>
      <w:proofErr w:type="spellStart"/>
      <w:r w:rsidR="00E30685">
        <w:rPr>
          <w:rFonts w:ascii="Century Gothic" w:hAnsi="Century Gothic"/>
          <w:color w:val="000000"/>
        </w:rPr>
        <w:t>Skystone</w:t>
      </w:r>
      <w:proofErr w:type="spellEnd"/>
      <w:r w:rsidR="00E30685">
        <w:rPr>
          <w:rFonts w:ascii="Century Gothic" w:hAnsi="Century Gothic"/>
          <w:color w:val="000000"/>
        </w:rPr>
        <w:t xml:space="preserve"> Capital przestał być udziałowcem Elektrowni Wodnych </w:t>
      </w:r>
      <w:proofErr w:type="spellStart"/>
      <w:r w:rsidR="00E30685">
        <w:rPr>
          <w:rFonts w:ascii="Century Gothic" w:hAnsi="Century Gothic"/>
          <w:color w:val="000000"/>
        </w:rPr>
        <w:t>Zeneris</w:t>
      </w:r>
      <w:proofErr w:type="spellEnd"/>
      <w:r w:rsidR="00E30685">
        <w:rPr>
          <w:rFonts w:ascii="Century Gothic" w:hAnsi="Century Gothic"/>
          <w:color w:val="000000"/>
        </w:rPr>
        <w:t xml:space="preserve"> Sp. z o.o.</w:t>
      </w:r>
    </w:p>
    <w:p w:rsidR="00272FE3" w:rsidRPr="00B233C1" w:rsidRDefault="00272FE3" w:rsidP="00636B4B">
      <w:pPr>
        <w:pStyle w:val="Nagwek1"/>
        <w:pageBreakBefore/>
        <w:numPr>
          <w:ilvl w:val="0"/>
          <w:numId w:val="9"/>
        </w:numPr>
        <w:spacing w:before="120"/>
        <w:ind w:left="181" w:hanging="181"/>
        <w:jc w:val="both"/>
        <w:rPr>
          <w:rFonts w:ascii="Century Gothic" w:hAnsi="Century Gothic"/>
          <w:bCs/>
          <w:color w:val="0000FF"/>
          <w:sz w:val="22"/>
          <w:szCs w:val="22"/>
        </w:rPr>
      </w:pPr>
      <w:bookmarkStart w:id="161" w:name="_Toc387945925"/>
      <w:r w:rsidRPr="00B233C1">
        <w:rPr>
          <w:rFonts w:ascii="Century Gothic" w:hAnsi="Century Gothic"/>
          <w:bCs/>
          <w:color w:val="0000FF"/>
          <w:sz w:val="22"/>
          <w:szCs w:val="22"/>
        </w:rPr>
        <w:lastRenderedPageBreak/>
        <w:t xml:space="preserve">ŚRÓDROCZNE SKRÓCONE SPRAWOZDANIE FINANSOWE SPÓŁKI </w:t>
      </w:r>
      <w:r w:rsidR="00B135DB" w:rsidRPr="00BC52A0">
        <w:rPr>
          <w:rFonts w:ascii="Century Gothic" w:hAnsi="Century Gothic"/>
          <w:bCs/>
          <w:color w:val="0000FF"/>
          <w:sz w:val="22"/>
          <w:szCs w:val="22"/>
        </w:rPr>
        <w:t>Skystone Capital</w:t>
      </w:r>
      <w:r w:rsidRPr="00B233C1">
        <w:rPr>
          <w:rFonts w:ascii="Century Gothic" w:hAnsi="Century Gothic"/>
          <w:bCs/>
          <w:color w:val="0000FF"/>
          <w:sz w:val="22"/>
          <w:szCs w:val="22"/>
        </w:rPr>
        <w:t xml:space="preserve"> S.A. </w:t>
      </w:r>
      <w:r w:rsidR="00B233C1">
        <w:rPr>
          <w:rFonts w:ascii="Century Gothic" w:hAnsi="Century Gothic"/>
          <w:bCs/>
          <w:color w:val="0000FF"/>
          <w:sz w:val="22"/>
          <w:szCs w:val="22"/>
        </w:rPr>
        <w:br/>
      </w:r>
      <w:r w:rsidRPr="00B233C1">
        <w:rPr>
          <w:rFonts w:ascii="Century Gothic" w:hAnsi="Century Gothic"/>
          <w:bCs/>
          <w:color w:val="0000FF"/>
          <w:sz w:val="22"/>
          <w:szCs w:val="22"/>
        </w:rPr>
        <w:t xml:space="preserve">ZA </w:t>
      </w:r>
      <w:r w:rsidR="00B135DB">
        <w:rPr>
          <w:rFonts w:ascii="Century Gothic" w:hAnsi="Century Gothic"/>
          <w:bCs/>
          <w:color w:val="0000FF"/>
          <w:sz w:val="22"/>
          <w:szCs w:val="22"/>
        </w:rPr>
        <w:t>I</w:t>
      </w:r>
      <w:r w:rsidR="00C254C4" w:rsidRPr="00B233C1">
        <w:rPr>
          <w:rFonts w:ascii="Century Gothic" w:hAnsi="Century Gothic"/>
          <w:bCs/>
          <w:color w:val="0000FF"/>
          <w:sz w:val="22"/>
          <w:szCs w:val="22"/>
        </w:rPr>
        <w:t xml:space="preserve"> KWARTAŁ</w:t>
      </w:r>
      <w:r w:rsidRPr="00B233C1">
        <w:rPr>
          <w:rFonts w:ascii="Century Gothic" w:hAnsi="Century Gothic"/>
          <w:bCs/>
          <w:color w:val="0000FF"/>
          <w:sz w:val="22"/>
          <w:szCs w:val="22"/>
        </w:rPr>
        <w:t xml:space="preserve"> 20</w:t>
      </w:r>
      <w:r w:rsidR="003732C6">
        <w:rPr>
          <w:rFonts w:ascii="Century Gothic" w:hAnsi="Century Gothic"/>
          <w:bCs/>
          <w:color w:val="0000FF"/>
          <w:sz w:val="22"/>
          <w:szCs w:val="22"/>
        </w:rPr>
        <w:t>1</w:t>
      </w:r>
      <w:r w:rsidR="005450F4">
        <w:rPr>
          <w:rFonts w:ascii="Century Gothic" w:hAnsi="Century Gothic"/>
          <w:bCs/>
          <w:color w:val="0000FF"/>
          <w:sz w:val="22"/>
          <w:szCs w:val="22"/>
        </w:rPr>
        <w:t>4</w:t>
      </w:r>
      <w:r w:rsidRPr="00B233C1">
        <w:rPr>
          <w:rFonts w:ascii="Century Gothic" w:hAnsi="Century Gothic"/>
          <w:bCs/>
          <w:color w:val="0000FF"/>
          <w:sz w:val="22"/>
          <w:szCs w:val="22"/>
        </w:rPr>
        <w:t xml:space="preserve"> ROKU</w:t>
      </w:r>
      <w:bookmarkEnd w:id="161"/>
    </w:p>
    <w:p w:rsidR="00F23711" w:rsidRPr="000E454E" w:rsidRDefault="00FC1663" w:rsidP="000F6140">
      <w:pPr>
        <w:pStyle w:val="Nagwek2"/>
        <w:jc w:val="both"/>
        <w:rPr>
          <w:rFonts w:ascii="Century Gothic" w:hAnsi="Century Gothic"/>
          <w:bCs/>
          <w:i w:val="0"/>
          <w:color w:val="0000FF"/>
          <w:sz w:val="20"/>
        </w:rPr>
      </w:pPr>
      <w:bookmarkStart w:id="162" w:name="_Toc387945926"/>
      <w:r w:rsidRPr="000E454E">
        <w:rPr>
          <w:rFonts w:ascii="Century Gothic" w:hAnsi="Century Gothic" w:cs="Tahoma"/>
          <w:bCs/>
          <w:i w:val="0"/>
          <w:color w:val="0000FF"/>
          <w:sz w:val="20"/>
        </w:rPr>
        <w:t xml:space="preserve">SPRAWOZDANIE Z </w:t>
      </w:r>
      <w:r w:rsidR="0039637A">
        <w:rPr>
          <w:rFonts w:ascii="Century Gothic" w:hAnsi="Century Gothic" w:cs="Tahoma"/>
          <w:bCs/>
          <w:i w:val="0"/>
          <w:color w:val="0000FF"/>
          <w:sz w:val="20"/>
        </w:rPr>
        <w:t>SYTUACJI</w:t>
      </w:r>
      <w:r w:rsidRPr="000E454E">
        <w:rPr>
          <w:rFonts w:ascii="Century Gothic" w:hAnsi="Century Gothic" w:cs="Tahoma"/>
          <w:bCs/>
          <w:i w:val="0"/>
          <w:color w:val="0000FF"/>
          <w:sz w:val="20"/>
        </w:rPr>
        <w:t xml:space="preserve"> FINANSOWEJ</w:t>
      </w:r>
      <w:r w:rsidR="00B135DB">
        <w:rPr>
          <w:rFonts w:ascii="Century Gothic" w:hAnsi="Century Gothic" w:cs="Tahoma"/>
          <w:bCs/>
          <w:i w:val="0"/>
          <w:color w:val="0000FF"/>
          <w:sz w:val="20"/>
        </w:rPr>
        <w:t xml:space="preserve"> SKYSTONE CAPITAL</w:t>
      </w:r>
      <w:r w:rsidR="005450F4">
        <w:rPr>
          <w:rFonts w:ascii="Century Gothic" w:hAnsi="Century Gothic" w:cs="Tahoma"/>
          <w:bCs/>
          <w:i w:val="0"/>
          <w:color w:val="0000FF"/>
          <w:sz w:val="20"/>
        </w:rPr>
        <w:t xml:space="preserve"> SA</w:t>
      </w:r>
      <w:bookmarkEnd w:id="162"/>
    </w:p>
    <w:p w:rsidR="00832E73" w:rsidRDefault="00832E73" w:rsidP="00832E73">
      <w:pPr>
        <w:rPr>
          <w:rFonts w:ascii="Century Gothic" w:hAnsi="Century Gothic"/>
        </w:rPr>
      </w:pPr>
      <w:r w:rsidRPr="00FC335D">
        <w:rPr>
          <w:rFonts w:ascii="Century Gothic" w:hAnsi="Century Gothic"/>
        </w:rPr>
        <w:t xml:space="preserve">na dzień </w:t>
      </w:r>
      <w:r w:rsidR="00431AB0">
        <w:rPr>
          <w:rFonts w:ascii="Century Gothic" w:hAnsi="Century Gothic"/>
        </w:rPr>
        <w:t xml:space="preserve">31 </w:t>
      </w:r>
      <w:r w:rsidR="005450F4">
        <w:rPr>
          <w:rFonts w:ascii="Century Gothic" w:hAnsi="Century Gothic"/>
        </w:rPr>
        <w:t>marca</w:t>
      </w:r>
      <w:r w:rsidRPr="00FC335D">
        <w:rPr>
          <w:rFonts w:ascii="Century Gothic" w:hAnsi="Century Gothic"/>
        </w:rPr>
        <w:t xml:space="preserve"> 20</w:t>
      </w:r>
      <w:r>
        <w:rPr>
          <w:rFonts w:ascii="Century Gothic" w:hAnsi="Century Gothic"/>
        </w:rPr>
        <w:t>1</w:t>
      </w:r>
      <w:r w:rsidR="005450F4">
        <w:rPr>
          <w:rFonts w:ascii="Century Gothic" w:hAnsi="Century Gothic"/>
        </w:rPr>
        <w:t>4</w:t>
      </w:r>
      <w:r w:rsidRPr="00FC335D">
        <w:rPr>
          <w:rFonts w:ascii="Century Gothic" w:hAnsi="Century Gothic"/>
        </w:rPr>
        <w:t xml:space="preserve"> roku</w:t>
      </w:r>
    </w:p>
    <w:p w:rsidR="00636B4B" w:rsidRDefault="00636B4B" w:rsidP="00832E73">
      <w:pPr>
        <w:rPr>
          <w:rFonts w:ascii="Century Gothic" w:hAnsi="Century Gothic"/>
        </w:rPr>
      </w:pPr>
    </w:p>
    <w:p w:rsidR="00D056F7" w:rsidRPr="00636B4B" w:rsidRDefault="009826D7">
      <w:pPr>
        <w:pStyle w:val="Tytu"/>
        <w:jc w:val="both"/>
        <w:rPr>
          <w:highlight w:val="yellow"/>
        </w:rPr>
      </w:pPr>
      <w:r w:rsidRPr="009826D7">
        <w:rPr>
          <w:noProof/>
        </w:rPr>
        <w:drawing>
          <wp:inline distT="0" distB="0" distL="0" distR="0" wp14:anchorId="7DADC16E" wp14:editId="0DE2A4C8">
            <wp:extent cx="6210300" cy="7542785"/>
            <wp:effectExtent l="0" t="0" r="0" b="127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0" cy="7542785"/>
                    </a:xfrm>
                    <a:prstGeom prst="rect">
                      <a:avLst/>
                    </a:prstGeom>
                    <a:noFill/>
                    <a:ln>
                      <a:noFill/>
                    </a:ln>
                  </pic:spPr>
                </pic:pic>
              </a:graphicData>
            </a:graphic>
          </wp:inline>
        </w:drawing>
      </w:r>
    </w:p>
    <w:p w:rsidR="00E96AA5" w:rsidRDefault="00E96AA5">
      <w:pPr>
        <w:pStyle w:val="Tytu"/>
        <w:jc w:val="both"/>
        <w:rPr>
          <w:highlight w:val="yellow"/>
        </w:rPr>
      </w:pPr>
    </w:p>
    <w:p w:rsidR="00F23711" w:rsidRPr="000E454E" w:rsidRDefault="00F23711" w:rsidP="00F23711">
      <w:pPr>
        <w:pStyle w:val="Nagwek2"/>
        <w:pageBreakBefore/>
        <w:jc w:val="both"/>
        <w:rPr>
          <w:rFonts w:ascii="Century Gothic" w:hAnsi="Century Gothic"/>
          <w:bCs/>
          <w:i w:val="0"/>
          <w:color w:val="0000FF"/>
          <w:sz w:val="20"/>
        </w:rPr>
      </w:pPr>
      <w:bookmarkStart w:id="163" w:name="_Toc387945927"/>
      <w:r w:rsidRPr="000E454E">
        <w:rPr>
          <w:rFonts w:ascii="Century Gothic" w:hAnsi="Century Gothic" w:cs="Tahoma"/>
          <w:bCs/>
          <w:i w:val="0"/>
          <w:color w:val="0000FF"/>
          <w:sz w:val="20"/>
        </w:rPr>
        <w:lastRenderedPageBreak/>
        <w:t xml:space="preserve">RACHUNEK ZYSKÓW I STRAT </w:t>
      </w:r>
      <w:r w:rsidR="005450F4">
        <w:rPr>
          <w:rFonts w:ascii="Century Gothic" w:hAnsi="Century Gothic" w:cs="Tahoma"/>
          <w:bCs/>
          <w:i w:val="0"/>
          <w:color w:val="0000FF"/>
          <w:sz w:val="20"/>
        </w:rPr>
        <w:t xml:space="preserve"> I SPRAWOZDANIE Z CAŁKOWITYCH DOCHODÓW </w:t>
      </w:r>
      <w:r w:rsidR="00B135DB">
        <w:rPr>
          <w:rFonts w:ascii="Century Gothic" w:hAnsi="Century Gothic" w:cs="Tahoma"/>
          <w:bCs/>
          <w:i w:val="0"/>
          <w:color w:val="0000FF"/>
          <w:sz w:val="20"/>
        </w:rPr>
        <w:t>SKYSTONE CAPITAL</w:t>
      </w:r>
      <w:r w:rsidR="005450F4">
        <w:rPr>
          <w:rFonts w:ascii="Century Gothic" w:hAnsi="Century Gothic" w:cs="Tahoma"/>
          <w:bCs/>
          <w:i w:val="0"/>
          <w:color w:val="0000FF"/>
          <w:sz w:val="20"/>
        </w:rPr>
        <w:t xml:space="preserve"> SA</w:t>
      </w:r>
      <w:bookmarkEnd w:id="163"/>
    </w:p>
    <w:p w:rsidR="00F23711" w:rsidRDefault="00C40744" w:rsidP="00F23711">
      <w:pPr>
        <w:rPr>
          <w:rFonts w:ascii="Century Gothic" w:hAnsi="Century Gothic"/>
        </w:rPr>
      </w:pPr>
      <w:r w:rsidRPr="00FC335D">
        <w:rPr>
          <w:rFonts w:ascii="Century Gothic" w:hAnsi="Century Gothic"/>
        </w:rPr>
        <w:t>za okres od 1 stycznia 20</w:t>
      </w:r>
      <w:r>
        <w:rPr>
          <w:rFonts w:ascii="Century Gothic" w:hAnsi="Century Gothic"/>
        </w:rPr>
        <w:t>1</w:t>
      </w:r>
      <w:r w:rsidR="005450F4">
        <w:rPr>
          <w:rFonts w:ascii="Century Gothic" w:hAnsi="Century Gothic"/>
        </w:rPr>
        <w:t>4</w:t>
      </w:r>
      <w:r w:rsidRPr="00FC335D">
        <w:rPr>
          <w:rFonts w:ascii="Century Gothic" w:hAnsi="Century Gothic"/>
        </w:rPr>
        <w:t xml:space="preserve"> roku do </w:t>
      </w:r>
      <w:r w:rsidR="00431AB0">
        <w:rPr>
          <w:rFonts w:ascii="Century Gothic" w:hAnsi="Century Gothic"/>
        </w:rPr>
        <w:t xml:space="preserve">31 </w:t>
      </w:r>
      <w:r w:rsidR="005450F4">
        <w:rPr>
          <w:rFonts w:ascii="Century Gothic" w:hAnsi="Century Gothic"/>
        </w:rPr>
        <w:t>marca</w:t>
      </w:r>
      <w:r w:rsidR="00431AB0" w:rsidRPr="00FC335D">
        <w:rPr>
          <w:rFonts w:ascii="Century Gothic" w:hAnsi="Century Gothic"/>
        </w:rPr>
        <w:t xml:space="preserve"> </w:t>
      </w:r>
      <w:r w:rsidRPr="00FC335D">
        <w:rPr>
          <w:rFonts w:ascii="Century Gothic" w:hAnsi="Century Gothic"/>
        </w:rPr>
        <w:t>20</w:t>
      </w:r>
      <w:r>
        <w:rPr>
          <w:rFonts w:ascii="Century Gothic" w:hAnsi="Century Gothic"/>
        </w:rPr>
        <w:t>1</w:t>
      </w:r>
      <w:r w:rsidR="005450F4">
        <w:rPr>
          <w:rFonts w:ascii="Century Gothic" w:hAnsi="Century Gothic"/>
        </w:rPr>
        <w:t>4</w:t>
      </w:r>
      <w:r w:rsidRPr="00FC335D">
        <w:rPr>
          <w:rFonts w:ascii="Century Gothic" w:hAnsi="Century Gothic"/>
        </w:rPr>
        <w:t xml:space="preserve"> roku </w:t>
      </w:r>
    </w:p>
    <w:p w:rsidR="000B33B1" w:rsidRPr="00FC335D" w:rsidRDefault="000B33B1" w:rsidP="00F23711">
      <w:pPr>
        <w:rPr>
          <w:rFonts w:ascii="Century Gothic" w:hAnsi="Century Gothic"/>
        </w:rPr>
      </w:pPr>
    </w:p>
    <w:p w:rsidR="00272FE3" w:rsidRPr="00410C7D" w:rsidRDefault="005450F4">
      <w:pPr>
        <w:pStyle w:val="Tytu"/>
        <w:jc w:val="both"/>
      </w:pPr>
      <w:r w:rsidRPr="005450F4">
        <w:rPr>
          <w:noProof/>
        </w:rPr>
        <w:drawing>
          <wp:inline distT="0" distB="0" distL="0" distR="0" wp14:anchorId="6F68FCBA" wp14:editId="29B45705">
            <wp:extent cx="6210300" cy="7229612"/>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7229612"/>
                    </a:xfrm>
                    <a:prstGeom prst="rect">
                      <a:avLst/>
                    </a:prstGeom>
                    <a:noFill/>
                    <a:ln>
                      <a:noFill/>
                    </a:ln>
                  </pic:spPr>
                </pic:pic>
              </a:graphicData>
            </a:graphic>
          </wp:inline>
        </w:drawing>
      </w:r>
    </w:p>
    <w:p w:rsidR="002F0FAB" w:rsidRPr="000E0752" w:rsidRDefault="00125C49">
      <w:pPr>
        <w:pStyle w:val="Tytu"/>
        <w:jc w:val="both"/>
      </w:pPr>
      <w:r w:rsidRPr="00125C49">
        <w:rPr>
          <w:b w:val="0"/>
        </w:rPr>
        <w:t xml:space="preserve"> </w:t>
      </w:r>
      <w:r w:rsidR="005B2A59" w:rsidRPr="005B2A59">
        <w:rPr>
          <w:b w:val="0"/>
        </w:rPr>
        <w:t xml:space="preserve"> </w:t>
      </w:r>
      <w:r w:rsidR="00D056F7" w:rsidRPr="00AF1E4B">
        <w:rPr>
          <w:b w:val="0"/>
        </w:rPr>
        <w:t xml:space="preserve"> </w:t>
      </w:r>
      <w:r w:rsidR="000E0752" w:rsidRPr="00AF1E4B">
        <w:rPr>
          <w:b w:val="0"/>
        </w:rPr>
        <w:t xml:space="preserve"> </w:t>
      </w:r>
    </w:p>
    <w:p w:rsidR="00F23711" w:rsidRPr="000E454E" w:rsidRDefault="00FC1663" w:rsidP="00F23711">
      <w:pPr>
        <w:pStyle w:val="Nagwek2"/>
        <w:pageBreakBefore/>
        <w:jc w:val="both"/>
        <w:rPr>
          <w:rFonts w:ascii="Century Gothic" w:hAnsi="Century Gothic"/>
          <w:bCs/>
          <w:i w:val="0"/>
          <w:color w:val="0000FF"/>
          <w:sz w:val="20"/>
        </w:rPr>
      </w:pPr>
      <w:bookmarkStart w:id="164" w:name="_Toc387945928"/>
      <w:r w:rsidRPr="000E454E">
        <w:rPr>
          <w:rFonts w:ascii="Century Gothic" w:hAnsi="Century Gothic" w:cs="Tahoma"/>
          <w:bCs/>
          <w:i w:val="0"/>
          <w:color w:val="0000FF"/>
          <w:sz w:val="20"/>
        </w:rPr>
        <w:lastRenderedPageBreak/>
        <w:t xml:space="preserve">SPRAWOZDANIE Z  </w:t>
      </w:r>
      <w:r w:rsidR="00F23711" w:rsidRPr="000E454E">
        <w:rPr>
          <w:rFonts w:ascii="Century Gothic" w:hAnsi="Century Gothic" w:cs="Tahoma"/>
          <w:bCs/>
          <w:i w:val="0"/>
          <w:color w:val="0000FF"/>
          <w:sz w:val="20"/>
        </w:rPr>
        <w:t xml:space="preserve">PRZEPŁYWÓW PIENIĘŻNYCH </w:t>
      </w:r>
      <w:r w:rsidR="00B135DB">
        <w:rPr>
          <w:rFonts w:ascii="Century Gothic" w:hAnsi="Century Gothic" w:cs="Tahoma"/>
          <w:bCs/>
          <w:i w:val="0"/>
          <w:color w:val="0000FF"/>
          <w:sz w:val="20"/>
        </w:rPr>
        <w:t>SKYSTONE CAPITAL</w:t>
      </w:r>
      <w:r w:rsidR="005450F4">
        <w:rPr>
          <w:rFonts w:ascii="Century Gothic" w:hAnsi="Century Gothic" w:cs="Tahoma"/>
          <w:bCs/>
          <w:i w:val="0"/>
          <w:color w:val="0000FF"/>
          <w:sz w:val="20"/>
        </w:rPr>
        <w:t xml:space="preserve"> SA</w:t>
      </w:r>
      <w:bookmarkEnd w:id="164"/>
    </w:p>
    <w:p w:rsidR="00F23711" w:rsidRDefault="00187AF7" w:rsidP="00F23711">
      <w:pPr>
        <w:rPr>
          <w:rFonts w:ascii="Century Gothic" w:hAnsi="Century Gothic"/>
        </w:rPr>
      </w:pPr>
      <w:r w:rsidRPr="00FC335D">
        <w:rPr>
          <w:rFonts w:ascii="Century Gothic" w:hAnsi="Century Gothic"/>
        </w:rPr>
        <w:t>za okres od 1 stycznia 20</w:t>
      </w:r>
      <w:r>
        <w:rPr>
          <w:rFonts w:ascii="Century Gothic" w:hAnsi="Century Gothic"/>
        </w:rPr>
        <w:t>1</w:t>
      </w:r>
      <w:r w:rsidR="005450F4">
        <w:rPr>
          <w:rFonts w:ascii="Century Gothic" w:hAnsi="Century Gothic"/>
        </w:rPr>
        <w:t>4</w:t>
      </w:r>
      <w:r w:rsidRPr="00FC335D">
        <w:rPr>
          <w:rFonts w:ascii="Century Gothic" w:hAnsi="Century Gothic"/>
        </w:rPr>
        <w:t xml:space="preserve"> roku do </w:t>
      </w:r>
      <w:r w:rsidR="00431AB0">
        <w:rPr>
          <w:rFonts w:ascii="Century Gothic" w:hAnsi="Century Gothic"/>
        </w:rPr>
        <w:t xml:space="preserve">31 </w:t>
      </w:r>
      <w:r w:rsidR="005450F4">
        <w:rPr>
          <w:rFonts w:ascii="Century Gothic" w:hAnsi="Century Gothic"/>
        </w:rPr>
        <w:t>marca</w:t>
      </w:r>
      <w:r w:rsidR="00431AB0" w:rsidRPr="00FC335D">
        <w:rPr>
          <w:rFonts w:ascii="Century Gothic" w:hAnsi="Century Gothic"/>
        </w:rPr>
        <w:t xml:space="preserve"> </w:t>
      </w:r>
      <w:r w:rsidRPr="00FC335D">
        <w:rPr>
          <w:rFonts w:ascii="Century Gothic" w:hAnsi="Century Gothic"/>
        </w:rPr>
        <w:t>20</w:t>
      </w:r>
      <w:r>
        <w:rPr>
          <w:rFonts w:ascii="Century Gothic" w:hAnsi="Century Gothic"/>
        </w:rPr>
        <w:t>1</w:t>
      </w:r>
      <w:r w:rsidR="005450F4">
        <w:rPr>
          <w:rFonts w:ascii="Century Gothic" w:hAnsi="Century Gothic"/>
        </w:rPr>
        <w:t>4</w:t>
      </w:r>
      <w:r w:rsidRPr="00FC335D">
        <w:rPr>
          <w:rFonts w:ascii="Century Gothic" w:hAnsi="Century Gothic"/>
        </w:rPr>
        <w:t xml:space="preserve"> roku</w:t>
      </w:r>
      <w:r w:rsidR="00C40744" w:rsidRPr="00FC335D">
        <w:rPr>
          <w:rFonts w:ascii="Century Gothic" w:hAnsi="Century Gothic"/>
        </w:rPr>
        <w:t xml:space="preserve"> </w:t>
      </w:r>
    </w:p>
    <w:p w:rsidR="00B80000" w:rsidRPr="00FC335D" w:rsidRDefault="00B80000" w:rsidP="00F23711">
      <w:pPr>
        <w:rPr>
          <w:rFonts w:ascii="Century Gothic" w:hAnsi="Century Gothic"/>
        </w:rPr>
      </w:pPr>
    </w:p>
    <w:p w:rsidR="004F6F4A" w:rsidRPr="00535E08" w:rsidRDefault="005450F4">
      <w:pPr>
        <w:pStyle w:val="Tytu"/>
        <w:jc w:val="both"/>
        <w:rPr>
          <w:b w:val="0"/>
          <w:highlight w:val="yellow"/>
        </w:rPr>
      </w:pPr>
      <w:r w:rsidRPr="005450F4">
        <w:rPr>
          <w:noProof/>
        </w:rPr>
        <w:drawing>
          <wp:inline distT="0" distB="0" distL="0" distR="0">
            <wp:extent cx="5676265" cy="7108190"/>
            <wp:effectExtent l="0" t="0" r="63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265" cy="7108190"/>
                    </a:xfrm>
                    <a:prstGeom prst="rect">
                      <a:avLst/>
                    </a:prstGeom>
                    <a:noFill/>
                    <a:ln>
                      <a:noFill/>
                    </a:ln>
                  </pic:spPr>
                </pic:pic>
              </a:graphicData>
            </a:graphic>
          </wp:inline>
        </w:drawing>
      </w:r>
      <w:r w:rsidR="00125C49" w:rsidRPr="00125C49">
        <w:rPr>
          <w:b w:val="0"/>
        </w:rPr>
        <w:t xml:space="preserve"> </w:t>
      </w:r>
      <w:r w:rsidR="005B2A59" w:rsidRPr="005B2A59">
        <w:rPr>
          <w:b w:val="0"/>
        </w:rPr>
        <w:t xml:space="preserve"> </w:t>
      </w:r>
    </w:p>
    <w:p w:rsidR="00F23711" w:rsidRPr="000E454E" w:rsidRDefault="00F23711" w:rsidP="00F23711">
      <w:pPr>
        <w:pStyle w:val="Nagwek2"/>
        <w:pageBreakBefore/>
        <w:jc w:val="both"/>
        <w:rPr>
          <w:rFonts w:ascii="Century Gothic" w:hAnsi="Century Gothic"/>
          <w:bCs/>
          <w:i w:val="0"/>
          <w:color w:val="0000FF"/>
          <w:sz w:val="20"/>
        </w:rPr>
      </w:pPr>
      <w:bookmarkStart w:id="165" w:name="_Toc387945929"/>
      <w:r w:rsidRPr="000E454E">
        <w:rPr>
          <w:rFonts w:ascii="Century Gothic" w:hAnsi="Century Gothic" w:cs="Tahoma"/>
          <w:bCs/>
          <w:i w:val="0"/>
          <w:color w:val="0000FF"/>
          <w:sz w:val="20"/>
        </w:rPr>
        <w:lastRenderedPageBreak/>
        <w:t xml:space="preserve">ZESTAWIENIE ZMIAN W KAPITALE WŁASNYM </w:t>
      </w:r>
      <w:r w:rsidR="00B135DB">
        <w:rPr>
          <w:rFonts w:ascii="Century Gothic" w:hAnsi="Century Gothic" w:cs="Tahoma"/>
          <w:bCs/>
          <w:i w:val="0"/>
          <w:color w:val="0000FF"/>
          <w:sz w:val="20"/>
        </w:rPr>
        <w:t>SKYSTONE CAPITAL</w:t>
      </w:r>
      <w:r w:rsidR="005450F4">
        <w:rPr>
          <w:rFonts w:ascii="Century Gothic" w:hAnsi="Century Gothic" w:cs="Tahoma"/>
          <w:bCs/>
          <w:i w:val="0"/>
          <w:color w:val="0000FF"/>
          <w:sz w:val="20"/>
        </w:rPr>
        <w:t xml:space="preserve"> SA</w:t>
      </w:r>
      <w:bookmarkEnd w:id="165"/>
    </w:p>
    <w:p w:rsidR="00F23711" w:rsidRPr="00FC335D" w:rsidRDefault="00F23711" w:rsidP="00F23711">
      <w:pPr>
        <w:rPr>
          <w:rFonts w:ascii="Century Gothic" w:hAnsi="Century Gothic"/>
        </w:rPr>
      </w:pPr>
      <w:r w:rsidRPr="00FC335D">
        <w:rPr>
          <w:rFonts w:ascii="Century Gothic" w:hAnsi="Century Gothic"/>
        </w:rPr>
        <w:t>w okresie od 1 stycznia 20</w:t>
      </w:r>
      <w:r w:rsidR="003732C6">
        <w:rPr>
          <w:rFonts w:ascii="Century Gothic" w:hAnsi="Century Gothic"/>
        </w:rPr>
        <w:t>1</w:t>
      </w:r>
      <w:r w:rsidR="005450F4">
        <w:rPr>
          <w:rFonts w:ascii="Century Gothic" w:hAnsi="Century Gothic"/>
        </w:rPr>
        <w:t>4</w:t>
      </w:r>
      <w:r w:rsidRPr="00FC335D">
        <w:rPr>
          <w:rFonts w:ascii="Century Gothic" w:hAnsi="Century Gothic"/>
        </w:rPr>
        <w:t xml:space="preserve"> roku do </w:t>
      </w:r>
      <w:r w:rsidR="00431AB0">
        <w:rPr>
          <w:rFonts w:ascii="Century Gothic" w:hAnsi="Century Gothic"/>
        </w:rPr>
        <w:t xml:space="preserve">31 </w:t>
      </w:r>
      <w:r w:rsidR="005450F4">
        <w:rPr>
          <w:rFonts w:ascii="Century Gothic" w:hAnsi="Century Gothic"/>
        </w:rPr>
        <w:t>marca</w:t>
      </w:r>
      <w:r w:rsidR="00431AB0" w:rsidRPr="00FC335D">
        <w:rPr>
          <w:rFonts w:ascii="Century Gothic" w:hAnsi="Century Gothic"/>
        </w:rPr>
        <w:t xml:space="preserve"> </w:t>
      </w:r>
      <w:r w:rsidRPr="00FC335D">
        <w:rPr>
          <w:rFonts w:ascii="Century Gothic" w:hAnsi="Century Gothic"/>
        </w:rPr>
        <w:t>20</w:t>
      </w:r>
      <w:r w:rsidR="003732C6">
        <w:rPr>
          <w:rFonts w:ascii="Century Gothic" w:hAnsi="Century Gothic"/>
        </w:rPr>
        <w:t>1</w:t>
      </w:r>
      <w:r w:rsidR="005450F4">
        <w:rPr>
          <w:rFonts w:ascii="Century Gothic" w:hAnsi="Century Gothic"/>
        </w:rPr>
        <w:t>4</w:t>
      </w:r>
      <w:r w:rsidRPr="00FC335D">
        <w:rPr>
          <w:rFonts w:ascii="Century Gothic" w:hAnsi="Century Gothic"/>
        </w:rPr>
        <w:t xml:space="preserve"> roku </w:t>
      </w:r>
    </w:p>
    <w:p w:rsidR="00125C49" w:rsidRPr="00AF3E89" w:rsidRDefault="00D056F7">
      <w:pPr>
        <w:pStyle w:val="Tytu"/>
        <w:jc w:val="both"/>
      </w:pPr>
      <w:r w:rsidRPr="00D056F7">
        <w:rPr>
          <w:b w:val="0"/>
          <w:highlight w:val="yellow"/>
        </w:rPr>
        <w:t xml:space="preserve"> </w:t>
      </w:r>
      <w:r w:rsidR="005450F4" w:rsidRPr="005450F4">
        <w:rPr>
          <w:noProof/>
        </w:rPr>
        <w:drawing>
          <wp:inline distT="0" distB="0" distL="0" distR="0" wp14:anchorId="424C3FD1" wp14:editId="02390028">
            <wp:extent cx="6210300" cy="5006504"/>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5006504"/>
                    </a:xfrm>
                    <a:prstGeom prst="rect">
                      <a:avLst/>
                    </a:prstGeom>
                    <a:noFill/>
                    <a:ln>
                      <a:noFill/>
                    </a:ln>
                  </pic:spPr>
                </pic:pic>
              </a:graphicData>
            </a:graphic>
          </wp:inline>
        </w:drawing>
      </w:r>
    </w:p>
    <w:p w:rsidR="00D056F7" w:rsidRDefault="00D056F7">
      <w:pPr>
        <w:pStyle w:val="Tytu"/>
        <w:jc w:val="both"/>
      </w:pPr>
    </w:p>
    <w:p w:rsidR="00AF1E4B" w:rsidRDefault="00AF1E4B" w:rsidP="00AF1E4B">
      <w:pPr>
        <w:rPr>
          <w:rFonts w:ascii="Century Gothic" w:hAnsi="Century Gothic"/>
        </w:rPr>
      </w:pPr>
    </w:p>
    <w:p w:rsidR="00AF1E4B" w:rsidRDefault="00AF1E4B" w:rsidP="00AF1E4B">
      <w:pPr>
        <w:rPr>
          <w:rFonts w:ascii="Century Gothic" w:hAnsi="Century Gothic"/>
        </w:rPr>
      </w:pPr>
    </w:p>
    <w:p w:rsidR="00FC335D" w:rsidRPr="000E454E" w:rsidRDefault="00FC335D" w:rsidP="000F6140">
      <w:pPr>
        <w:pStyle w:val="Nagwek2"/>
        <w:pageBreakBefore/>
        <w:jc w:val="both"/>
        <w:rPr>
          <w:rFonts w:ascii="Century Gothic" w:hAnsi="Century Gothic"/>
          <w:bCs/>
          <w:i w:val="0"/>
          <w:color w:val="0000FF"/>
          <w:sz w:val="20"/>
        </w:rPr>
      </w:pPr>
      <w:bookmarkStart w:id="166" w:name="_Toc228763521"/>
      <w:bookmarkStart w:id="167" w:name="_Toc387945930"/>
      <w:r w:rsidRPr="000E454E">
        <w:rPr>
          <w:rFonts w:ascii="Century Gothic" w:hAnsi="Century Gothic"/>
          <w:bCs/>
          <w:i w:val="0"/>
          <w:color w:val="0000FF"/>
          <w:sz w:val="20"/>
        </w:rPr>
        <w:lastRenderedPageBreak/>
        <w:t>PORTFEL INWESTYCYJNY</w:t>
      </w:r>
      <w:bookmarkEnd w:id="166"/>
      <w:bookmarkEnd w:id="167"/>
    </w:p>
    <w:p w:rsidR="00FC335D" w:rsidRDefault="00FC335D" w:rsidP="00FC335D"/>
    <w:p w:rsidR="00FC335D" w:rsidRPr="000E454E" w:rsidRDefault="00FC335D" w:rsidP="00FC335D">
      <w:pPr>
        <w:rPr>
          <w:rFonts w:ascii="Century Gothic" w:hAnsi="Century Gothic"/>
          <w:b/>
          <w:color w:val="0000FF"/>
        </w:rPr>
      </w:pPr>
      <w:r w:rsidRPr="000E454E">
        <w:rPr>
          <w:rFonts w:ascii="Century Gothic" w:hAnsi="Century Gothic"/>
          <w:b/>
          <w:color w:val="0000FF"/>
        </w:rPr>
        <w:t>Zmiana wartości bilansowej składników portfela inwestycyjnego</w:t>
      </w:r>
    </w:p>
    <w:p w:rsidR="00040D18" w:rsidRDefault="00187AF7" w:rsidP="00040D18">
      <w:pPr>
        <w:rPr>
          <w:rFonts w:ascii="Century Gothic" w:hAnsi="Century Gothic"/>
        </w:rPr>
      </w:pPr>
      <w:r w:rsidRPr="00FC335D">
        <w:rPr>
          <w:rFonts w:ascii="Century Gothic" w:hAnsi="Century Gothic"/>
        </w:rPr>
        <w:t>w okresie od 1 stycznia 20</w:t>
      </w:r>
      <w:r>
        <w:rPr>
          <w:rFonts w:ascii="Century Gothic" w:hAnsi="Century Gothic"/>
        </w:rPr>
        <w:t>1</w:t>
      </w:r>
      <w:r w:rsidR="005450F4">
        <w:rPr>
          <w:rFonts w:ascii="Century Gothic" w:hAnsi="Century Gothic"/>
        </w:rPr>
        <w:t>4</w:t>
      </w:r>
      <w:r w:rsidRPr="00FC335D">
        <w:rPr>
          <w:rFonts w:ascii="Century Gothic" w:hAnsi="Century Gothic"/>
        </w:rPr>
        <w:t xml:space="preserve"> roku do </w:t>
      </w:r>
      <w:r w:rsidR="00431AB0">
        <w:rPr>
          <w:rFonts w:ascii="Century Gothic" w:hAnsi="Century Gothic"/>
        </w:rPr>
        <w:t xml:space="preserve">31 </w:t>
      </w:r>
      <w:r w:rsidR="005450F4">
        <w:rPr>
          <w:rFonts w:ascii="Century Gothic" w:hAnsi="Century Gothic"/>
        </w:rPr>
        <w:t>marca</w:t>
      </w:r>
      <w:r w:rsidR="00431AB0" w:rsidRPr="00FC335D">
        <w:rPr>
          <w:rFonts w:ascii="Century Gothic" w:hAnsi="Century Gothic"/>
        </w:rPr>
        <w:t xml:space="preserve"> </w:t>
      </w:r>
      <w:r w:rsidRPr="00FC335D">
        <w:rPr>
          <w:rFonts w:ascii="Century Gothic" w:hAnsi="Century Gothic"/>
        </w:rPr>
        <w:t>20</w:t>
      </w:r>
      <w:r>
        <w:rPr>
          <w:rFonts w:ascii="Century Gothic" w:hAnsi="Century Gothic"/>
        </w:rPr>
        <w:t>1</w:t>
      </w:r>
      <w:r w:rsidR="005450F4">
        <w:rPr>
          <w:rFonts w:ascii="Century Gothic" w:hAnsi="Century Gothic"/>
        </w:rPr>
        <w:t>4</w:t>
      </w:r>
      <w:r w:rsidRPr="00FC335D">
        <w:rPr>
          <w:rFonts w:ascii="Century Gothic" w:hAnsi="Century Gothic"/>
        </w:rPr>
        <w:t xml:space="preserve"> roku</w:t>
      </w:r>
      <w:r w:rsidR="00040D18" w:rsidRPr="00FC335D">
        <w:rPr>
          <w:rFonts w:ascii="Century Gothic" w:hAnsi="Century Gothic"/>
        </w:rPr>
        <w:t xml:space="preserve"> </w:t>
      </w:r>
    </w:p>
    <w:p w:rsidR="0075383A" w:rsidRDefault="0075383A" w:rsidP="00040D18">
      <w:pPr>
        <w:rPr>
          <w:rFonts w:ascii="Century Gothic" w:hAnsi="Century Gothic"/>
        </w:rPr>
      </w:pPr>
    </w:p>
    <w:p w:rsidR="005450F4" w:rsidRPr="00FC335D" w:rsidRDefault="005450F4" w:rsidP="00040D18">
      <w:pPr>
        <w:rPr>
          <w:rFonts w:ascii="Century Gothic" w:hAnsi="Century Gothic"/>
        </w:rPr>
      </w:pPr>
    </w:p>
    <w:p w:rsidR="00FC335D" w:rsidRPr="00AF3E89" w:rsidRDefault="009826D7" w:rsidP="00FC335D">
      <w:pPr>
        <w:pStyle w:val="Tytu"/>
        <w:jc w:val="both"/>
      </w:pPr>
      <w:r w:rsidRPr="009826D7">
        <w:rPr>
          <w:noProof/>
        </w:rPr>
        <w:drawing>
          <wp:inline distT="0" distB="0" distL="0" distR="0">
            <wp:extent cx="5909095" cy="2148874"/>
            <wp:effectExtent l="0" t="0" r="0" b="381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9545" cy="2149037"/>
                    </a:xfrm>
                    <a:prstGeom prst="rect">
                      <a:avLst/>
                    </a:prstGeom>
                    <a:noFill/>
                    <a:ln>
                      <a:noFill/>
                    </a:ln>
                  </pic:spPr>
                </pic:pic>
              </a:graphicData>
            </a:graphic>
          </wp:inline>
        </w:drawing>
      </w:r>
    </w:p>
    <w:p w:rsidR="00FC335D" w:rsidRDefault="00FC335D" w:rsidP="00FC335D">
      <w:pPr>
        <w:rPr>
          <w:rFonts w:ascii="Century Gothic" w:hAnsi="Century Gothic"/>
          <w:b/>
          <w:color w:val="0000FF"/>
          <w:sz w:val="22"/>
          <w:szCs w:val="22"/>
        </w:rPr>
      </w:pPr>
    </w:p>
    <w:p w:rsidR="0075383A" w:rsidRDefault="0075383A" w:rsidP="00FC335D">
      <w:pPr>
        <w:rPr>
          <w:rFonts w:ascii="Century Gothic" w:hAnsi="Century Gothic"/>
          <w:b/>
          <w:color w:val="0000FF"/>
        </w:rPr>
      </w:pPr>
    </w:p>
    <w:p w:rsidR="0075383A" w:rsidRDefault="0075383A" w:rsidP="00FC335D">
      <w:pPr>
        <w:rPr>
          <w:rFonts w:ascii="Century Gothic" w:hAnsi="Century Gothic"/>
          <w:b/>
          <w:color w:val="0000FF"/>
        </w:rPr>
      </w:pPr>
    </w:p>
    <w:p w:rsidR="00FC335D" w:rsidRDefault="00FC335D" w:rsidP="00FC335D">
      <w:pPr>
        <w:rPr>
          <w:rFonts w:ascii="Century Gothic" w:hAnsi="Century Gothic"/>
          <w:b/>
          <w:color w:val="0000FF"/>
        </w:rPr>
      </w:pPr>
      <w:r w:rsidRPr="000E454E">
        <w:rPr>
          <w:rFonts w:ascii="Century Gothic" w:hAnsi="Century Gothic"/>
          <w:b/>
          <w:color w:val="0000FF"/>
        </w:rPr>
        <w:t>Zbywalność składników portfela inwestycyjnego</w:t>
      </w:r>
    </w:p>
    <w:p w:rsidR="005450F4" w:rsidRDefault="005450F4" w:rsidP="00FC335D">
      <w:pPr>
        <w:rPr>
          <w:rFonts w:ascii="Century Gothic" w:hAnsi="Century Gothic"/>
          <w:b/>
          <w:color w:val="0000FF"/>
        </w:rPr>
      </w:pPr>
    </w:p>
    <w:p w:rsidR="00FC335D" w:rsidRPr="0000272F" w:rsidRDefault="009826D7" w:rsidP="00FC335D">
      <w:pPr>
        <w:pStyle w:val="Tytu"/>
        <w:jc w:val="both"/>
      </w:pPr>
      <w:bookmarkStart w:id="168" w:name="_GoBack"/>
      <w:r w:rsidRPr="009826D7">
        <w:rPr>
          <w:noProof/>
        </w:rPr>
        <w:drawing>
          <wp:inline distT="0" distB="0" distL="0" distR="0" wp14:anchorId="34FD269C" wp14:editId="6EBEF4BA">
            <wp:extent cx="5884906" cy="3502324"/>
            <wp:effectExtent l="0" t="0" r="190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1079" cy="3505998"/>
                    </a:xfrm>
                    <a:prstGeom prst="rect">
                      <a:avLst/>
                    </a:prstGeom>
                    <a:noFill/>
                    <a:ln>
                      <a:noFill/>
                    </a:ln>
                  </pic:spPr>
                </pic:pic>
              </a:graphicData>
            </a:graphic>
          </wp:inline>
        </w:drawing>
      </w:r>
      <w:bookmarkEnd w:id="168"/>
    </w:p>
    <w:p w:rsidR="002F0FAB" w:rsidRDefault="002F0FAB"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75383A" w:rsidRDefault="0075383A" w:rsidP="00FC335D">
      <w:pPr>
        <w:pStyle w:val="Tytu"/>
        <w:jc w:val="both"/>
        <w:rPr>
          <w:highlight w:val="yellow"/>
        </w:rPr>
      </w:pPr>
    </w:p>
    <w:p w:rsidR="006D384A" w:rsidRDefault="006D384A" w:rsidP="00FC335D">
      <w:pPr>
        <w:pStyle w:val="Tytu"/>
        <w:jc w:val="both"/>
        <w:rPr>
          <w:highlight w:val="yellow"/>
        </w:rPr>
      </w:pPr>
    </w:p>
    <w:p w:rsidR="00D232F6" w:rsidRPr="000E454E" w:rsidRDefault="00D232F6" w:rsidP="00D232F6">
      <w:pPr>
        <w:rPr>
          <w:rFonts w:ascii="Century Gothic" w:hAnsi="Century Gothic"/>
          <w:b/>
          <w:color w:val="0000FF"/>
        </w:rPr>
      </w:pPr>
      <w:r w:rsidRPr="000E0752">
        <w:rPr>
          <w:rFonts w:ascii="Century Gothic" w:hAnsi="Century Gothic"/>
          <w:b/>
          <w:color w:val="0000FF"/>
        </w:rPr>
        <w:lastRenderedPageBreak/>
        <w:t>Udziały mniejszościowe</w:t>
      </w:r>
    </w:p>
    <w:p w:rsidR="00040D18" w:rsidRDefault="00040D18" w:rsidP="00040D18">
      <w:pPr>
        <w:rPr>
          <w:rFonts w:ascii="Century Gothic" w:hAnsi="Century Gothic"/>
        </w:rPr>
      </w:pPr>
      <w:r w:rsidRPr="00FC335D">
        <w:rPr>
          <w:rFonts w:ascii="Century Gothic" w:hAnsi="Century Gothic"/>
        </w:rPr>
        <w:t xml:space="preserve">na dzień </w:t>
      </w:r>
      <w:r w:rsidR="00431AB0">
        <w:rPr>
          <w:rFonts w:ascii="Century Gothic" w:hAnsi="Century Gothic"/>
        </w:rPr>
        <w:t xml:space="preserve">31 </w:t>
      </w:r>
      <w:r w:rsidR="009826D7">
        <w:rPr>
          <w:rFonts w:ascii="Century Gothic" w:hAnsi="Century Gothic"/>
        </w:rPr>
        <w:t>marca</w:t>
      </w:r>
      <w:r w:rsidR="00431AB0" w:rsidRPr="00FC335D">
        <w:rPr>
          <w:rFonts w:ascii="Century Gothic" w:hAnsi="Century Gothic"/>
        </w:rPr>
        <w:t xml:space="preserve"> </w:t>
      </w:r>
      <w:r w:rsidRPr="00FC335D">
        <w:rPr>
          <w:rFonts w:ascii="Century Gothic" w:hAnsi="Century Gothic"/>
        </w:rPr>
        <w:t>20</w:t>
      </w:r>
      <w:r>
        <w:rPr>
          <w:rFonts w:ascii="Century Gothic" w:hAnsi="Century Gothic"/>
        </w:rPr>
        <w:t>1</w:t>
      </w:r>
      <w:r w:rsidR="009826D7">
        <w:rPr>
          <w:rFonts w:ascii="Century Gothic" w:hAnsi="Century Gothic"/>
        </w:rPr>
        <w:t>4</w:t>
      </w:r>
      <w:r w:rsidRPr="00FC335D">
        <w:rPr>
          <w:rFonts w:ascii="Century Gothic" w:hAnsi="Century Gothic"/>
        </w:rPr>
        <w:t xml:space="preserve"> roku</w:t>
      </w:r>
    </w:p>
    <w:p w:rsidR="0075383A" w:rsidRDefault="0075383A" w:rsidP="00040D18">
      <w:pPr>
        <w:rPr>
          <w:rFonts w:ascii="Century Gothic" w:hAnsi="Century Gothic"/>
        </w:rPr>
      </w:pPr>
    </w:p>
    <w:p w:rsidR="00FC335D" w:rsidRPr="00AF3E89" w:rsidRDefault="009826D7" w:rsidP="00FC335D">
      <w:pPr>
        <w:pStyle w:val="Tytu"/>
        <w:jc w:val="both"/>
      </w:pPr>
      <w:r w:rsidRPr="009826D7">
        <w:rPr>
          <w:noProof/>
        </w:rPr>
        <w:drawing>
          <wp:inline distT="0" distB="0" distL="0" distR="0" wp14:anchorId="136CEACB" wp14:editId="547818E7">
            <wp:extent cx="6064370" cy="2072859"/>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6202" cy="2073485"/>
                    </a:xfrm>
                    <a:prstGeom prst="rect">
                      <a:avLst/>
                    </a:prstGeom>
                    <a:noFill/>
                    <a:ln>
                      <a:noFill/>
                    </a:ln>
                  </pic:spPr>
                </pic:pic>
              </a:graphicData>
            </a:graphic>
          </wp:inline>
        </w:drawing>
      </w:r>
    </w:p>
    <w:p w:rsidR="009826D7" w:rsidRDefault="009826D7" w:rsidP="00FC335D">
      <w:pPr>
        <w:rPr>
          <w:rFonts w:ascii="Century Gothic" w:hAnsi="Century Gothic"/>
          <w:b/>
          <w:color w:val="0000FF"/>
        </w:rPr>
      </w:pPr>
    </w:p>
    <w:p w:rsidR="00FC335D" w:rsidRPr="000E454E" w:rsidRDefault="00FC335D" w:rsidP="00FC335D">
      <w:pPr>
        <w:rPr>
          <w:rFonts w:ascii="Century Gothic" w:hAnsi="Century Gothic"/>
          <w:b/>
          <w:color w:val="0000FF"/>
        </w:rPr>
      </w:pPr>
      <w:r w:rsidRPr="000E454E">
        <w:rPr>
          <w:rFonts w:ascii="Century Gothic" w:hAnsi="Century Gothic"/>
          <w:b/>
          <w:color w:val="0000FF"/>
        </w:rPr>
        <w:t>Akcje i udziały w jednostkach zależnych i stowarzyszonych</w:t>
      </w:r>
    </w:p>
    <w:p w:rsidR="006D384A" w:rsidRDefault="00187AF7" w:rsidP="00040D18">
      <w:pPr>
        <w:rPr>
          <w:rFonts w:ascii="Century Gothic" w:hAnsi="Century Gothic"/>
        </w:rPr>
      </w:pPr>
      <w:r w:rsidRPr="00FC335D">
        <w:rPr>
          <w:rFonts w:ascii="Century Gothic" w:hAnsi="Century Gothic"/>
        </w:rPr>
        <w:t xml:space="preserve">na dzień </w:t>
      </w:r>
      <w:r w:rsidR="00431AB0">
        <w:rPr>
          <w:rFonts w:ascii="Century Gothic" w:hAnsi="Century Gothic"/>
        </w:rPr>
        <w:t xml:space="preserve">31 </w:t>
      </w:r>
      <w:r w:rsidR="009826D7">
        <w:rPr>
          <w:rFonts w:ascii="Century Gothic" w:hAnsi="Century Gothic"/>
        </w:rPr>
        <w:t>marca</w:t>
      </w:r>
      <w:r w:rsidR="00431AB0" w:rsidRPr="00FC335D">
        <w:rPr>
          <w:rFonts w:ascii="Century Gothic" w:hAnsi="Century Gothic"/>
        </w:rPr>
        <w:t xml:space="preserve"> </w:t>
      </w:r>
      <w:r w:rsidRPr="00FC335D">
        <w:rPr>
          <w:rFonts w:ascii="Century Gothic" w:hAnsi="Century Gothic"/>
        </w:rPr>
        <w:t>20</w:t>
      </w:r>
      <w:r>
        <w:rPr>
          <w:rFonts w:ascii="Century Gothic" w:hAnsi="Century Gothic"/>
        </w:rPr>
        <w:t>1</w:t>
      </w:r>
      <w:r w:rsidR="009826D7">
        <w:rPr>
          <w:rFonts w:ascii="Century Gothic" w:hAnsi="Century Gothic"/>
        </w:rPr>
        <w:t>4</w:t>
      </w:r>
      <w:r w:rsidRPr="00FC335D">
        <w:rPr>
          <w:rFonts w:ascii="Century Gothic" w:hAnsi="Century Gothic"/>
        </w:rPr>
        <w:t xml:space="preserve"> roku</w:t>
      </w:r>
    </w:p>
    <w:p w:rsidR="00FC335D" w:rsidRPr="002240A7" w:rsidRDefault="00FC335D" w:rsidP="00FC335D">
      <w:pPr>
        <w:rPr>
          <w:highlight w:val="yellow"/>
        </w:rPr>
      </w:pPr>
    </w:p>
    <w:p w:rsidR="00FC335D" w:rsidRPr="00B36BE0" w:rsidRDefault="009826D7" w:rsidP="00FC335D">
      <w:pPr>
        <w:pStyle w:val="Tytu"/>
        <w:jc w:val="both"/>
      </w:pPr>
      <w:r w:rsidRPr="009826D7">
        <w:rPr>
          <w:noProof/>
        </w:rPr>
        <w:drawing>
          <wp:inline distT="0" distB="0" distL="0" distR="0" wp14:anchorId="46E6A56D" wp14:editId="196517F9">
            <wp:extent cx="5927079" cy="5011947"/>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6393" cy="5011367"/>
                    </a:xfrm>
                    <a:prstGeom prst="rect">
                      <a:avLst/>
                    </a:prstGeom>
                    <a:noFill/>
                    <a:ln>
                      <a:noFill/>
                    </a:ln>
                  </pic:spPr>
                </pic:pic>
              </a:graphicData>
            </a:graphic>
          </wp:inline>
        </w:drawing>
      </w:r>
    </w:p>
    <w:p w:rsidR="00501747" w:rsidRPr="00832E73" w:rsidRDefault="00666553" w:rsidP="00FC335D">
      <w:pPr>
        <w:pStyle w:val="Tytu"/>
        <w:jc w:val="both"/>
      </w:pPr>
      <w:r w:rsidRPr="00666553">
        <w:rPr>
          <w:b w:val="0"/>
          <w:highlight w:val="yellow"/>
        </w:rPr>
        <w:t xml:space="preserve"> </w:t>
      </w:r>
    </w:p>
    <w:p w:rsidR="00FC335D" w:rsidRDefault="00FC335D" w:rsidP="00FC335D">
      <w:pPr>
        <w:pStyle w:val="Tytu"/>
        <w:jc w:val="both"/>
      </w:pPr>
    </w:p>
    <w:p w:rsidR="00F24E05" w:rsidRDefault="00F24E05">
      <w:pPr>
        <w:pStyle w:val="Tytu"/>
        <w:jc w:val="both"/>
        <w:rPr>
          <w:rFonts w:ascii="Century Gothic" w:hAnsi="Century Gothic"/>
          <w:sz w:val="20"/>
          <w:highlight w:val="yellow"/>
        </w:rPr>
      </w:pPr>
    </w:p>
    <w:p w:rsidR="00CF0B27" w:rsidRDefault="00CF0B27">
      <w:pPr>
        <w:pStyle w:val="Tytu"/>
        <w:jc w:val="both"/>
        <w:rPr>
          <w:rFonts w:ascii="Century Gothic" w:hAnsi="Century Gothic"/>
          <w:sz w:val="20"/>
          <w:highlight w:val="yellow"/>
        </w:rPr>
      </w:pPr>
    </w:p>
    <w:p w:rsidR="00F24E05" w:rsidRPr="00497692" w:rsidRDefault="00D8334E" w:rsidP="00497692">
      <w:pPr>
        <w:pStyle w:val="Nagwek1"/>
        <w:pageBreakBefore/>
        <w:ind w:left="0"/>
        <w:jc w:val="both"/>
        <w:rPr>
          <w:rFonts w:ascii="Century Gothic" w:hAnsi="Century Gothic"/>
          <w:bCs/>
          <w:color w:val="0000FF"/>
          <w:sz w:val="22"/>
          <w:szCs w:val="22"/>
        </w:rPr>
      </w:pPr>
      <w:bookmarkStart w:id="169" w:name="_Toc387945931"/>
      <w:r w:rsidRPr="00497692">
        <w:rPr>
          <w:rFonts w:ascii="Century Gothic" w:hAnsi="Century Gothic"/>
          <w:bCs/>
          <w:color w:val="0000FF"/>
          <w:sz w:val="22"/>
          <w:szCs w:val="22"/>
        </w:rPr>
        <w:lastRenderedPageBreak/>
        <w:t>PODPISY</w:t>
      </w:r>
      <w:bookmarkEnd w:id="169"/>
    </w:p>
    <w:p w:rsidR="00F24E05" w:rsidRPr="009479F2" w:rsidRDefault="00F24E05">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r w:rsidRPr="009479F2">
        <w:rPr>
          <w:rFonts w:ascii="Century Gothic" w:hAnsi="Century Gothic"/>
          <w:sz w:val="20"/>
        </w:rPr>
        <w:t>Podpisy wszystkich Członków Zarządu</w:t>
      </w: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1418F8" w:rsidRDefault="001418F8">
      <w:pPr>
        <w:ind w:left="426"/>
        <w:jc w:val="both"/>
        <w:rPr>
          <w:rFonts w:ascii="Century Gothic" w:hAnsi="Century Gothic" w:cs="Tahoma"/>
        </w:rPr>
      </w:pPr>
      <w:smartTag w:uri="urn:schemas-microsoft-com:office:smarttags" w:element="PersonName">
        <w:smartTagPr>
          <w:attr w:name="ProductID" w:val="Piotr Kardach"/>
        </w:smartTagPr>
        <w:r w:rsidRPr="001418F8">
          <w:rPr>
            <w:rFonts w:ascii="Century Gothic" w:hAnsi="Century Gothic" w:cs="Tahoma"/>
          </w:rPr>
          <w:t>Piotr Kardach</w:t>
        </w:r>
      </w:smartTag>
      <w:r w:rsidR="00272FE3" w:rsidRPr="001418F8">
        <w:rPr>
          <w:rFonts w:ascii="Century Gothic" w:hAnsi="Century Gothic" w:cs="Tahoma"/>
        </w:rPr>
        <w:t xml:space="preserve"> – Prezes Zarządu</w:t>
      </w:r>
      <w:r w:rsidR="00272FE3" w:rsidRPr="001418F8">
        <w:rPr>
          <w:rFonts w:ascii="Century Gothic" w:hAnsi="Century Gothic" w:cs="Tahoma"/>
        </w:rPr>
        <w:tab/>
      </w:r>
      <w:r w:rsidR="00272FE3" w:rsidRPr="001418F8">
        <w:rPr>
          <w:rFonts w:ascii="Century Gothic" w:hAnsi="Century Gothic" w:cs="Tahoma"/>
        </w:rPr>
        <w:tab/>
      </w:r>
      <w:r w:rsidR="00272FE3" w:rsidRPr="001418F8">
        <w:rPr>
          <w:rFonts w:ascii="Century Gothic" w:hAnsi="Century Gothic" w:cs="Tahoma"/>
        </w:rPr>
        <w:tab/>
      </w:r>
      <w:r w:rsidR="00272FE3" w:rsidRPr="001418F8">
        <w:rPr>
          <w:rFonts w:ascii="Century Gothic" w:hAnsi="Century Gothic" w:cs="Tahoma"/>
        </w:rPr>
        <w:tab/>
      </w:r>
      <w:r w:rsidR="00272FE3" w:rsidRPr="001418F8">
        <w:rPr>
          <w:rFonts w:ascii="Century Gothic" w:hAnsi="Century Gothic" w:cs="Tahoma"/>
        </w:rPr>
        <w:tab/>
      </w:r>
      <w:r w:rsidRPr="001418F8">
        <w:rPr>
          <w:rFonts w:ascii="Century Gothic" w:hAnsi="Century Gothic" w:cs="Tahoma"/>
        </w:rPr>
        <w:tab/>
      </w:r>
      <w:r w:rsidR="00272FE3" w:rsidRPr="001418F8">
        <w:rPr>
          <w:rFonts w:ascii="Century Gothic" w:hAnsi="Century Gothic" w:cs="Tahoma"/>
        </w:rPr>
        <w:t>………………………….</w:t>
      </w:r>
    </w:p>
    <w:p w:rsidR="00272FE3" w:rsidRPr="001418F8" w:rsidRDefault="00272FE3">
      <w:pPr>
        <w:ind w:left="426"/>
        <w:jc w:val="both"/>
        <w:rPr>
          <w:rFonts w:ascii="Century Gothic" w:hAnsi="Century Gothic" w:cs="Tahoma"/>
        </w:rPr>
      </w:pPr>
    </w:p>
    <w:p w:rsidR="00272FE3" w:rsidRPr="001418F8" w:rsidRDefault="00272FE3">
      <w:pPr>
        <w:ind w:left="426"/>
        <w:jc w:val="both"/>
        <w:rPr>
          <w:rFonts w:ascii="Century Gothic" w:hAnsi="Century Gothic" w:cs="Tahoma"/>
        </w:rPr>
      </w:pPr>
    </w:p>
    <w:p w:rsidR="00272FE3" w:rsidRPr="001418F8" w:rsidRDefault="001418F8">
      <w:pPr>
        <w:ind w:left="426"/>
        <w:jc w:val="both"/>
        <w:rPr>
          <w:rFonts w:ascii="Century Gothic" w:hAnsi="Century Gothic" w:cs="Tahoma"/>
        </w:rPr>
      </w:pPr>
      <w:r w:rsidRPr="001418F8">
        <w:rPr>
          <w:rFonts w:ascii="Century Gothic" w:hAnsi="Century Gothic" w:cs="Tahoma"/>
        </w:rPr>
        <w:t>Andrzej Marciniak</w:t>
      </w:r>
      <w:r w:rsidR="00272FE3" w:rsidRPr="001418F8">
        <w:rPr>
          <w:rFonts w:ascii="Century Gothic" w:hAnsi="Century Gothic" w:cs="Tahoma"/>
        </w:rPr>
        <w:t xml:space="preserve"> – Wiceprezes Zarządu</w:t>
      </w:r>
      <w:r w:rsidR="00272FE3" w:rsidRPr="001418F8">
        <w:rPr>
          <w:rFonts w:ascii="Century Gothic" w:hAnsi="Century Gothic" w:cs="Tahoma"/>
        </w:rPr>
        <w:tab/>
      </w:r>
      <w:r w:rsidR="00272FE3" w:rsidRPr="001418F8">
        <w:rPr>
          <w:rFonts w:ascii="Century Gothic" w:hAnsi="Century Gothic" w:cs="Tahoma"/>
        </w:rPr>
        <w:tab/>
      </w:r>
      <w:r w:rsidR="00272FE3" w:rsidRPr="001418F8">
        <w:rPr>
          <w:rFonts w:ascii="Century Gothic" w:hAnsi="Century Gothic" w:cs="Tahoma"/>
        </w:rPr>
        <w:tab/>
      </w:r>
      <w:r w:rsidR="00272FE3" w:rsidRPr="001418F8">
        <w:rPr>
          <w:rFonts w:ascii="Century Gothic" w:hAnsi="Century Gothic" w:cs="Tahoma"/>
        </w:rPr>
        <w:tab/>
        <w:t>………………………….</w:t>
      </w:r>
    </w:p>
    <w:p w:rsidR="00272FE3" w:rsidRPr="001418F8" w:rsidRDefault="00272FE3">
      <w:pPr>
        <w:pStyle w:val="Tekstpodstawowywcity3"/>
        <w:ind w:hanging="141"/>
        <w:rPr>
          <w:rFonts w:ascii="Century Gothic" w:hAnsi="Century Gothic" w:cs="Tahoma"/>
          <w:sz w:val="20"/>
        </w:rPr>
      </w:pPr>
    </w:p>
    <w:p w:rsidR="00272FE3" w:rsidRPr="001418F8" w:rsidRDefault="00272FE3">
      <w:pPr>
        <w:pStyle w:val="Tekstpodstawowywcity3"/>
        <w:ind w:hanging="141"/>
        <w:rPr>
          <w:rFonts w:ascii="Century Gothic" w:hAnsi="Century Gothic" w:cs="Tahoma"/>
          <w:sz w:val="20"/>
        </w:rPr>
      </w:pPr>
    </w:p>
    <w:p w:rsidR="00272FE3" w:rsidRPr="009479F2" w:rsidRDefault="00272FE3">
      <w:pPr>
        <w:pStyle w:val="Tekstpodstawowywcity3"/>
        <w:ind w:hanging="141"/>
        <w:rPr>
          <w:rFonts w:ascii="Century Gothic" w:hAnsi="Century Gothic" w:cs="Tahoma"/>
          <w:sz w:val="20"/>
        </w:rPr>
      </w:pPr>
    </w:p>
    <w:p w:rsidR="00272FE3" w:rsidRPr="009479F2" w:rsidRDefault="00272FE3">
      <w:pPr>
        <w:pStyle w:val="Tekstpodstawowywcity3"/>
        <w:ind w:hanging="141"/>
        <w:rPr>
          <w:rFonts w:ascii="Century Gothic" w:hAnsi="Century Gothic" w:cs="Tahoma"/>
          <w:sz w:val="20"/>
        </w:rPr>
      </w:pP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r w:rsidRPr="009479F2">
        <w:rPr>
          <w:rFonts w:ascii="Century Gothic" w:hAnsi="Century Gothic"/>
          <w:sz w:val="20"/>
        </w:rPr>
        <w:t>Podpis osoby odpowiedzialnej za sporządzenie sprawozdania</w:t>
      </w: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sz w:val="20"/>
        </w:rPr>
      </w:pPr>
    </w:p>
    <w:p w:rsidR="00272FE3" w:rsidRPr="009479F2" w:rsidRDefault="00272FE3">
      <w:pPr>
        <w:pStyle w:val="Tytu"/>
        <w:ind w:firstLine="426"/>
        <w:jc w:val="both"/>
        <w:rPr>
          <w:rFonts w:ascii="Century Gothic" w:hAnsi="Century Gothic"/>
          <w:sz w:val="20"/>
        </w:rPr>
      </w:pPr>
      <w:r w:rsidRPr="009479F2">
        <w:rPr>
          <w:rFonts w:ascii="Century Gothic" w:hAnsi="Century Gothic"/>
          <w:b w:val="0"/>
          <w:sz w:val="20"/>
        </w:rPr>
        <w:t>Magdalena Bartkowiak –</w:t>
      </w:r>
      <w:r w:rsidR="009568EE" w:rsidRPr="009479F2">
        <w:rPr>
          <w:rFonts w:ascii="Century Gothic" w:hAnsi="Century Gothic"/>
          <w:b w:val="0"/>
          <w:sz w:val="20"/>
        </w:rPr>
        <w:t xml:space="preserve"> </w:t>
      </w:r>
      <w:r w:rsidRPr="009479F2">
        <w:rPr>
          <w:rFonts w:ascii="Century Gothic" w:hAnsi="Century Gothic"/>
          <w:b w:val="0"/>
          <w:sz w:val="20"/>
        </w:rPr>
        <w:t>Główn</w:t>
      </w:r>
      <w:r w:rsidR="004C352F" w:rsidRPr="009479F2">
        <w:rPr>
          <w:rFonts w:ascii="Century Gothic" w:hAnsi="Century Gothic"/>
          <w:b w:val="0"/>
          <w:sz w:val="20"/>
        </w:rPr>
        <w:t>y</w:t>
      </w:r>
      <w:r w:rsidRPr="009479F2">
        <w:rPr>
          <w:rFonts w:ascii="Century Gothic" w:hAnsi="Century Gothic"/>
          <w:b w:val="0"/>
          <w:sz w:val="20"/>
        </w:rPr>
        <w:t xml:space="preserve"> Księgow</w:t>
      </w:r>
      <w:r w:rsidR="004C352F" w:rsidRPr="009479F2">
        <w:rPr>
          <w:rFonts w:ascii="Century Gothic" w:hAnsi="Century Gothic"/>
          <w:b w:val="0"/>
          <w:sz w:val="20"/>
        </w:rPr>
        <w:t xml:space="preserve">y  </w:t>
      </w:r>
      <w:r w:rsidR="004C352F" w:rsidRPr="009479F2">
        <w:rPr>
          <w:rFonts w:ascii="Century Gothic" w:hAnsi="Century Gothic"/>
          <w:b w:val="0"/>
          <w:sz w:val="20"/>
        </w:rPr>
        <w:tab/>
      </w:r>
      <w:r w:rsidR="004C352F" w:rsidRPr="009479F2">
        <w:rPr>
          <w:rFonts w:ascii="Century Gothic" w:hAnsi="Century Gothic"/>
          <w:b w:val="0"/>
          <w:sz w:val="20"/>
        </w:rPr>
        <w:tab/>
      </w:r>
      <w:r w:rsidRPr="009479F2">
        <w:rPr>
          <w:rFonts w:ascii="Century Gothic" w:hAnsi="Century Gothic"/>
          <w:sz w:val="20"/>
        </w:rPr>
        <w:tab/>
      </w:r>
      <w:r w:rsidR="001621CB">
        <w:rPr>
          <w:rFonts w:ascii="Century Gothic" w:hAnsi="Century Gothic"/>
          <w:sz w:val="20"/>
        </w:rPr>
        <w:tab/>
      </w:r>
      <w:r w:rsidRPr="009479F2">
        <w:rPr>
          <w:rFonts w:ascii="Century Gothic" w:hAnsi="Century Gothic" w:cs="Tahoma"/>
          <w:sz w:val="20"/>
        </w:rPr>
        <w:t>………………………….</w:t>
      </w:r>
    </w:p>
    <w:p w:rsidR="00272FE3" w:rsidRPr="009479F2" w:rsidRDefault="00272FE3">
      <w:pPr>
        <w:pStyle w:val="Tytu"/>
        <w:jc w:val="both"/>
        <w:rPr>
          <w:rFonts w:ascii="Century Gothic" w:hAnsi="Century Gothic"/>
          <w:sz w:val="20"/>
        </w:rPr>
      </w:pPr>
    </w:p>
    <w:p w:rsidR="00272FE3" w:rsidRPr="009479F2" w:rsidRDefault="00272FE3">
      <w:pPr>
        <w:pStyle w:val="Tytu"/>
        <w:jc w:val="both"/>
        <w:rPr>
          <w:rFonts w:ascii="Century Gothic" w:hAnsi="Century Gothic"/>
          <w:b w:val="0"/>
          <w:i/>
          <w:sz w:val="20"/>
        </w:rPr>
      </w:pPr>
    </w:p>
    <w:p w:rsidR="00272FE3" w:rsidRPr="009479F2" w:rsidRDefault="00272FE3">
      <w:pPr>
        <w:pStyle w:val="Tytu"/>
        <w:jc w:val="both"/>
        <w:rPr>
          <w:rFonts w:ascii="Century Gothic" w:hAnsi="Century Gothic"/>
          <w:sz w:val="20"/>
        </w:rPr>
      </w:pPr>
      <w:r w:rsidRPr="000E0752">
        <w:rPr>
          <w:rFonts w:ascii="Century Gothic" w:hAnsi="Century Gothic"/>
          <w:b w:val="0"/>
          <w:i/>
          <w:sz w:val="20"/>
        </w:rPr>
        <w:t xml:space="preserve">Poznań, </w:t>
      </w:r>
      <w:r w:rsidR="004F6F4A" w:rsidRPr="000E0752">
        <w:rPr>
          <w:rFonts w:ascii="Century Gothic" w:hAnsi="Century Gothic"/>
          <w:b w:val="0"/>
          <w:i/>
          <w:sz w:val="20"/>
        </w:rPr>
        <w:t>dnia</w:t>
      </w:r>
      <w:r w:rsidR="00BF5E11">
        <w:rPr>
          <w:rFonts w:ascii="Century Gothic" w:hAnsi="Century Gothic"/>
          <w:b w:val="0"/>
          <w:i/>
          <w:sz w:val="20"/>
        </w:rPr>
        <w:t xml:space="preserve"> </w:t>
      </w:r>
      <w:r w:rsidR="009826D7">
        <w:rPr>
          <w:rFonts w:ascii="Century Gothic" w:hAnsi="Century Gothic"/>
          <w:b w:val="0"/>
          <w:i/>
          <w:sz w:val="20"/>
        </w:rPr>
        <w:t>15 maja</w:t>
      </w:r>
      <w:r w:rsidR="00BF5E11">
        <w:rPr>
          <w:rFonts w:ascii="Century Gothic" w:hAnsi="Century Gothic"/>
          <w:b w:val="0"/>
          <w:i/>
          <w:sz w:val="20"/>
        </w:rPr>
        <w:t xml:space="preserve"> </w:t>
      </w:r>
      <w:r w:rsidR="004F6F4A" w:rsidRPr="000E0752">
        <w:rPr>
          <w:rFonts w:ascii="Century Gothic" w:hAnsi="Century Gothic"/>
          <w:b w:val="0"/>
          <w:i/>
          <w:sz w:val="20"/>
        </w:rPr>
        <w:t>20</w:t>
      </w:r>
      <w:r w:rsidR="003E10AF" w:rsidRPr="000E0752">
        <w:rPr>
          <w:rFonts w:ascii="Century Gothic" w:hAnsi="Century Gothic"/>
          <w:b w:val="0"/>
          <w:i/>
          <w:sz w:val="20"/>
        </w:rPr>
        <w:t>1</w:t>
      </w:r>
      <w:r w:rsidR="00431AB0">
        <w:rPr>
          <w:rFonts w:ascii="Century Gothic" w:hAnsi="Century Gothic"/>
          <w:b w:val="0"/>
          <w:i/>
          <w:sz w:val="20"/>
        </w:rPr>
        <w:t>4</w:t>
      </w:r>
      <w:r w:rsidR="006E5DDA" w:rsidRPr="000E0752">
        <w:rPr>
          <w:rFonts w:ascii="Century Gothic" w:hAnsi="Century Gothic"/>
          <w:b w:val="0"/>
          <w:i/>
          <w:sz w:val="20"/>
        </w:rPr>
        <w:t xml:space="preserve"> r.</w:t>
      </w:r>
    </w:p>
    <w:p w:rsidR="00272FE3" w:rsidRPr="009479F2" w:rsidRDefault="00272FE3" w:rsidP="005D3B23">
      <w:pPr>
        <w:pStyle w:val="Tytu"/>
        <w:jc w:val="both"/>
        <w:rPr>
          <w:sz w:val="20"/>
        </w:rPr>
      </w:pPr>
    </w:p>
    <w:sectPr w:rsidR="00272FE3" w:rsidRPr="009479F2" w:rsidSect="00F8370D">
      <w:headerReference w:type="default" r:id="rId40"/>
      <w:footerReference w:type="default" r:id="rId41"/>
      <w:pgSz w:w="11906" w:h="16838" w:code="9"/>
      <w:pgMar w:top="851" w:right="992" w:bottom="851" w:left="1134" w:header="227"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AF" w:rsidRDefault="004A4FAF">
      <w:r>
        <w:separator/>
      </w:r>
    </w:p>
  </w:endnote>
  <w:endnote w:type="continuationSeparator" w:id="0">
    <w:p w:rsidR="004A4FAF" w:rsidRDefault="004A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Comic Sans MS">
    <w:panose1 w:val="030F0702030302020204"/>
    <w:charset w:val="EE"/>
    <w:family w:val="script"/>
    <w:pitch w:val="variable"/>
    <w:sig w:usb0="00000287" w:usb1="40000013"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CellMar>
        <w:left w:w="70" w:type="dxa"/>
        <w:right w:w="70" w:type="dxa"/>
      </w:tblCellMar>
      <w:tblLook w:val="0000" w:firstRow="0" w:lastRow="0" w:firstColumn="0" w:lastColumn="0" w:noHBand="0" w:noVBand="0"/>
    </w:tblPr>
    <w:tblGrid>
      <w:gridCol w:w="9920"/>
    </w:tblGrid>
    <w:tr w:rsidR="004A4FAF" w:rsidTr="003754D5">
      <w:tc>
        <w:tcPr>
          <w:tcW w:w="9920" w:type="dxa"/>
          <w:tcBorders>
            <w:top w:val="nil"/>
            <w:bottom w:val="single" w:sz="4" w:space="0" w:color="auto"/>
          </w:tcBorders>
        </w:tcPr>
        <w:p w:rsidR="004A4FAF" w:rsidRDefault="004A4FAF">
          <w:pPr>
            <w:pStyle w:val="Stopka"/>
            <w:ind w:right="360"/>
            <w:rPr>
              <w:rFonts w:ascii="Century Gothic" w:hAnsi="Century Gothic"/>
              <w:i/>
              <w:iCs/>
              <w:sz w:val="18"/>
            </w:rPr>
          </w:pPr>
        </w:p>
      </w:tc>
    </w:tr>
  </w:tbl>
  <w:p w:rsidR="004A4FAF" w:rsidRDefault="004A4FAF">
    <w:pPr>
      <w:pStyle w:val="Stopka"/>
      <w:ind w:right="360"/>
      <w:rPr>
        <w:rFonts w:ascii="Century Gothic" w:hAnsi="Century Gothic"/>
      </w:rPr>
    </w:pPr>
    <w:r>
      <w:rPr>
        <w:rStyle w:val="Numerstrony"/>
        <w:rFonts w:ascii="Century Gothic" w:hAnsi="Century Gothic"/>
      </w:rPr>
      <w:tab/>
    </w:r>
    <w:r>
      <w:rPr>
        <w:rStyle w:val="Numerstrony"/>
        <w:rFonts w:ascii="Century Gothic" w:hAnsi="Century Gothic"/>
      </w:rPr>
      <w:tab/>
    </w:r>
    <w:r>
      <w:rPr>
        <w:rStyle w:val="Numerstrony"/>
        <w:rFonts w:ascii="Century Gothic" w:hAnsi="Century Gothic"/>
      </w:rPr>
      <w:fldChar w:fldCharType="begin"/>
    </w:r>
    <w:r>
      <w:rPr>
        <w:rStyle w:val="Numerstrony"/>
        <w:rFonts w:ascii="Century Gothic" w:hAnsi="Century Gothic"/>
      </w:rPr>
      <w:instrText xml:space="preserve"> PAGE </w:instrText>
    </w:r>
    <w:r>
      <w:rPr>
        <w:rStyle w:val="Numerstrony"/>
        <w:rFonts w:ascii="Century Gothic" w:hAnsi="Century Gothic"/>
      </w:rPr>
      <w:fldChar w:fldCharType="separate"/>
    </w:r>
    <w:r w:rsidR="00182211">
      <w:rPr>
        <w:rStyle w:val="Numerstrony"/>
        <w:rFonts w:ascii="Century Gothic" w:hAnsi="Century Gothic"/>
        <w:noProof/>
      </w:rPr>
      <w:t>47</w:t>
    </w:r>
    <w:r>
      <w:rPr>
        <w:rStyle w:val="Numerstrony"/>
        <w:rFonts w:ascii="Century Gothic" w:hAnsi="Century Gothic"/>
      </w:rPr>
      <w:fldChar w:fldCharType="end"/>
    </w:r>
    <w:r>
      <w:rPr>
        <w:rStyle w:val="Numerstrony"/>
        <w:rFonts w:ascii="Century Gothic" w:hAnsi="Century Gothic"/>
      </w:rPr>
      <w:t>/</w:t>
    </w:r>
    <w:r>
      <w:rPr>
        <w:rStyle w:val="Numerstrony"/>
        <w:rFonts w:ascii="Century Gothic" w:hAnsi="Century Gothic"/>
      </w:rPr>
      <w:fldChar w:fldCharType="begin"/>
    </w:r>
    <w:r>
      <w:rPr>
        <w:rStyle w:val="Numerstrony"/>
        <w:rFonts w:ascii="Century Gothic" w:hAnsi="Century Gothic"/>
      </w:rPr>
      <w:instrText xml:space="preserve"> NUMPAGES </w:instrText>
    </w:r>
    <w:r>
      <w:rPr>
        <w:rStyle w:val="Numerstrony"/>
        <w:rFonts w:ascii="Century Gothic" w:hAnsi="Century Gothic"/>
      </w:rPr>
      <w:fldChar w:fldCharType="separate"/>
    </w:r>
    <w:r w:rsidR="00182211">
      <w:rPr>
        <w:rStyle w:val="Numerstrony"/>
        <w:rFonts w:ascii="Century Gothic" w:hAnsi="Century Gothic"/>
        <w:noProof/>
      </w:rPr>
      <w:t>49</w:t>
    </w:r>
    <w:r>
      <w:rPr>
        <w:rStyle w:val="Numerstrony"/>
        <w:rFonts w:ascii="Century Gothic" w:hAnsi="Century Gothic"/>
      </w:rPr>
      <w:fldChar w:fldCharType="end"/>
    </w:r>
    <w:r>
      <w:rPr>
        <w:rFonts w:ascii="Century Gothic" w:hAnsi="Century Gothic"/>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AF" w:rsidRDefault="004A4FAF">
      <w:r>
        <w:separator/>
      </w:r>
    </w:p>
  </w:footnote>
  <w:footnote w:type="continuationSeparator" w:id="0">
    <w:p w:rsidR="004A4FAF" w:rsidRDefault="004A4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F" w:rsidRPr="00874B66" w:rsidRDefault="004A4FAF" w:rsidP="007D3003">
    <w:pPr>
      <w:pStyle w:val="Nagwek"/>
      <w:rPr>
        <w:rFonts w:ascii="Tahoma" w:hAnsi="Tahoma" w:cs="Tahoma"/>
        <w:b/>
        <w:bCs/>
      </w:rPr>
    </w:pPr>
    <w:r w:rsidRPr="00874B66">
      <w:rPr>
        <w:rFonts w:ascii="Tahoma" w:hAnsi="Tahoma" w:cs="Tahoma"/>
        <w:b/>
        <w:bCs/>
      </w:rPr>
      <w:t xml:space="preserve">Grupa Kapitałowa </w:t>
    </w:r>
    <w:proofErr w:type="spellStart"/>
    <w:r>
      <w:rPr>
        <w:rFonts w:ascii="Tahoma" w:hAnsi="Tahoma" w:cs="Tahoma"/>
        <w:b/>
        <w:bCs/>
      </w:rPr>
      <w:t>Skystone</w:t>
    </w:r>
    <w:proofErr w:type="spellEnd"/>
    <w:r>
      <w:rPr>
        <w:rFonts w:ascii="Tahoma" w:hAnsi="Tahoma" w:cs="Tahoma"/>
        <w:b/>
        <w:bCs/>
      </w:rPr>
      <w:t xml:space="preserve"> Capital</w:t>
    </w:r>
    <w:r w:rsidRPr="00874B66">
      <w:rPr>
        <w:rFonts w:ascii="Tahoma" w:hAnsi="Tahoma" w:cs="Tahoma"/>
        <w:b/>
        <w:bCs/>
      </w:rPr>
      <w:t xml:space="preserve"> S.A.</w:t>
    </w:r>
    <w:r w:rsidRPr="00874B66">
      <w:rPr>
        <w:rFonts w:ascii="Tahoma" w:hAnsi="Tahoma" w:cs="Tahoma"/>
        <w:b/>
        <w:bCs/>
      </w:rPr>
      <w:tab/>
    </w:r>
  </w:p>
  <w:tbl>
    <w:tblPr>
      <w:tblW w:w="0" w:type="auto"/>
      <w:tblBorders>
        <w:bottom w:val="single" w:sz="4" w:space="0" w:color="auto"/>
      </w:tblBorders>
      <w:tblCellMar>
        <w:left w:w="70" w:type="dxa"/>
        <w:right w:w="70" w:type="dxa"/>
      </w:tblCellMar>
      <w:tblLook w:val="0000" w:firstRow="0" w:lastRow="0" w:firstColumn="0" w:lastColumn="0" w:noHBand="0" w:noVBand="0"/>
    </w:tblPr>
    <w:tblGrid>
      <w:gridCol w:w="9920"/>
    </w:tblGrid>
    <w:tr w:rsidR="004A4FAF" w:rsidTr="00BB43F6">
      <w:trPr>
        <w:trHeight w:val="470"/>
      </w:trPr>
      <w:tc>
        <w:tcPr>
          <w:tcW w:w="9921" w:type="dxa"/>
        </w:tcPr>
        <w:p w:rsidR="004A4FAF" w:rsidRPr="00874B66" w:rsidRDefault="004A4FAF" w:rsidP="00BB43F6">
          <w:pPr>
            <w:pStyle w:val="Nagwek"/>
            <w:rPr>
              <w:rFonts w:ascii="Century Gothic" w:hAnsi="Century Gothic"/>
              <w:i/>
              <w:sz w:val="18"/>
              <w:szCs w:val="18"/>
            </w:rPr>
          </w:pPr>
          <w:r w:rsidRPr="00874B66">
            <w:rPr>
              <w:rFonts w:ascii="Tahoma" w:hAnsi="Tahoma" w:cs="Tahoma"/>
              <w:sz w:val="18"/>
              <w:szCs w:val="18"/>
            </w:rPr>
            <w:t xml:space="preserve">Śródroczne skonsolidowane sprawozdanie finansowe za </w:t>
          </w:r>
          <w:r>
            <w:rPr>
              <w:rFonts w:ascii="Tahoma" w:hAnsi="Tahoma" w:cs="Tahoma"/>
              <w:sz w:val="18"/>
              <w:szCs w:val="18"/>
            </w:rPr>
            <w:t>I kwartał</w:t>
          </w:r>
          <w:r w:rsidRPr="00874B66">
            <w:rPr>
              <w:rFonts w:ascii="Tahoma" w:hAnsi="Tahoma" w:cs="Tahoma"/>
              <w:sz w:val="18"/>
              <w:szCs w:val="18"/>
            </w:rPr>
            <w:t xml:space="preserve"> 20</w:t>
          </w:r>
          <w:r>
            <w:rPr>
              <w:rFonts w:ascii="Tahoma" w:hAnsi="Tahoma" w:cs="Tahoma"/>
              <w:sz w:val="18"/>
              <w:szCs w:val="18"/>
            </w:rPr>
            <w:t>14</w:t>
          </w:r>
          <w:r w:rsidRPr="00874B66">
            <w:rPr>
              <w:rFonts w:ascii="Tahoma" w:hAnsi="Tahoma" w:cs="Tahoma"/>
              <w:sz w:val="18"/>
              <w:szCs w:val="18"/>
            </w:rPr>
            <w:t xml:space="preserve"> roku</w:t>
          </w:r>
          <w:r w:rsidRPr="00874B66">
            <w:rPr>
              <w:rFonts w:ascii="Century Gothic" w:hAnsi="Century Gothic"/>
              <w:i/>
              <w:sz w:val="18"/>
              <w:szCs w:val="18"/>
            </w:rPr>
            <w:t xml:space="preserve"> </w:t>
          </w:r>
        </w:p>
        <w:p w:rsidR="004A4FAF" w:rsidRDefault="004A4FAF" w:rsidP="00BB43F6">
          <w:pPr>
            <w:pStyle w:val="Nagwek"/>
          </w:pPr>
          <w:r w:rsidRPr="00874B66">
            <w:rPr>
              <w:rFonts w:ascii="Century Gothic" w:hAnsi="Century Gothic"/>
              <w:i/>
              <w:sz w:val="18"/>
              <w:szCs w:val="18"/>
            </w:rPr>
            <w:t>(wszystkie kwoty wyrażone są w tysiącach złotych polskich, o ile nie wskazano inaczej)</w:t>
          </w:r>
        </w:p>
      </w:tc>
    </w:tr>
  </w:tbl>
  <w:p w:rsidR="004A4FAF" w:rsidRDefault="004A4FA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5C8BF46"/>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510814CC"/>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0BF4293"/>
    <w:multiLevelType w:val="multilevel"/>
    <w:tmpl w:val="6A9C8090"/>
    <w:lvl w:ilvl="0">
      <w:start w:val="8"/>
      <w:numFmt w:val="decimal"/>
      <w:lvlText w:val="%1."/>
      <w:lvlJc w:val="left"/>
      <w:pPr>
        <w:tabs>
          <w:tab w:val="num" w:pos="450"/>
        </w:tabs>
        <w:ind w:left="450" w:hanging="450"/>
      </w:pPr>
      <w:rPr>
        <w:rFonts w:hint="default"/>
      </w:rPr>
    </w:lvl>
    <w:lvl w:ilvl="1">
      <w:start w:val="1"/>
      <w:numFmt w:val="decimal"/>
      <w:lvlText w:val="6.%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
    <w:nsid w:val="01D626D5"/>
    <w:multiLevelType w:val="hybridMultilevel"/>
    <w:tmpl w:val="D908C2B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026A47F4"/>
    <w:multiLevelType w:val="hybridMultilevel"/>
    <w:tmpl w:val="4D3689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6A3F7C"/>
    <w:multiLevelType w:val="hybridMultilevel"/>
    <w:tmpl w:val="1DE6760C"/>
    <w:lvl w:ilvl="0" w:tplc="472276DE">
      <w:start w:val="1"/>
      <w:numFmt w:val="upperRoman"/>
      <w:lvlText w:val="%1."/>
      <w:lvlJc w:val="right"/>
      <w:pPr>
        <w:tabs>
          <w:tab w:val="num" w:pos="180"/>
        </w:tabs>
        <w:ind w:left="180" w:hanging="18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nsid w:val="06AC1AC6"/>
    <w:multiLevelType w:val="hybridMultilevel"/>
    <w:tmpl w:val="C45C85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887036"/>
    <w:multiLevelType w:val="hybridMultilevel"/>
    <w:tmpl w:val="0ED46234"/>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
    <w:nsid w:val="0CF84289"/>
    <w:multiLevelType w:val="hybridMultilevel"/>
    <w:tmpl w:val="E6FE4014"/>
    <w:lvl w:ilvl="0" w:tplc="04150005">
      <w:start w:val="1"/>
      <w:numFmt w:val="bullet"/>
      <w:lvlText w:val=""/>
      <w:lvlJc w:val="left"/>
      <w:pPr>
        <w:ind w:left="2717" w:hanging="360"/>
      </w:pPr>
      <w:rPr>
        <w:rFonts w:ascii="Wingdings" w:hAnsi="Wingdings" w:hint="default"/>
      </w:rPr>
    </w:lvl>
    <w:lvl w:ilvl="1" w:tplc="04150003">
      <w:start w:val="1"/>
      <w:numFmt w:val="bullet"/>
      <w:lvlText w:val="o"/>
      <w:lvlJc w:val="left"/>
      <w:pPr>
        <w:ind w:left="3437" w:hanging="360"/>
      </w:pPr>
      <w:rPr>
        <w:rFonts w:ascii="Courier New" w:hAnsi="Courier New" w:cs="Courier New" w:hint="default"/>
      </w:rPr>
    </w:lvl>
    <w:lvl w:ilvl="2" w:tplc="04150005" w:tentative="1">
      <w:start w:val="1"/>
      <w:numFmt w:val="bullet"/>
      <w:lvlText w:val=""/>
      <w:lvlJc w:val="left"/>
      <w:pPr>
        <w:ind w:left="4157" w:hanging="360"/>
      </w:pPr>
      <w:rPr>
        <w:rFonts w:ascii="Wingdings" w:hAnsi="Wingdings" w:hint="default"/>
      </w:rPr>
    </w:lvl>
    <w:lvl w:ilvl="3" w:tplc="04150001" w:tentative="1">
      <w:start w:val="1"/>
      <w:numFmt w:val="bullet"/>
      <w:lvlText w:val=""/>
      <w:lvlJc w:val="left"/>
      <w:pPr>
        <w:ind w:left="4877" w:hanging="360"/>
      </w:pPr>
      <w:rPr>
        <w:rFonts w:ascii="Symbol" w:hAnsi="Symbol" w:hint="default"/>
      </w:rPr>
    </w:lvl>
    <w:lvl w:ilvl="4" w:tplc="04150003" w:tentative="1">
      <w:start w:val="1"/>
      <w:numFmt w:val="bullet"/>
      <w:lvlText w:val="o"/>
      <w:lvlJc w:val="left"/>
      <w:pPr>
        <w:ind w:left="5597" w:hanging="360"/>
      </w:pPr>
      <w:rPr>
        <w:rFonts w:ascii="Courier New" w:hAnsi="Courier New" w:cs="Courier New" w:hint="default"/>
      </w:rPr>
    </w:lvl>
    <w:lvl w:ilvl="5" w:tplc="04150005" w:tentative="1">
      <w:start w:val="1"/>
      <w:numFmt w:val="bullet"/>
      <w:lvlText w:val=""/>
      <w:lvlJc w:val="left"/>
      <w:pPr>
        <w:ind w:left="6317" w:hanging="360"/>
      </w:pPr>
      <w:rPr>
        <w:rFonts w:ascii="Wingdings" w:hAnsi="Wingdings" w:hint="default"/>
      </w:rPr>
    </w:lvl>
    <w:lvl w:ilvl="6" w:tplc="04150001" w:tentative="1">
      <w:start w:val="1"/>
      <w:numFmt w:val="bullet"/>
      <w:lvlText w:val=""/>
      <w:lvlJc w:val="left"/>
      <w:pPr>
        <w:ind w:left="7037" w:hanging="360"/>
      </w:pPr>
      <w:rPr>
        <w:rFonts w:ascii="Symbol" w:hAnsi="Symbol" w:hint="default"/>
      </w:rPr>
    </w:lvl>
    <w:lvl w:ilvl="7" w:tplc="04150003" w:tentative="1">
      <w:start w:val="1"/>
      <w:numFmt w:val="bullet"/>
      <w:lvlText w:val="o"/>
      <w:lvlJc w:val="left"/>
      <w:pPr>
        <w:ind w:left="7757" w:hanging="360"/>
      </w:pPr>
      <w:rPr>
        <w:rFonts w:ascii="Courier New" w:hAnsi="Courier New" w:cs="Courier New" w:hint="default"/>
      </w:rPr>
    </w:lvl>
    <w:lvl w:ilvl="8" w:tplc="04150005" w:tentative="1">
      <w:start w:val="1"/>
      <w:numFmt w:val="bullet"/>
      <w:lvlText w:val=""/>
      <w:lvlJc w:val="left"/>
      <w:pPr>
        <w:ind w:left="8477" w:hanging="360"/>
      </w:pPr>
      <w:rPr>
        <w:rFonts w:ascii="Wingdings" w:hAnsi="Wingdings" w:hint="default"/>
      </w:rPr>
    </w:lvl>
  </w:abstractNum>
  <w:abstractNum w:abstractNumId="9">
    <w:nsid w:val="127548F5"/>
    <w:multiLevelType w:val="multilevel"/>
    <w:tmpl w:val="0415001F"/>
    <w:lvl w:ilvl="0">
      <w:start w:val="1"/>
      <w:numFmt w:val="decimal"/>
      <w:pStyle w:val="artyku"/>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14901209"/>
    <w:multiLevelType w:val="hybridMultilevel"/>
    <w:tmpl w:val="67ACAD82"/>
    <w:lvl w:ilvl="0" w:tplc="0415000F">
      <w:start w:val="1"/>
      <w:numFmt w:val="decimal"/>
      <w:lvlText w:val="%1."/>
      <w:lvlJc w:val="left"/>
      <w:pPr>
        <w:tabs>
          <w:tab w:val="num" w:pos="436"/>
        </w:tabs>
        <w:ind w:left="436" w:hanging="360"/>
      </w:pPr>
      <w:rPr>
        <w:rFonts w:hint="default"/>
      </w:rPr>
    </w:lvl>
    <w:lvl w:ilvl="1" w:tplc="A5B834F0">
      <w:start w:val="1"/>
      <w:numFmt w:val="lowerLetter"/>
      <w:lvlText w:val="%2."/>
      <w:lvlJc w:val="left"/>
      <w:pPr>
        <w:tabs>
          <w:tab w:val="num" w:pos="1216"/>
        </w:tabs>
        <w:ind w:left="1216" w:hanging="420"/>
      </w:pPr>
      <w:rPr>
        <w:rFonts w:hint="default"/>
        <w:b/>
      </w:rPr>
    </w:lvl>
    <w:lvl w:ilvl="2" w:tplc="0415001B" w:tentative="1">
      <w:start w:val="1"/>
      <w:numFmt w:val="lowerRoman"/>
      <w:lvlText w:val="%3."/>
      <w:lvlJc w:val="right"/>
      <w:pPr>
        <w:tabs>
          <w:tab w:val="num" w:pos="1876"/>
        </w:tabs>
        <w:ind w:left="1876" w:hanging="180"/>
      </w:pPr>
    </w:lvl>
    <w:lvl w:ilvl="3" w:tplc="0415000F" w:tentative="1">
      <w:start w:val="1"/>
      <w:numFmt w:val="decimal"/>
      <w:lvlText w:val="%4."/>
      <w:lvlJc w:val="left"/>
      <w:pPr>
        <w:tabs>
          <w:tab w:val="num" w:pos="2596"/>
        </w:tabs>
        <w:ind w:left="2596" w:hanging="360"/>
      </w:pPr>
    </w:lvl>
    <w:lvl w:ilvl="4" w:tplc="04150019" w:tentative="1">
      <w:start w:val="1"/>
      <w:numFmt w:val="lowerLetter"/>
      <w:lvlText w:val="%5."/>
      <w:lvlJc w:val="left"/>
      <w:pPr>
        <w:tabs>
          <w:tab w:val="num" w:pos="3316"/>
        </w:tabs>
        <w:ind w:left="3316" w:hanging="360"/>
      </w:pPr>
    </w:lvl>
    <w:lvl w:ilvl="5" w:tplc="0415001B" w:tentative="1">
      <w:start w:val="1"/>
      <w:numFmt w:val="lowerRoman"/>
      <w:lvlText w:val="%6."/>
      <w:lvlJc w:val="right"/>
      <w:pPr>
        <w:tabs>
          <w:tab w:val="num" w:pos="4036"/>
        </w:tabs>
        <w:ind w:left="4036" w:hanging="180"/>
      </w:pPr>
    </w:lvl>
    <w:lvl w:ilvl="6" w:tplc="0415000F" w:tentative="1">
      <w:start w:val="1"/>
      <w:numFmt w:val="decimal"/>
      <w:lvlText w:val="%7."/>
      <w:lvlJc w:val="left"/>
      <w:pPr>
        <w:tabs>
          <w:tab w:val="num" w:pos="4756"/>
        </w:tabs>
        <w:ind w:left="4756" w:hanging="360"/>
      </w:pPr>
    </w:lvl>
    <w:lvl w:ilvl="7" w:tplc="04150019" w:tentative="1">
      <w:start w:val="1"/>
      <w:numFmt w:val="lowerLetter"/>
      <w:lvlText w:val="%8."/>
      <w:lvlJc w:val="left"/>
      <w:pPr>
        <w:tabs>
          <w:tab w:val="num" w:pos="5476"/>
        </w:tabs>
        <w:ind w:left="5476" w:hanging="360"/>
      </w:pPr>
    </w:lvl>
    <w:lvl w:ilvl="8" w:tplc="0415001B" w:tentative="1">
      <w:start w:val="1"/>
      <w:numFmt w:val="lowerRoman"/>
      <w:lvlText w:val="%9."/>
      <w:lvlJc w:val="right"/>
      <w:pPr>
        <w:tabs>
          <w:tab w:val="num" w:pos="6196"/>
        </w:tabs>
        <w:ind w:left="6196" w:hanging="180"/>
      </w:pPr>
    </w:lvl>
  </w:abstractNum>
  <w:abstractNum w:abstractNumId="11">
    <w:nsid w:val="15D83094"/>
    <w:multiLevelType w:val="hybridMultilevel"/>
    <w:tmpl w:val="603C4B4E"/>
    <w:lvl w:ilvl="0" w:tplc="04150013">
      <w:start w:val="1"/>
      <w:numFmt w:val="upperRoman"/>
      <w:lvlText w:val="%1."/>
      <w:lvlJc w:val="right"/>
      <w:pPr>
        <w:tabs>
          <w:tab w:val="num" w:pos="256"/>
        </w:tabs>
        <w:ind w:left="256" w:hanging="180"/>
      </w:pPr>
    </w:lvl>
    <w:lvl w:ilvl="1" w:tplc="5EF2CB00">
      <w:start w:val="1"/>
      <w:numFmt w:val="decimal"/>
      <w:lvlText w:val="%2."/>
      <w:lvlJc w:val="left"/>
      <w:pPr>
        <w:tabs>
          <w:tab w:val="num" w:pos="1156"/>
        </w:tabs>
        <w:ind w:left="1156" w:hanging="360"/>
      </w:pPr>
      <w:rPr>
        <w:rFonts w:hint="default"/>
      </w:rPr>
    </w:lvl>
    <w:lvl w:ilvl="2" w:tplc="0415001B" w:tentative="1">
      <w:start w:val="1"/>
      <w:numFmt w:val="lowerRoman"/>
      <w:lvlText w:val="%3."/>
      <w:lvlJc w:val="right"/>
      <w:pPr>
        <w:tabs>
          <w:tab w:val="num" w:pos="1876"/>
        </w:tabs>
        <w:ind w:left="1876" w:hanging="180"/>
      </w:pPr>
    </w:lvl>
    <w:lvl w:ilvl="3" w:tplc="0415000F" w:tentative="1">
      <w:start w:val="1"/>
      <w:numFmt w:val="decimal"/>
      <w:lvlText w:val="%4."/>
      <w:lvlJc w:val="left"/>
      <w:pPr>
        <w:tabs>
          <w:tab w:val="num" w:pos="2596"/>
        </w:tabs>
        <w:ind w:left="2596" w:hanging="360"/>
      </w:pPr>
    </w:lvl>
    <w:lvl w:ilvl="4" w:tplc="04150019" w:tentative="1">
      <w:start w:val="1"/>
      <w:numFmt w:val="lowerLetter"/>
      <w:lvlText w:val="%5."/>
      <w:lvlJc w:val="left"/>
      <w:pPr>
        <w:tabs>
          <w:tab w:val="num" w:pos="3316"/>
        </w:tabs>
        <w:ind w:left="3316" w:hanging="360"/>
      </w:pPr>
    </w:lvl>
    <w:lvl w:ilvl="5" w:tplc="0415001B" w:tentative="1">
      <w:start w:val="1"/>
      <w:numFmt w:val="lowerRoman"/>
      <w:lvlText w:val="%6."/>
      <w:lvlJc w:val="right"/>
      <w:pPr>
        <w:tabs>
          <w:tab w:val="num" w:pos="4036"/>
        </w:tabs>
        <w:ind w:left="4036" w:hanging="180"/>
      </w:pPr>
    </w:lvl>
    <w:lvl w:ilvl="6" w:tplc="0415000F" w:tentative="1">
      <w:start w:val="1"/>
      <w:numFmt w:val="decimal"/>
      <w:lvlText w:val="%7."/>
      <w:lvlJc w:val="left"/>
      <w:pPr>
        <w:tabs>
          <w:tab w:val="num" w:pos="4756"/>
        </w:tabs>
        <w:ind w:left="4756" w:hanging="360"/>
      </w:pPr>
    </w:lvl>
    <w:lvl w:ilvl="7" w:tplc="04150019" w:tentative="1">
      <w:start w:val="1"/>
      <w:numFmt w:val="lowerLetter"/>
      <w:lvlText w:val="%8."/>
      <w:lvlJc w:val="left"/>
      <w:pPr>
        <w:tabs>
          <w:tab w:val="num" w:pos="5476"/>
        </w:tabs>
        <w:ind w:left="5476" w:hanging="360"/>
      </w:pPr>
    </w:lvl>
    <w:lvl w:ilvl="8" w:tplc="0415001B" w:tentative="1">
      <w:start w:val="1"/>
      <w:numFmt w:val="lowerRoman"/>
      <w:lvlText w:val="%9."/>
      <w:lvlJc w:val="right"/>
      <w:pPr>
        <w:tabs>
          <w:tab w:val="num" w:pos="6196"/>
        </w:tabs>
        <w:ind w:left="6196" w:hanging="180"/>
      </w:pPr>
    </w:lvl>
  </w:abstractNum>
  <w:abstractNum w:abstractNumId="12">
    <w:nsid w:val="18CB5055"/>
    <w:multiLevelType w:val="hybridMultilevel"/>
    <w:tmpl w:val="4232E766"/>
    <w:lvl w:ilvl="0" w:tplc="30300D3A">
      <w:start w:val="1"/>
      <w:numFmt w:val="bullet"/>
      <w:lvlText w:val=""/>
      <w:lvlJc w:val="left"/>
      <w:pPr>
        <w:ind w:left="1206" w:hanging="360"/>
      </w:pPr>
      <w:rPr>
        <w:rFonts w:ascii="Symbol" w:hAnsi="Symbol" w:hint="default"/>
      </w:rPr>
    </w:lvl>
    <w:lvl w:ilvl="1" w:tplc="04150003" w:tentative="1">
      <w:start w:val="1"/>
      <w:numFmt w:val="bullet"/>
      <w:lvlText w:val="o"/>
      <w:lvlJc w:val="left"/>
      <w:pPr>
        <w:ind w:left="1926" w:hanging="360"/>
      </w:pPr>
      <w:rPr>
        <w:rFonts w:ascii="Courier New" w:hAnsi="Courier New" w:cs="Courier New" w:hint="default"/>
      </w:rPr>
    </w:lvl>
    <w:lvl w:ilvl="2" w:tplc="04150005" w:tentative="1">
      <w:start w:val="1"/>
      <w:numFmt w:val="bullet"/>
      <w:lvlText w:val=""/>
      <w:lvlJc w:val="left"/>
      <w:pPr>
        <w:ind w:left="2646" w:hanging="360"/>
      </w:pPr>
      <w:rPr>
        <w:rFonts w:ascii="Wingdings" w:hAnsi="Wingdings" w:hint="default"/>
      </w:rPr>
    </w:lvl>
    <w:lvl w:ilvl="3" w:tplc="04150001" w:tentative="1">
      <w:start w:val="1"/>
      <w:numFmt w:val="bullet"/>
      <w:lvlText w:val=""/>
      <w:lvlJc w:val="left"/>
      <w:pPr>
        <w:ind w:left="3366" w:hanging="360"/>
      </w:pPr>
      <w:rPr>
        <w:rFonts w:ascii="Symbol" w:hAnsi="Symbol" w:hint="default"/>
      </w:rPr>
    </w:lvl>
    <w:lvl w:ilvl="4" w:tplc="04150003" w:tentative="1">
      <w:start w:val="1"/>
      <w:numFmt w:val="bullet"/>
      <w:lvlText w:val="o"/>
      <w:lvlJc w:val="left"/>
      <w:pPr>
        <w:ind w:left="4086" w:hanging="360"/>
      </w:pPr>
      <w:rPr>
        <w:rFonts w:ascii="Courier New" w:hAnsi="Courier New" w:cs="Courier New" w:hint="default"/>
      </w:rPr>
    </w:lvl>
    <w:lvl w:ilvl="5" w:tplc="04150005" w:tentative="1">
      <w:start w:val="1"/>
      <w:numFmt w:val="bullet"/>
      <w:lvlText w:val=""/>
      <w:lvlJc w:val="left"/>
      <w:pPr>
        <w:ind w:left="4806" w:hanging="360"/>
      </w:pPr>
      <w:rPr>
        <w:rFonts w:ascii="Wingdings" w:hAnsi="Wingdings" w:hint="default"/>
      </w:rPr>
    </w:lvl>
    <w:lvl w:ilvl="6" w:tplc="04150001" w:tentative="1">
      <w:start w:val="1"/>
      <w:numFmt w:val="bullet"/>
      <w:lvlText w:val=""/>
      <w:lvlJc w:val="left"/>
      <w:pPr>
        <w:ind w:left="5526" w:hanging="360"/>
      </w:pPr>
      <w:rPr>
        <w:rFonts w:ascii="Symbol" w:hAnsi="Symbol" w:hint="default"/>
      </w:rPr>
    </w:lvl>
    <w:lvl w:ilvl="7" w:tplc="04150003" w:tentative="1">
      <w:start w:val="1"/>
      <w:numFmt w:val="bullet"/>
      <w:lvlText w:val="o"/>
      <w:lvlJc w:val="left"/>
      <w:pPr>
        <w:ind w:left="6246" w:hanging="360"/>
      </w:pPr>
      <w:rPr>
        <w:rFonts w:ascii="Courier New" w:hAnsi="Courier New" w:cs="Courier New" w:hint="default"/>
      </w:rPr>
    </w:lvl>
    <w:lvl w:ilvl="8" w:tplc="04150005" w:tentative="1">
      <w:start w:val="1"/>
      <w:numFmt w:val="bullet"/>
      <w:lvlText w:val=""/>
      <w:lvlJc w:val="left"/>
      <w:pPr>
        <w:ind w:left="6966" w:hanging="360"/>
      </w:pPr>
      <w:rPr>
        <w:rFonts w:ascii="Wingdings" w:hAnsi="Wingdings" w:hint="default"/>
      </w:rPr>
    </w:lvl>
  </w:abstractNum>
  <w:abstractNum w:abstractNumId="13">
    <w:nsid w:val="1F163574"/>
    <w:multiLevelType w:val="hybridMultilevel"/>
    <w:tmpl w:val="CAB4F89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nsid w:val="21B8545E"/>
    <w:multiLevelType w:val="hybridMultilevel"/>
    <w:tmpl w:val="44A25CD6"/>
    <w:lvl w:ilvl="0" w:tplc="835CCAF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233C6821"/>
    <w:multiLevelType w:val="multilevel"/>
    <w:tmpl w:val="6E703F34"/>
    <w:lvl w:ilvl="0">
      <w:start w:val="30"/>
      <w:numFmt w:val="decimal"/>
      <w:lvlText w:val="%1."/>
      <w:lvlJc w:val="left"/>
      <w:pPr>
        <w:tabs>
          <w:tab w:val="num" w:pos="450"/>
        </w:tabs>
        <w:ind w:left="450" w:hanging="450"/>
      </w:pPr>
      <w:rPr>
        <w:rFonts w:hint="default"/>
      </w:rPr>
    </w:lvl>
    <w:lvl w:ilvl="1">
      <w:start w:val="2"/>
      <w:numFmt w:val="decimal"/>
      <w:lvlText w:val="11.%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6">
    <w:nsid w:val="274B2B6E"/>
    <w:multiLevelType w:val="hybridMultilevel"/>
    <w:tmpl w:val="15E8A84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9A261EC"/>
    <w:multiLevelType w:val="hybridMultilevel"/>
    <w:tmpl w:val="EE4ECC9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nsid w:val="32C27D1B"/>
    <w:multiLevelType w:val="hybridMultilevel"/>
    <w:tmpl w:val="D12E46E8"/>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45D0FA9"/>
    <w:multiLevelType w:val="hybridMultilevel"/>
    <w:tmpl w:val="14346160"/>
    <w:lvl w:ilvl="0" w:tplc="30300D3A">
      <w:start w:val="1"/>
      <w:numFmt w:val="bullet"/>
      <w:lvlText w:val=""/>
      <w:lvlJc w:val="left"/>
      <w:pPr>
        <w:ind w:left="120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7957B28"/>
    <w:multiLevelType w:val="hybridMultilevel"/>
    <w:tmpl w:val="DE5AB4EA"/>
    <w:lvl w:ilvl="0" w:tplc="30300D3A">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1">
    <w:nsid w:val="37CC4B02"/>
    <w:multiLevelType w:val="multilevel"/>
    <w:tmpl w:val="CC7E7E58"/>
    <w:lvl w:ilvl="0">
      <w:start w:val="8"/>
      <w:numFmt w:val="decimal"/>
      <w:lvlText w:val="%1."/>
      <w:lvlJc w:val="left"/>
      <w:pPr>
        <w:tabs>
          <w:tab w:val="num" w:pos="450"/>
        </w:tabs>
        <w:ind w:left="450" w:hanging="450"/>
      </w:pPr>
      <w:rPr>
        <w:rFonts w:hint="default"/>
      </w:rPr>
    </w:lvl>
    <w:lvl w:ilvl="1">
      <w:start w:val="1"/>
      <w:numFmt w:val="decimal"/>
      <w:lvlText w:val="4.%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2">
    <w:nsid w:val="38777903"/>
    <w:multiLevelType w:val="hybridMultilevel"/>
    <w:tmpl w:val="0974265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B2705D9"/>
    <w:multiLevelType w:val="multilevel"/>
    <w:tmpl w:val="39F82DBE"/>
    <w:lvl w:ilvl="0">
      <w:start w:val="30"/>
      <w:numFmt w:val="decimal"/>
      <w:lvlText w:val="%1."/>
      <w:lvlJc w:val="left"/>
      <w:pPr>
        <w:tabs>
          <w:tab w:val="num" w:pos="450"/>
        </w:tabs>
        <w:ind w:left="450" w:hanging="450"/>
      </w:pPr>
      <w:rPr>
        <w:rFonts w:hint="default"/>
      </w:rPr>
    </w:lvl>
    <w:lvl w:ilvl="1">
      <w:start w:val="2"/>
      <w:numFmt w:val="none"/>
      <w:lvlText w:val="11.1."/>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4">
    <w:nsid w:val="3C4C764C"/>
    <w:multiLevelType w:val="hybridMultilevel"/>
    <w:tmpl w:val="6360EADC"/>
    <w:lvl w:ilvl="0" w:tplc="0415000F">
      <w:start w:val="1"/>
      <w:numFmt w:val="decimal"/>
      <w:lvlText w:val="%1."/>
      <w:lvlJc w:val="left"/>
      <w:pPr>
        <w:tabs>
          <w:tab w:val="num" w:pos="436"/>
        </w:tabs>
        <w:ind w:left="436" w:hanging="360"/>
      </w:pPr>
    </w:lvl>
    <w:lvl w:ilvl="1" w:tplc="DF204924">
      <w:start w:val="1"/>
      <w:numFmt w:val="lowerLetter"/>
      <w:lvlText w:val="%2."/>
      <w:lvlJc w:val="left"/>
      <w:pPr>
        <w:tabs>
          <w:tab w:val="num" w:pos="1216"/>
        </w:tabs>
        <w:ind w:left="1216" w:hanging="420"/>
      </w:pPr>
      <w:rPr>
        <w:rFonts w:hint="default"/>
        <w:b/>
      </w:rPr>
    </w:lvl>
    <w:lvl w:ilvl="2" w:tplc="6B8445D0">
      <w:start w:val="1"/>
      <w:numFmt w:val="lowerLetter"/>
      <w:lvlText w:val="%3."/>
      <w:lvlJc w:val="left"/>
      <w:pPr>
        <w:tabs>
          <w:tab w:val="num" w:pos="2116"/>
        </w:tabs>
        <w:ind w:left="2116" w:hanging="420"/>
      </w:pPr>
      <w:rPr>
        <w:rFonts w:hint="default"/>
        <w:b/>
      </w:rPr>
    </w:lvl>
    <w:lvl w:ilvl="3" w:tplc="0415000F" w:tentative="1">
      <w:start w:val="1"/>
      <w:numFmt w:val="decimal"/>
      <w:lvlText w:val="%4."/>
      <w:lvlJc w:val="left"/>
      <w:pPr>
        <w:tabs>
          <w:tab w:val="num" w:pos="2596"/>
        </w:tabs>
        <w:ind w:left="2596" w:hanging="360"/>
      </w:pPr>
    </w:lvl>
    <w:lvl w:ilvl="4" w:tplc="04150019" w:tentative="1">
      <w:start w:val="1"/>
      <w:numFmt w:val="lowerLetter"/>
      <w:lvlText w:val="%5."/>
      <w:lvlJc w:val="left"/>
      <w:pPr>
        <w:tabs>
          <w:tab w:val="num" w:pos="3316"/>
        </w:tabs>
        <w:ind w:left="3316" w:hanging="360"/>
      </w:pPr>
    </w:lvl>
    <w:lvl w:ilvl="5" w:tplc="0415001B" w:tentative="1">
      <w:start w:val="1"/>
      <w:numFmt w:val="lowerRoman"/>
      <w:lvlText w:val="%6."/>
      <w:lvlJc w:val="right"/>
      <w:pPr>
        <w:tabs>
          <w:tab w:val="num" w:pos="4036"/>
        </w:tabs>
        <w:ind w:left="4036" w:hanging="180"/>
      </w:pPr>
    </w:lvl>
    <w:lvl w:ilvl="6" w:tplc="0415000F" w:tentative="1">
      <w:start w:val="1"/>
      <w:numFmt w:val="decimal"/>
      <w:lvlText w:val="%7."/>
      <w:lvlJc w:val="left"/>
      <w:pPr>
        <w:tabs>
          <w:tab w:val="num" w:pos="4756"/>
        </w:tabs>
        <w:ind w:left="4756" w:hanging="360"/>
      </w:pPr>
    </w:lvl>
    <w:lvl w:ilvl="7" w:tplc="04150019" w:tentative="1">
      <w:start w:val="1"/>
      <w:numFmt w:val="lowerLetter"/>
      <w:lvlText w:val="%8."/>
      <w:lvlJc w:val="left"/>
      <w:pPr>
        <w:tabs>
          <w:tab w:val="num" w:pos="5476"/>
        </w:tabs>
        <w:ind w:left="5476" w:hanging="360"/>
      </w:pPr>
    </w:lvl>
    <w:lvl w:ilvl="8" w:tplc="0415001B" w:tentative="1">
      <w:start w:val="1"/>
      <w:numFmt w:val="lowerRoman"/>
      <w:lvlText w:val="%9."/>
      <w:lvlJc w:val="right"/>
      <w:pPr>
        <w:tabs>
          <w:tab w:val="num" w:pos="6196"/>
        </w:tabs>
        <w:ind w:left="6196" w:hanging="180"/>
      </w:pPr>
    </w:lvl>
  </w:abstractNum>
  <w:abstractNum w:abstractNumId="25">
    <w:nsid w:val="3C7B717D"/>
    <w:multiLevelType w:val="hybridMultilevel"/>
    <w:tmpl w:val="03ECDD6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nsid w:val="3E6D194D"/>
    <w:multiLevelType w:val="multilevel"/>
    <w:tmpl w:val="6E703F34"/>
    <w:lvl w:ilvl="0">
      <w:start w:val="30"/>
      <w:numFmt w:val="decimal"/>
      <w:lvlText w:val="%1."/>
      <w:lvlJc w:val="left"/>
      <w:pPr>
        <w:tabs>
          <w:tab w:val="num" w:pos="450"/>
        </w:tabs>
        <w:ind w:left="450" w:hanging="450"/>
      </w:pPr>
      <w:rPr>
        <w:rFonts w:hint="default"/>
      </w:rPr>
    </w:lvl>
    <w:lvl w:ilvl="1">
      <w:start w:val="2"/>
      <w:numFmt w:val="decimal"/>
      <w:lvlText w:val="11.%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nsid w:val="3F875412"/>
    <w:multiLevelType w:val="hybridMultilevel"/>
    <w:tmpl w:val="D8B2E5A2"/>
    <w:lvl w:ilvl="0" w:tplc="04150001">
      <w:start w:val="1"/>
      <w:numFmt w:val="bullet"/>
      <w:lvlText w:val=""/>
      <w:lvlJc w:val="left"/>
      <w:pPr>
        <w:ind w:left="3288" w:hanging="360"/>
      </w:pPr>
      <w:rPr>
        <w:rFonts w:ascii="Symbol" w:hAnsi="Symbol" w:hint="default"/>
      </w:rPr>
    </w:lvl>
    <w:lvl w:ilvl="1" w:tplc="04150003" w:tentative="1">
      <w:start w:val="1"/>
      <w:numFmt w:val="bullet"/>
      <w:lvlText w:val="o"/>
      <w:lvlJc w:val="left"/>
      <w:pPr>
        <w:ind w:left="4008" w:hanging="360"/>
      </w:pPr>
      <w:rPr>
        <w:rFonts w:ascii="Courier New" w:hAnsi="Courier New" w:cs="Courier New" w:hint="default"/>
      </w:rPr>
    </w:lvl>
    <w:lvl w:ilvl="2" w:tplc="04150005" w:tentative="1">
      <w:start w:val="1"/>
      <w:numFmt w:val="bullet"/>
      <w:lvlText w:val=""/>
      <w:lvlJc w:val="left"/>
      <w:pPr>
        <w:ind w:left="4728" w:hanging="360"/>
      </w:pPr>
      <w:rPr>
        <w:rFonts w:ascii="Wingdings" w:hAnsi="Wingdings" w:hint="default"/>
      </w:rPr>
    </w:lvl>
    <w:lvl w:ilvl="3" w:tplc="04150001" w:tentative="1">
      <w:start w:val="1"/>
      <w:numFmt w:val="bullet"/>
      <w:lvlText w:val=""/>
      <w:lvlJc w:val="left"/>
      <w:pPr>
        <w:ind w:left="5448" w:hanging="360"/>
      </w:pPr>
      <w:rPr>
        <w:rFonts w:ascii="Symbol" w:hAnsi="Symbol" w:hint="default"/>
      </w:rPr>
    </w:lvl>
    <w:lvl w:ilvl="4" w:tplc="04150003" w:tentative="1">
      <w:start w:val="1"/>
      <w:numFmt w:val="bullet"/>
      <w:lvlText w:val="o"/>
      <w:lvlJc w:val="left"/>
      <w:pPr>
        <w:ind w:left="6168" w:hanging="360"/>
      </w:pPr>
      <w:rPr>
        <w:rFonts w:ascii="Courier New" w:hAnsi="Courier New" w:cs="Courier New" w:hint="default"/>
      </w:rPr>
    </w:lvl>
    <w:lvl w:ilvl="5" w:tplc="04150005" w:tentative="1">
      <w:start w:val="1"/>
      <w:numFmt w:val="bullet"/>
      <w:lvlText w:val=""/>
      <w:lvlJc w:val="left"/>
      <w:pPr>
        <w:ind w:left="6888" w:hanging="360"/>
      </w:pPr>
      <w:rPr>
        <w:rFonts w:ascii="Wingdings" w:hAnsi="Wingdings" w:hint="default"/>
      </w:rPr>
    </w:lvl>
    <w:lvl w:ilvl="6" w:tplc="04150001" w:tentative="1">
      <w:start w:val="1"/>
      <w:numFmt w:val="bullet"/>
      <w:lvlText w:val=""/>
      <w:lvlJc w:val="left"/>
      <w:pPr>
        <w:ind w:left="7608" w:hanging="360"/>
      </w:pPr>
      <w:rPr>
        <w:rFonts w:ascii="Symbol" w:hAnsi="Symbol" w:hint="default"/>
      </w:rPr>
    </w:lvl>
    <w:lvl w:ilvl="7" w:tplc="04150003" w:tentative="1">
      <w:start w:val="1"/>
      <w:numFmt w:val="bullet"/>
      <w:lvlText w:val="o"/>
      <w:lvlJc w:val="left"/>
      <w:pPr>
        <w:ind w:left="8328" w:hanging="360"/>
      </w:pPr>
      <w:rPr>
        <w:rFonts w:ascii="Courier New" w:hAnsi="Courier New" w:cs="Courier New" w:hint="default"/>
      </w:rPr>
    </w:lvl>
    <w:lvl w:ilvl="8" w:tplc="04150005" w:tentative="1">
      <w:start w:val="1"/>
      <w:numFmt w:val="bullet"/>
      <w:lvlText w:val=""/>
      <w:lvlJc w:val="left"/>
      <w:pPr>
        <w:ind w:left="9048" w:hanging="360"/>
      </w:pPr>
      <w:rPr>
        <w:rFonts w:ascii="Wingdings" w:hAnsi="Wingdings" w:hint="default"/>
      </w:rPr>
    </w:lvl>
  </w:abstractNum>
  <w:abstractNum w:abstractNumId="28">
    <w:nsid w:val="43247869"/>
    <w:multiLevelType w:val="multilevel"/>
    <w:tmpl w:val="49B65D98"/>
    <w:lvl w:ilvl="0">
      <w:start w:val="1"/>
      <w:numFmt w:val="decimal"/>
      <w:lvlText w:val="%1."/>
      <w:lvlJc w:val="left"/>
      <w:pPr>
        <w:tabs>
          <w:tab w:val="num" w:pos="436"/>
        </w:tabs>
        <w:ind w:left="436" w:hanging="360"/>
      </w:pPr>
      <w:rPr>
        <w:rFonts w:hint="default"/>
      </w:rPr>
    </w:lvl>
    <w:lvl w:ilvl="1">
      <w:start w:val="1"/>
      <w:numFmt w:val="decimal"/>
      <w:isLgl/>
      <w:lvlText w:val="%11.%2."/>
      <w:lvlJc w:val="left"/>
      <w:pPr>
        <w:tabs>
          <w:tab w:val="num" w:pos="0"/>
        </w:tabs>
        <w:ind w:left="861" w:hanging="435"/>
      </w:pPr>
      <w:rPr>
        <w:rFonts w:hint="default"/>
      </w:rPr>
    </w:lvl>
    <w:lvl w:ilvl="2">
      <w:start w:val="1"/>
      <w:numFmt w:val="decimal"/>
      <w:isLgl/>
      <w:lvlText w:val="%1.%2.%3."/>
      <w:lvlJc w:val="left"/>
      <w:pPr>
        <w:tabs>
          <w:tab w:val="num" w:pos="0"/>
        </w:tabs>
        <w:ind w:left="1496" w:hanging="720"/>
      </w:pPr>
      <w:rPr>
        <w:rFonts w:hint="default"/>
      </w:rPr>
    </w:lvl>
    <w:lvl w:ilvl="3">
      <w:start w:val="1"/>
      <w:numFmt w:val="decimal"/>
      <w:isLgl/>
      <w:lvlText w:val="%1.%2.%3.%4."/>
      <w:lvlJc w:val="left"/>
      <w:pPr>
        <w:tabs>
          <w:tab w:val="num" w:pos="0"/>
        </w:tabs>
        <w:ind w:left="1846" w:hanging="720"/>
      </w:pPr>
      <w:rPr>
        <w:rFonts w:hint="default"/>
      </w:rPr>
    </w:lvl>
    <w:lvl w:ilvl="4">
      <w:start w:val="1"/>
      <w:numFmt w:val="decimal"/>
      <w:isLgl/>
      <w:lvlText w:val="%1.%2.%3.%4.%5."/>
      <w:lvlJc w:val="left"/>
      <w:pPr>
        <w:tabs>
          <w:tab w:val="num" w:pos="0"/>
        </w:tabs>
        <w:ind w:left="2556" w:hanging="1080"/>
      </w:pPr>
      <w:rPr>
        <w:rFonts w:hint="default"/>
      </w:rPr>
    </w:lvl>
    <w:lvl w:ilvl="5">
      <w:start w:val="1"/>
      <w:numFmt w:val="decimal"/>
      <w:isLgl/>
      <w:lvlText w:val="%1.%2.%3.%4.%5.%6."/>
      <w:lvlJc w:val="left"/>
      <w:pPr>
        <w:tabs>
          <w:tab w:val="num" w:pos="0"/>
        </w:tabs>
        <w:ind w:left="2906" w:hanging="1080"/>
      </w:pPr>
      <w:rPr>
        <w:rFonts w:hint="default"/>
      </w:rPr>
    </w:lvl>
    <w:lvl w:ilvl="6">
      <w:start w:val="1"/>
      <w:numFmt w:val="decimal"/>
      <w:isLgl/>
      <w:lvlText w:val="%1.%2.%3.%4.%5.%6.%7."/>
      <w:lvlJc w:val="left"/>
      <w:pPr>
        <w:tabs>
          <w:tab w:val="num" w:pos="0"/>
        </w:tabs>
        <w:ind w:left="3616" w:hanging="1440"/>
      </w:pPr>
      <w:rPr>
        <w:rFonts w:hint="default"/>
      </w:rPr>
    </w:lvl>
    <w:lvl w:ilvl="7">
      <w:start w:val="1"/>
      <w:numFmt w:val="decimal"/>
      <w:isLgl/>
      <w:lvlText w:val="%1.%2.%3.%4.%5.%6.%7.%8."/>
      <w:lvlJc w:val="left"/>
      <w:pPr>
        <w:tabs>
          <w:tab w:val="num" w:pos="0"/>
        </w:tabs>
        <w:ind w:left="3966" w:hanging="1440"/>
      </w:pPr>
      <w:rPr>
        <w:rFonts w:hint="default"/>
      </w:rPr>
    </w:lvl>
    <w:lvl w:ilvl="8">
      <w:start w:val="1"/>
      <w:numFmt w:val="decimal"/>
      <w:isLgl/>
      <w:lvlText w:val="%1.%2.%3.%4.%5.%6.%7.%8.%9."/>
      <w:lvlJc w:val="left"/>
      <w:pPr>
        <w:tabs>
          <w:tab w:val="num" w:pos="0"/>
        </w:tabs>
        <w:ind w:left="4676" w:hanging="1800"/>
      </w:pPr>
      <w:rPr>
        <w:rFonts w:hint="default"/>
      </w:rPr>
    </w:lvl>
  </w:abstractNum>
  <w:abstractNum w:abstractNumId="29">
    <w:nsid w:val="443A2EBC"/>
    <w:multiLevelType w:val="hybridMultilevel"/>
    <w:tmpl w:val="299E0C06"/>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0">
    <w:nsid w:val="47F71FF7"/>
    <w:multiLevelType w:val="hybridMultilevel"/>
    <w:tmpl w:val="03FE8DE4"/>
    <w:lvl w:ilvl="0" w:tplc="30300D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9D93E3D"/>
    <w:multiLevelType w:val="hybridMultilevel"/>
    <w:tmpl w:val="BBF2E0E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BC9173D"/>
    <w:multiLevelType w:val="hybridMultilevel"/>
    <w:tmpl w:val="44E2EEFE"/>
    <w:lvl w:ilvl="0" w:tplc="04150001">
      <w:start w:val="1"/>
      <w:numFmt w:val="bullet"/>
      <w:pStyle w:val="Ptaszki"/>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3">
    <w:nsid w:val="4D0A2D6B"/>
    <w:multiLevelType w:val="hybridMultilevel"/>
    <w:tmpl w:val="9FB68E18"/>
    <w:lvl w:ilvl="0" w:tplc="3F8C4B2E">
      <w:start w:val="1"/>
      <w:numFmt w:val="lowerLetter"/>
      <w:lvlText w:val="%1."/>
      <w:lvlJc w:val="left"/>
      <w:pPr>
        <w:tabs>
          <w:tab w:val="num" w:pos="780"/>
        </w:tabs>
        <w:ind w:left="780" w:hanging="420"/>
      </w:pPr>
      <w:rPr>
        <w:rFonts w:hint="default"/>
        <w:b/>
      </w:rPr>
    </w:lvl>
    <w:lvl w:ilvl="1" w:tplc="04150019">
      <w:start w:val="1"/>
      <w:numFmt w:val="lowerLetter"/>
      <w:lvlText w:val="%2."/>
      <w:lvlJc w:val="left"/>
      <w:pPr>
        <w:tabs>
          <w:tab w:val="num" w:pos="1440"/>
        </w:tabs>
        <w:ind w:left="1440" w:hanging="360"/>
      </w:pPr>
    </w:lvl>
    <w:lvl w:ilvl="2" w:tplc="3E1E82AC">
      <w:start w:val="1"/>
      <w:numFmt w:val="bullet"/>
      <w:lvlText w:val=""/>
      <w:lvlJc w:val="left"/>
      <w:pPr>
        <w:tabs>
          <w:tab w:val="num" w:pos="2340"/>
        </w:tabs>
        <w:ind w:left="2340" w:hanging="360"/>
      </w:pPr>
      <w:rPr>
        <w:rFonts w:ascii="Wingdings" w:hAnsi="Wingding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3204977"/>
    <w:multiLevelType w:val="multilevel"/>
    <w:tmpl w:val="2B525824"/>
    <w:lvl w:ilvl="0">
      <w:start w:val="8"/>
      <w:numFmt w:val="decimal"/>
      <w:lvlText w:val="%1."/>
      <w:lvlJc w:val="left"/>
      <w:pPr>
        <w:tabs>
          <w:tab w:val="num" w:pos="450"/>
        </w:tabs>
        <w:ind w:left="450" w:hanging="450"/>
      </w:pPr>
      <w:rPr>
        <w:rFonts w:hint="default"/>
      </w:rPr>
    </w:lvl>
    <w:lvl w:ilvl="1">
      <w:start w:val="2"/>
      <w:numFmt w:val="decimal"/>
      <w:lvlText w:val="4.%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5">
    <w:nsid w:val="54465B42"/>
    <w:multiLevelType w:val="hybridMultilevel"/>
    <w:tmpl w:val="58BA3A96"/>
    <w:lvl w:ilvl="0" w:tplc="D2A0CBA6">
      <w:start w:val="1"/>
      <w:numFmt w:val="decimal"/>
      <w:lvlText w:val="%1"/>
      <w:lvlJc w:val="left"/>
      <w:pPr>
        <w:ind w:left="434" w:hanging="360"/>
      </w:pPr>
      <w:rPr>
        <w:rFonts w:hint="default"/>
      </w:rPr>
    </w:lvl>
    <w:lvl w:ilvl="1" w:tplc="04150019" w:tentative="1">
      <w:start w:val="1"/>
      <w:numFmt w:val="lowerLetter"/>
      <w:lvlText w:val="%2."/>
      <w:lvlJc w:val="left"/>
      <w:pPr>
        <w:ind w:left="1154" w:hanging="360"/>
      </w:pPr>
    </w:lvl>
    <w:lvl w:ilvl="2" w:tplc="0415001B" w:tentative="1">
      <w:start w:val="1"/>
      <w:numFmt w:val="lowerRoman"/>
      <w:lvlText w:val="%3."/>
      <w:lvlJc w:val="right"/>
      <w:pPr>
        <w:ind w:left="1874" w:hanging="180"/>
      </w:pPr>
    </w:lvl>
    <w:lvl w:ilvl="3" w:tplc="0415000F" w:tentative="1">
      <w:start w:val="1"/>
      <w:numFmt w:val="decimal"/>
      <w:lvlText w:val="%4."/>
      <w:lvlJc w:val="left"/>
      <w:pPr>
        <w:ind w:left="2594" w:hanging="360"/>
      </w:pPr>
    </w:lvl>
    <w:lvl w:ilvl="4" w:tplc="04150019" w:tentative="1">
      <w:start w:val="1"/>
      <w:numFmt w:val="lowerLetter"/>
      <w:lvlText w:val="%5."/>
      <w:lvlJc w:val="left"/>
      <w:pPr>
        <w:ind w:left="3314" w:hanging="360"/>
      </w:pPr>
    </w:lvl>
    <w:lvl w:ilvl="5" w:tplc="0415001B" w:tentative="1">
      <w:start w:val="1"/>
      <w:numFmt w:val="lowerRoman"/>
      <w:lvlText w:val="%6."/>
      <w:lvlJc w:val="right"/>
      <w:pPr>
        <w:ind w:left="4034" w:hanging="180"/>
      </w:pPr>
    </w:lvl>
    <w:lvl w:ilvl="6" w:tplc="0415000F" w:tentative="1">
      <w:start w:val="1"/>
      <w:numFmt w:val="decimal"/>
      <w:lvlText w:val="%7."/>
      <w:lvlJc w:val="left"/>
      <w:pPr>
        <w:ind w:left="4754" w:hanging="360"/>
      </w:pPr>
    </w:lvl>
    <w:lvl w:ilvl="7" w:tplc="04150019" w:tentative="1">
      <w:start w:val="1"/>
      <w:numFmt w:val="lowerLetter"/>
      <w:lvlText w:val="%8."/>
      <w:lvlJc w:val="left"/>
      <w:pPr>
        <w:ind w:left="5474" w:hanging="360"/>
      </w:pPr>
    </w:lvl>
    <w:lvl w:ilvl="8" w:tplc="0415001B" w:tentative="1">
      <w:start w:val="1"/>
      <w:numFmt w:val="lowerRoman"/>
      <w:lvlText w:val="%9."/>
      <w:lvlJc w:val="right"/>
      <w:pPr>
        <w:ind w:left="6194" w:hanging="180"/>
      </w:pPr>
    </w:lvl>
  </w:abstractNum>
  <w:abstractNum w:abstractNumId="36">
    <w:nsid w:val="552D61FA"/>
    <w:multiLevelType w:val="hybridMultilevel"/>
    <w:tmpl w:val="1444C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72B57BB"/>
    <w:multiLevelType w:val="hybridMultilevel"/>
    <w:tmpl w:val="DC16C966"/>
    <w:lvl w:ilvl="0" w:tplc="30300D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58DB188C"/>
    <w:multiLevelType w:val="hybridMultilevel"/>
    <w:tmpl w:val="BC7EE3EA"/>
    <w:lvl w:ilvl="0" w:tplc="02F8362A">
      <w:start w:val="3"/>
      <w:numFmt w:val="bullet"/>
      <w:lvlText w:val="-"/>
      <w:lvlJc w:val="left"/>
      <w:pPr>
        <w:ind w:left="1146" w:hanging="360"/>
      </w:pPr>
      <w:rPr>
        <w:rFonts w:ascii="Times New Roman" w:eastAsia="Times New Roman" w:hAnsi="Times New Roman" w:cs="Times New Roman"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5B854026"/>
    <w:multiLevelType w:val="hybridMultilevel"/>
    <w:tmpl w:val="F35A8DA4"/>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nsid w:val="5F7B2DED"/>
    <w:multiLevelType w:val="hybridMultilevel"/>
    <w:tmpl w:val="EF4A8860"/>
    <w:lvl w:ilvl="0" w:tplc="02F8362A">
      <w:start w:val="3"/>
      <w:numFmt w:val="bullet"/>
      <w:lvlText w:val="-"/>
      <w:lvlJc w:val="left"/>
      <w:pPr>
        <w:ind w:left="786" w:hanging="360"/>
      </w:pPr>
      <w:rPr>
        <w:rFonts w:ascii="Times New Roman" w:eastAsia="Times New Roman" w:hAnsi="Times New Roman" w:cs="Times New Roman"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start w:val="1"/>
      <w:numFmt w:val="bullet"/>
      <w:lvlText w:val=""/>
      <w:lvlJc w:val="left"/>
      <w:pPr>
        <w:ind w:left="2946" w:hanging="360"/>
      </w:pPr>
      <w:rPr>
        <w:rFonts w:ascii="Symbol" w:hAnsi="Symbol" w:hint="default"/>
      </w:rPr>
    </w:lvl>
    <w:lvl w:ilvl="4" w:tplc="02F8362A">
      <w:start w:val="3"/>
      <w:numFmt w:val="bullet"/>
      <w:lvlText w:val="-"/>
      <w:lvlJc w:val="left"/>
      <w:pPr>
        <w:ind w:left="3666" w:hanging="360"/>
      </w:pPr>
      <w:rPr>
        <w:rFonts w:ascii="Times New Roman" w:eastAsia="Times New Roman" w:hAnsi="Times New Roman" w:cs="Times New Roman"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1">
    <w:nsid w:val="672F5198"/>
    <w:multiLevelType w:val="multilevel"/>
    <w:tmpl w:val="E1981E70"/>
    <w:lvl w:ilvl="0">
      <w:start w:val="8"/>
      <w:numFmt w:val="decimal"/>
      <w:lvlText w:val="%1."/>
      <w:lvlJc w:val="left"/>
      <w:pPr>
        <w:tabs>
          <w:tab w:val="num" w:pos="450"/>
        </w:tabs>
        <w:ind w:left="450" w:hanging="450"/>
      </w:pPr>
      <w:rPr>
        <w:rFonts w:hint="default"/>
      </w:rPr>
    </w:lvl>
    <w:lvl w:ilvl="1">
      <w:start w:val="1"/>
      <w:numFmt w:val="decimal"/>
      <w:lvlText w:val="4.%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2">
    <w:nsid w:val="68BB1AA9"/>
    <w:multiLevelType w:val="hybridMultilevel"/>
    <w:tmpl w:val="428E94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B974F71"/>
    <w:multiLevelType w:val="hybridMultilevel"/>
    <w:tmpl w:val="F3A21804"/>
    <w:lvl w:ilvl="0" w:tplc="30300D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4">
    <w:nsid w:val="6D692A56"/>
    <w:multiLevelType w:val="hybridMultilevel"/>
    <w:tmpl w:val="E08E6CC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20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23D67FF"/>
    <w:multiLevelType w:val="hybridMultilevel"/>
    <w:tmpl w:val="A81EFA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2CA0283"/>
    <w:multiLevelType w:val="hybridMultilevel"/>
    <w:tmpl w:val="4F643CFA"/>
    <w:lvl w:ilvl="0" w:tplc="04150005">
      <w:start w:val="1"/>
      <w:numFmt w:val="bullet"/>
      <w:lvlText w:val=""/>
      <w:lvlJc w:val="left"/>
      <w:pPr>
        <w:ind w:left="1146" w:hanging="360"/>
      </w:pPr>
      <w:rPr>
        <w:rFonts w:ascii="Wingdings" w:hAnsi="Wingdings"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nsid w:val="738A3974"/>
    <w:multiLevelType w:val="hybridMultilevel"/>
    <w:tmpl w:val="A8EA9686"/>
    <w:lvl w:ilvl="0" w:tplc="04150005">
      <w:start w:val="1"/>
      <w:numFmt w:val="bullet"/>
      <w:lvlText w:val=""/>
      <w:lvlJc w:val="left"/>
      <w:pPr>
        <w:tabs>
          <w:tab w:val="num" w:pos="1287"/>
        </w:tabs>
        <w:ind w:left="1287" w:hanging="360"/>
      </w:pPr>
      <w:rPr>
        <w:rFonts w:ascii="Wingdings" w:hAnsi="Wingdings"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48">
    <w:nsid w:val="75EE013C"/>
    <w:multiLevelType w:val="hybridMultilevel"/>
    <w:tmpl w:val="2D405432"/>
    <w:lvl w:ilvl="0" w:tplc="04150005">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9">
    <w:nsid w:val="76043F18"/>
    <w:multiLevelType w:val="hybridMultilevel"/>
    <w:tmpl w:val="5A6091F0"/>
    <w:lvl w:ilvl="0" w:tplc="18640FCE">
      <w:start w:val="4"/>
      <w:numFmt w:val="upperRoman"/>
      <w:lvlText w:val="%1."/>
      <w:lvlJc w:val="right"/>
      <w:pPr>
        <w:tabs>
          <w:tab w:val="num" w:pos="180"/>
        </w:tabs>
        <w:ind w:left="180" w:hanging="18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7B8454BB"/>
    <w:multiLevelType w:val="hybridMultilevel"/>
    <w:tmpl w:val="95F07C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C004D38"/>
    <w:multiLevelType w:val="hybridMultilevel"/>
    <w:tmpl w:val="2C2C1CB6"/>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2">
    <w:nsid w:val="7C912AD4"/>
    <w:multiLevelType w:val="hybridMultilevel"/>
    <w:tmpl w:val="7F52C9A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nsid w:val="7E8B642D"/>
    <w:multiLevelType w:val="hybridMultilevel"/>
    <w:tmpl w:val="B6E4DBC0"/>
    <w:lvl w:ilvl="0" w:tplc="80A48E50">
      <w:start w:val="1"/>
      <w:numFmt w:val="bullet"/>
      <w:lvlText w:val=""/>
      <w:lvlJc w:val="left"/>
      <w:pPr>
        <w:tabs>
          <w:tab w:val="num" w:pos="1713"/>
        </w:tabs>
        <w:ind w:left="1713" w:hanging="379"/>
      </w:pPr>
      <w:rPr>
        <w:rFonts w:ascii="Symbol" w:hAnsi="Symbol" w:hint="default"/>
        <w:color w:val="auto"/>
      </w:rPr>
    </w:lvl>
    <w:lvl w:ilvl="1" w:tplc="04150003" w:tentative="1">
      <w:start w:val="1"/>
      <w:numFmt w:val="bullet"/>
      <w:lvlText w:val="o"/>
      <w:lvlJc w:val="left"/>
      <w:pPr>
        <w:tabs>
          <w:tab w:val="num" w:pos="2717"/>
        </w:tabs>
        <w:ind w:left="2717" w:hanging="360"/>
      </w:pPr>
      <w:rPr>
        <w:rFonts w:ascii="Courier New" w:hAnsi="Courier New" w:cs="Courier New" w:hint="default"/>
      </w:rPr>
    </w:lvl>
    <w:lvl w:ilvl="2" w:tplc="04150005" w:tentative="1">
      <w:start w:val="1"/>
      <w:numFmt w:val="bullet"/>
      <w:lvlText w:val=""/>
      <w:lvlJc w:val="left"/>
      <w:pPr>
        <w:tabs>
          <w:tab w:val="num" w:pos="3437"/>
        </w:tabs>
        <w:ind w:left="3437" w:hanging="360"/>
      </w:pPr>
      <w:rPr>
        <w:rFonts w:ascii="Wingdings" w:hAnsi="Wingdings" w:hint="default"/>
      </w:rPr>
    </w:lvl>
    <w:lvl w:ilvl="3" w:tplc="04150001" w:tentative="1">
      <w:start w:val="1"/>
      <w:numFmt w:val="bullet"/>
      <w:lvlText w:val=""/>
      <w:lvlJc w:val="left"/>
      <w:pPr>
        <w:tabs>
          <w:tab w:val="num" w:pos="4157"/>
        </w:tabs>
        <w:ind w:left="4157" w:hanging="360"/>
      </w:pPr>
      <w:rPr>
        <w:rFonts w:ascii="Symbol" w:hAnsi="Symbol" w:hint="default"/>
      </w:rPr>
    </w:lvl>
    <w:lvl w:ilvl="4" w:tplc="04150003" w:tentative="1">
      <w:start w:val="1"/>
      <w:numFmt w:val="bullet"/>
      <w:lvlText w:val="o"/>
      <w:lvlJc w:val="left"/>
      <w:pPr>
        <w:tabs>
          <w:tab w:val="num" w:pos="4877"/>
        </w:tabs>
        <w:ind w:left="4877" w:hanging="360"/>
      </w:pPr>
      <w:rPr>
        <w:rFonts w:ascii="Courier New" w:hAnsi="Courier New" w:cs="Courier New" w:hint="default"/>
      </w:rPr>
    </w:lvl>
    <w:lvl w:ilvl="5" w:tplc="04150005" w:tentative="1">
      <w:start w:val="1"/>
      <w:numFmt w:val="bullet"/>
      <w:lvlText w:val=""/>
      <w:lvlJc w:val="left"/>
      <w:pPr>
        <w:tabs>
          <w:tab w:val="num" w:pos="5597"/>
        </w:tabs>
        <w:ind w:left="5597" w:hanging="360"/>
      </w:pPr>
      <w:rPr>
        <w:rFonts w:ascii="Wingdings" w:hAnsi="Wingdings" w:hint="default"/>
      </w:rPr>
    </w:lvl>
    <w:lvl w:ilvl="6" w:tplc="04150001" w:tentative="1">
      <w:start w:val="1"/>
      <w:numFmt w:val="bullet"/>
      <w:lvlText w:val=""/>
      <w:lvlJc w:val="left"/>
      <w:pPr>
        <w:tabs>
          <w:tab w:val="num" w:pos="6317"/>
        </w:tabs>
        <w:ind w:left="6317" w:hanging="360"/>
      </w:pPr>
      <w:rPr>
        <w:rFonts w:ascii="Symbol" w:hAnsi="Symbol" w:hint="default"/>
      </w:rPr>
    </w:lvl>
    <w:lvl w:ilvl="7" w:tplc="04150003" w:tentative="1">
      <w:start w:val="1"/>
      <w:numFmt w:val="bullet"/>
      <w:lvlText w:val="o"/>
      <w:lvlJc w:val="left"/>
      <w:pPr>
        <w:tabs>
          <w:tab w:val="num" w:pos="7037"/>
        </w:tabs>
        <w:ind w:left="7037" w:hanging="360"/>
      </w:pPr>
      <w:rPr>
        <w:rFonts w:ascii="Courier New" w:hAnsi="Courier New" w:cs="Courier New" w:hint="default"/>
      </w:rPr>
    </w:lvl>
    <w:lvl w:ilvl="8" w:tplc="04150005" w:tentative="1">
      <w:start w:val="1"/>
      <w:numFmt w:val="bullet"/>
      <w:lvlText w:val=""/>
      <w:lvlJc w:val="left"/>
      <w:pPr>
        <w:tabs>
          <w:tab w:val="num" w:pos="7757"/>
        </w:tabs>
        <w:ind w:left="7757" w:hanging="360"/>
      </w:pPr>
      <w:rPr>
        <w:rFonts w:ascii="Wingdings" w:hAnsi="Wingdings" w:hint="default"/>
      </w:rPr>
    </w:lvl>
  </w:abstractNum>
  <w:num w:numId="1">
    <w:abstractNumId w:val="9"/>
  </w:num>
  <w:num w:numId="2">
    <w:abstractNumId w:val="32"/>
  </w:num>
  <w:num w:numId="3">
    <w:abstractNumId w:val="1"/>
  </w:num>
  <w:num w:numId="4">
    <w:abstractNumId w:val="0"/>
  </w:num>
  <w:num w:numId="5">
    <w:abstractNumId w:val="5"/>
  </w:num>
  <w:num w:numId="6">
    <w:abstractNumId w:val="16"/>
  </w:num>
  <w:num w:numId="7">
    <w:abstractNumId w:val="11"/>
  </w:num>
  <w:num w:numId="8">
    <w:abstractNumId w:val="24"/>
  </w:num>
  <w:num w:numId="9">
    <w:abstractNumId w:val="49"/>
  </w:num>
  <w:num w:numId="10">
    <w:abstractNumId w:val="47"/>
  </w:num>
  <w:num w:numId="11">
    <w:abstractNumId w:val="33"/>
  </w:num>
  <w:num w:numId="12">
    <w:abstractNumId w:val="26"/>
  </w:num>
  <w:num w:numId="13">
    <w:abstractNumId w:val="28"/>
  </w:num>
  <w:num w:numId="14">
    <w:abstractNumId w:val="53"/>
  </w:num>
  <w:num w:numId="15">
    <w:abstractNumId w:val="14"/>
  </w:num>
  <w:num w:numId="16">
    <w:abstractNumId w:val="34"/>
  </w:num>
  <w:num w:numId="17">
    <w:abstractNumId w:val="21"/>
  </w:num>
  <w:num w:numId="18">
    <w:abstractNumId w:val="27"/>
  </w:num>
  <w:num w:numId="19">
    <w:abstractNumId w:val="29"/>
  </w:num>
  <w:num w:numId="20">
    <w:abstractNumId w:val="7"/>
  </w:num>
  <w:num w:numId="21">
    <w:abstractNumId w:val="51"/>
  </w:num>
  <w:num w:numId="22">
    <w:abstractNumId w:val="17"/>
  </w:num>
  <w:num w:numId="23">
    <w:abstractNumId w:val="13"/>
  </w:num>
  <w:num w:numId="24">
    <w:abstractNumId w:val="35"/>
  </w:num>
  <w:num w:numId="25">
    <w:abstractNumId w:val="22"/>
  </w:num>
  <w:num w:numId="26">
    <w:abstractNumId w:val="46"/>
  </w:num>
  <w:num w:numId="27">
    <w:abstractNumId w:val="45"/>
  </w:num>
  <w:num w:numId="28">
    <w:abstractNumId w:val="10"/>
  </w:num>
  <w:num w:numId="29">
    <w:abstractNumId w:val="7"/>
  </w:num>
  <w:num w:numId="30">
    <w:abstractNumId w:val="18"/>
  </w:num>
  <w:num w:numId="31">
    <w:abstractNumId w:val="39"/>
  </w:num>
  <w:num w:numId="32">
    <w:abstractNumId w:val="6"/>
  </w:num>
  <w:num w:numId="33">
    <w:abstractNumId w:val="50"/>
  </w:num>
  <w:num w:numId="34">
    <w:abstractNumId w:val="48"/>
  </w:num>
  <w:num w:numId="35">
    <w:abstractNumId w:val="42"/>
  </w:num>
  <w:num w:numId="36">
    <w:abstractNumId w:val="25"/>
  </w:num>
  <w:num w:numId="37">
    <w:abstractNumId w:val="8"/>
  </w:num>
  <w:num w:numId="38">
    <w:abstractNumId w:val="4"/>
  </w:num>
  <w:num w:numId="39">
    <w:abstractNumId w:val="41"/>
  </w:num>
  <w:num w:numId="40">
    <w:abstractNumId w:val="2"/>
  </w:num>
  <w:num w:numId="41">
    <w:abstractNumId w:val="29"/>
  </w:num>
  <w:num w:numId="42">
    <w:abstractNumId w:val="23"/>
  </w:num>
  <w:num w:numId="43">
    <w:abstractNumId w:val="15"/>
  </w:num>
  <w:num w:numId="44">
    <w:abstractNumId w:val="3"/>
  </w:num>
  <w:num w:numId="45">
    <w:abstractNumId w:val="52"/>
  </w:num>
  <w:num w:numId="46">
    <w:abstractNumId w:val="38"/>
  </w:num>
  <w:num w:numId="47">
    <w:abstractNumId w:val="40"/>
  </w:num>
  <w:num w:numId="48">
    <w:abstractNumId w:val="43"/>
  </w:num>
  <w:num w:numId="49">
    <w:abstractNumId w:val="19"/>
  </w:num>
  <w:num w:numId="50">
    <w:abstractNumId w:val="20"/>
  </w:num>
  <w:num w:numId="51">
    <w:abstractNumId w:val="44"/>
  </w:num>
  <w:num w:numId="52">
    <w:abstractNumId w:val="37"/>
  </w:num>
  <w:num w:numId="53">
    <w:abstractNumId w:val="12"/>
  </w:num>
  <w:num w:numId="54">
    <w:abstractNumId w:val="30"/>
  </w:num>
  <w:num w:numId="55">
    <w:abstractNumId w:val="36"/>
  </w:num>
  <w:num w:numId="56">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21"/>
    <w:rsid w:val="0000015A"/>
    <w:rsid w:val="0000272F"/>
    <w:rsid w:val="00003F1E"/>
    <w:rsid w:val="00004326"/>
    <w:rsid w:val="00007BC2"/>
    <w:rsid w:val="0001076A"/>
    <w:rsid w:val="000107B4"/>
    <w:rsid w:val="00010FC0"/>
    <w:rsid w:val="0001209E"/>
    <w:rsid w:val="00012BD4"/>
    <w:rsid w:val="00013FCE"/>
    <w:rsid w:val="00021F0E"/>
    <w:rsid w:val="00025470"/>
    <w:rsid w:val="00025C05"/>
    <w:rsid w:val="00026F6D"/>
    <w:rsid w:val="00030622"/>
    <w:rsid w:val="00031254"/>
    <w:rsid w:val="00032DA8"/>
    <w:rsid w:val="0003405B"/>
    <w:rsid w:val="00035775"/>
    <w:rsid w:val="000374C5"/>
    <w:rsid w:val="00040D18"/>
    <w:rsid w:val="00041943"/>
    <w:rsid w:val="0004226B"/>
    <w:rsid w:val="0004336D"/>
    <w:rsid w:val="000438F3"/>
    <w:rsid w:val="0004458A"/>
    <w:rsid w:val="00044E4D"/>
    <w:rsid w:val="00047068"/>
    <w:rsid w:val="00050210"/>
    <w:rsid w:val="0005125D"/>
    <w:rsid w:val="000527B5"/>
    <w:rsid w:val="00052F16"/>
    <w:rsid w:val="0005479A"/>
    <w:rsid w:val="000551F7"/>
    <w:rsid w:val="0005582A"/>
    <w:rsid w:val="000603DF"/>
    <w:rsid w:val="000619FA"/>
    <w:rsid w:val="00062A09"/>
    <w:rsid w:val="00065324"/>
    <w:rsid w:val="00065493"/>
    <w:rsid w:val="00065980"/>
    <w:rsid w:val="00067529"/>
    <w:rsid w:val="00071E82"/>
    <w:rsid w:val="000738A1"/>
    <w:rsid w:val="000753A1"/>
    <w:rsid w:val="00076A21"/>
    <w:rsid w:val="00081A20"/>
    <w:rsid w:val="00083A6B"/>
    <w:rsid w:val="00085860"/>
    <w:rsid w:val="00087D71"/>
    <w:rsid w:val="0009051B"/>
    <w:rsid w:val="00091323"/>
    <w:rsid w:val="00091A6E"/>
    <w:rsid w:val="00093F20"/>
    <w:rsid w:val="000962BF"/>
    <w:rsid w:val="00096C8F"/>
    <w:rsid w:val="000A0181"/>
    <w:rsid w:val="000A057F"/>
    <w:rsid w:val="000A500D"/>
    <w:rsid w:val="000A6D1D"/>
    <w:rsid w:val="000A759C"/>
    <w:rsid w:val="000B01B0"/>
    <w:rsid w:val="000B189B"/>
    <w:rsid w:val="000B33B1"/>
    <w:rsid w:val="000B3CA3"/>
    <w:rsid w:val="000B3E1E"/>
    <w:rsid w:val="000B4EF4"/>
    <w:rsid w:val="000B7E40"/>
    <w:rsid w:val="000C0D68"/>
    <w:rsid w:val="000C0FE8"/>
    <w:rsid w:val="000C10A5"/>
    <w:rsid w:val="000C1BC3"/>
    <w:rsid w:val="000C2E7C"/>
    <w:rsid w:val="000C3FF7"/>
    <w:rsid w:val="000C5EC7"/>
    <w:rsid w:val="000C70CA"/>
    <w:rsid w:val="000C7AAF"/>
    <w:rsid w:val="000D45FD"/>
    <w:rsid w:val="000D4B3A"/>
    <w:rsid w:val="000D62A7"/>
    <w:rsid w:val="000D7637"/>
    <w:rsid w:val="000E0752"/>
    <w:rsid w:val="000E3157"/>
    <w:rsid w:val="000E3792"/>
    <w:rsid w:val="000E454E"/>
    <w:rsid w:val="000E49D0"/>
    <w:rsid w:val="000E4C06"/>
    <w:rsid w:val="000E4E5E"/>
    <w:rsid w:val="000F0151"/>
    <w:rsid w:val="000F3235"/>
    <w:rsid w:val="000F489F"/>
    <w:rsid w:val="000F5522"/>
    <w:rsid w:val="000F6140"/>
    <w:rsid w:val="000F678A"/>
    <w:rsid w:val="000F696C"/>
    <w:rsid w:val="000F71D5"/>
    <w:rsid w:val="0010144D"/>
    <w:rsid w:val="00103109"/>
    <w:rsid w:val="00103FAE"/>
    <w:rsid w:val="00105FC7"/>
    <w:rsid w:val="00106049"/>
    <w:rsid w:val="001061B1"/>
    <w:rsid w:val="0010722E"/>
    <w:rsid w:val="0011002F"/>
    <w:rsid w:val="00110D09"/>
    <w:rsid w:val="001110A3"/>
    <w:rsid w:val="0011568D"/>
    <w:rsid w:val="00116454"/>
    <w:rsid w:val="0011788E"/>
    <w:rsid w:val="001202D1"/>
    <w:rsid w:val="00120C8A"/>
    <w:rsid w:val="00120EE1"/>
    <w:rsid w:val="00122C4B"/>
    <w:rsid w:val="00124212"/>
    <w:rsid w:val="0012562D"/>
    <w:rsid w:val="001258C1"/>
    <w:rsid w:val="00125C49"/>
    <w:rsid w:val="001265E3"/>
    <w:rsid w:val="00127364"/>
    <w:rsid w:val="00130279"/>
    <w:rsid w:val="00130D7D"/>
    <w:rsid w:val="001320B5"/>
    <w:rsid w:val="00137C53"/>
    <w:rsid w:val="001403DA"/>
    <w:rsid w:val="00140A93"/>
    <w:rsid w:val="001418F8"/>
    <w:rsid w:val="00141AB1"/>
    <w:rsid w:val="001429DC"/>
    <w:rsid w:val="00143ED5"/>
    <w:rsid w:val="00145710"/>
    <w:rsid w:val="001460E8"/>
    <w:rsid w:val="0015430F"/>
    <w:rsid w:val="0015499C"/>
    <w:rsid w:val="00155B3E"/>
    <w:rsid w:val="00155ECD"/>
    <w:rsid w:val="00156650"/>
    <w:rsid w:val="00156BED"/>
    <w:rsid w:val="00157060"/>
    <w:rsid w:val="00157326"/>
    <w:rsid w:val="0015746F"/>
    <w:rsid w:val="00157986"/>
    <w:rsid w:val="001609C2"/>
    <w:rsid w:val="0016142F"/>
    <w:rsid w:val="00161471"/>
    <w:rsid w:val="001621CB"/>
    <w:rsid w:val="001634DB"/>
    <w:rsid w:val="00163D73"/>
    <w:rsid w:val="00166572"/>
    <w:rsid w:val="0016676D"/>
    <w:rsid w:val="001733E0"/>
    <w:rsid w:val="00173761"/>
    <w:rsid w:val="00173907"/>
    <w:rsid w:val="00173EFD"/>
    <w:rsid w:val="0017512B"/>
    <w:rsid w:val="001809D7"/>
    <w:rsid w:val="00182211"/>
    <w:rsid w:val="001855D8"/>
    <w:rsid w:val="00185FE8"/>
    <w:rsid w:val="00186175"/>
    <w:rsid w:val="00187127"/>
    <w:rsid w:val="00187AF7"/>
    <w:rsid w:val="0019009D"/>
    <w:rsid w:val="00190208"/>
    <w:rsid w:val="00191D29"/>
    <w:rsid w:val="001938B0"/>
    <w:rsid w:val="0019393D"/>
    <w:rsid w:val="00193DD4"/>
    <w:rsid w:val="001940AE"/>
    <w:rsid w:val="001952E3"/>
    <w:rsid w:val="00195F4C"/>
    <w:rsid w:val="0019687D"/>
    <w:rsid w:val="00196D30"/>
    <w:rsid w:val="001974C4"/>
    <w:rsid w:val="00197CBF"/>
    <w:rsid w:val="001A12E3"/>
    <w:rsid w:val="001A2A25"/>
    <w:rsid w:val="001A5965"/>
    <w:rsid w:val="001A67DF"/>
    <w:rsid w:val="001A7002"/>
    <w:rsid w:val="001B0943"/>
    <w:rsid w:val="001B1DBC"/>
    <w:rsid w:val="001B24A7"/>
    <w:rsid w:val="001B37F8"/>
    <w:rsid w:val="001B3C84"/>
    <w:rsid w:val="001B5D5F"/>
    <w:rsid w:val="001C009D"/>
    <w:rsid w:val="001C128C"/>
    <w:rsid w:val="001C2ADB"/>
    <w:rsid w:val="001C4F25"/>
    <w:rsid w:val="001D1661"/>
    <w:rsid w:val="001D34F1"/>
    <w:rsid w:val="001D5ACE"/>
    <w:rsid w:val="001D7348"/>
    <w:rsid w:val="001E01EC"/>
    <w:rsid w:val="001E1081"/>
    <w:rsid w:val="001E256E"/>
    <w:rsid w:val="001E33BB"/>
    <w:rsid w:val="001E39C9"/>
    <w:rsid w:val="001F0C17"/>
    <w:rsid w:val="001F423C"/>
    <w:rsid w:val="001F6CB2"/>
    <w:rsid w:val="00202533"/>
    <w:rsid w:val="002036FF"/>
    <w:rsid w:val="002054A8"/>
    <w:rsid w:val="00205EAE"/>
    <w:rsid w:val="00207BD7"/>
    <w:rsid w:val="00207F72"/>
    <w:rsid w:val="0021006F"/>
    <w:rsid w:val="0021021A"/>
    <w:rsid w:val="00211186"/>
    <w:rsid w:val="00211F83"/>
    <w:rsid w:val="002124F9"/>
    <w:rsid w:val="00213D25"/>
    <w:rsid w:val="002146B8"/>
    <w:rsid w:val="0021551C"/>
    <w:rsid w:val="00215F05"/>
    <w:rsid w:val="00220C6E"/>
    <w:rsid w:val="002223F0"/>
    <w:rsid w:val="00222CDE"/>
    <w:rsid w:val="00222D95"/>
    <w:rsid w:val="002240A7"/>
    <w:rsid w:val="00230C4F"/>
    <w:rsid w:val="00230DE2"/>
    <w:rsid w:val="00232A16"/>
    <w:rsid w:val="002342F0"/>
    <w:rsid w:val="00234534"/>
    <w:rsid w:val="00236ACF"/>
    <w:rsid w:val="00237901"/>
    <w:rsid w:val="00240835"/>
    <w:rsid w:val="002416B2"/>
    <w:rsid w:val="0024188B"/>
    <w:rsid w:val="00241E47"/>
    <w:rsid w:val="0024324F"/>
    <w:rsid w:val="00243E1C"/>
    <w:rsid w:val="002441BD"/>
    <w:rsid w:val="00244511"/>
    <w:rsid w:val="00244BC1"/>
    <w:rsid w:val="002452B7"/>
    <w:rsid w:val="0024663D"/>
    <w:rsid w:val="002474A6"/>
    <w:rsid w:val="00247B8D"/>
    <w:rsid w:val="0025428A"/>
    <w:rsid w:val="00256D09"/>
    <w:rsid w:val="002574FA"/>
    <w:rsid w:val="002605E8"/>
    <w:rsid w:val="0026361E"/>
    <w:rsid w:val="00263F6A"/>
    <w:rsid w:val="00264FC5"/>
    <w:rsid w:val="00271BC1"/>
    <w:rsid w:val="00272FE3"/>
    <w:rsid w:val="00273094"/>
    <w:rsid w:val="002743E6"/>
    <w:rsid w:val="00283122"/>
    <w:rsid w:val="0028370F"/>
    <w:rsid w:val="00284580"/>
    <w:rsid w:val="00284D39"/>
    <w:rsid w:val="00286965"/>
    <w:rsid w:val="0028730E"/>
    <w:rsid w:val="0029430F"/>
    <w:rsid w:val="00297713"/>
    <w:rsid w:val="002A0825"/>
    <w:rsid w:val="002A1041"/>
    <w:rsid w:val="002A1751"/>
    <w:rsid w:val="002A4B43"/>
    <w:rsid w:val="002A56AE"/>
    <w:rsid w:val="002A7889"/>
    <w:rsid w:val="002B0874"/>
    <w:rsid w:val="002B104D"/>
    <w:rsid w:val="002B1697"/>
    <w:rsid w:val="002B1AE9"/>
    <w:rsid w:val="002B349C"/>
    <w:rsid w:val="002B3B28"/>
    <w:rsid w:val="002B60F6"/>
    <w:rsid w:val="002B71C0"/>
    <w:rsid w:val="002B7DE4"/>
    <w:rsid w:val="002B7F25"/>
    <w:rsid w:val="002B7F51"/>
    <w:rsid w:val="002C41A4"/>
    <w:rsid w:val="002C4B68"/>
    <w:rsid w:val="002C7067"/>
    <w:rsid w:val="002D0040"/>
    <w:rsid w:val="002D07B3"/>
    <w:rsid w:val="002D1C06"/>
    <w:rsid w:val="002D27F6"/>
    <w:rsid w:val="002D69E7"/>
    <w:rsid w:val="002D73F4"/>
    <w:rsid w:val="002D7AE7"/>
    <w:rsid w:val="002E02AE"/>
    <w:rsid w:val="002E1BE6"/>
    <w:rsid w:val="002E2912"/>
    <w:rsid w:val="002E4960"/>
    <w:rsid w:val="002E4E0D"/>
    <w:rsid w:val="002E7E54"/>
    <w:rsid w:val="002F042A"/>
    <w:rsid w:val="002F0FAB"/>
    <w:rsid w:val="002F2355"/>
    <w:rsid w:val="002F5989"/>
    <w:rsid w:val="002F5FFD"/>
    <w:rsid w:val="00300489"/>
    <w:rsid w:val="00301ECE"/>
    <w:rsid w:val="00303DB1"/>
    <w:rsid w:val="00304279"/>
    <w:rsid w:val="003077AA"/>
    <w:rsid w:val="003078AE"/>
    <w:rsid w:val="003124A8"/>
    <w:rsid w:val="00312F53"/>
    <w:rsid w:val="003135DA"/>
    <w:rsid w:val="003178A5"/>
    <w:rsid w:val="00320A8B"/>
    <w:rsid w:val="00321861"/>
    <w:rsid w:val="0032193D"/>
    <w:rsid w:val="003246EC"/>
    <w:rsid w:val="00325AFD"/>
    <w:rsid w:val="003273F5"/>
    <w:rsid w:val="00327AFE"/>
    <w:rsid w:val="003315CB"/>
    <w:rsid w:val="00332760"/>
    <w:rsid w:val="0033474E"/>
    <w:rsid w:val="0033571E"/>
    <w:rsid w:val="00337C66"/>
    <w:rsid w:val="003411F6"/>
    <w:rsid w:val="003417B8"/>
    <w:rsid w:val="00342CCA"/>
    <w:rsid w:val="00342FA3"/>
    <w:rsid w:val="0034385E"/>
    <w:rsid w:val="00345211"/>
    <w:rsid w:val="0034654E"/>
    <w:rsid w:val="003466F6"/>
    <w:rsid w:val="003470CC"/>
    <w:rsid w:val="00347841"/>
    <w:rsid w:val="00350994"/>
    <w:rsid w:val="003513DF"/>
    <w:rsid w:val="00351A3F"/>
    <w:rsid w:val="003521C1"/>
    <w:rsid w:val="0035511E"/>
    <w:rsid w:val="003572FE"/>
    <w:rsid w:val="00357A63"/>
    <w:rsid w:val="0036191F"/>
    <w:rsid w:val="0036298A"/>
    <w:rsid w:val="00363A8C"/>
    <w:rsid w:val="00364DDF"/>
    <w:rsid w:val="0036542C"/>
    <w:rsid w:val="00370D38"/>
    <w:rsid w:val="00370E71"/>
    <w:rsid w:val="00371C95"/>
    <w:rsid w:val="003725C2"/>
    <w:rsid w:val="003732C6"/>
    <w:rsid w:val="00373B2D"/>
    <w:rsid w:val="003752ED"/>
    <w:rsid w:val="003754D5"/>
    <w:rsid w:val="003760DA"/>
    <w:rsid w:val="003771F8"/>
    <w:rsid w:val="0037799F"/>
    <w:rsid w:val="00377DEB"/>
    <w:rsid w:val="00380E54"/>
    <w:rsid w:val="00381424"/>
    <w:rsid w:val="00382E53"/>
    <w:rsid w:val="00382E72"/>
    <w:rsid w:val="00383C61"/>
    <w:rsid w:val="00385362"/>
    <w:rsid w:val="00385D59"/>
    <w:rsid w:val="00385FF3"/>
    <w:rsid w:val="00386A73"/>
    <w:rsid w:val="0038734E"/>
    <w:rsid w:val="0039098D"/>
    <w:rsid w:val="00392A7A"/>
    <w:rsid w:val="00395997"/>
    <w:rsid w:val="0039637A"/>
    <w:rsid w:val="003965DC"/>
    <w:rsid w:val="003A1887"/>
    <w:rsid w:val="003A188E"/>
    <w:rsid w:val="003A18AB"/>
    <w:rsid w:val="003A2642"/>
    <w:rsid w:val="003A2FCA"/>
    <w:rsid w:val="003A3163"/>
    <w:rsid w:val="003B06B6"/>
    <w:rsid w:val="003B3A01"/>
    <w:rsid w:val="003B4924"/>
    <w:rsid w:val="003B4CC0"/>
    <w:rsid w:val="003B6EFF"/>
    <w:rsid w:val="003B74F6"/>
    <w:rsid w:val="003B7BF2"/>
    <w:rsid w:val="003C03CA"/>
    <w:rsid w:val="003C1515"/>
    <w:rsid w:val="003C1A8D"/>
    <w:rsid w:val="003C4093"/>
    <w:rsid w:val="003C4155"/>
    <w:rsid w:val="003C471B"/>
    <w:rsid w:val="003D03E7"/>
    <w:rsid w:val="003D0A1C"/>
    <w:rsid w:val="003D0B49"/>
    <w:rsid w:val="003D4E30"/>
    <w:rsid w:val="003E10AF"/>
    <w:rsid w:val="003E14B2"/>
    <w:rsid w:val="003E1CA2"/>
    <w:rsid w:val="003E1E59"/>
    <w:rsid w:val="003E37FD"/>
    <w:rsid w:val="003E4F06"/>
    <w:rsid w:val="003E58F9"/>
    <w:rsid w:val="003E61C6"/>
    <w:rsid w:val="003E6ED1"/>
    <w:rsid w:val="003E7AD8"/>
    <w:rsid w:val="003F0E15"/>
    <w:rsid w:val="003F0F12"/>
    <w:rsid w:val="003F24C6"/>
    <w:rsid w:val="003F299A"/>
    <w:rsid w:val="003F323E"/>
    <w:rsid w:val="003F51E6"/>
    <w:rsid w:val="003F63B0"/>
    <w:rsid w:val="003F669D"/>
    <w:rsid w:val="003F6D58"/>
    <w:rsid w:val="003F712A"/>
    <w:rsid w:val="003F719B"/>
    <w:rsid w:val="00400500"/>
    <w:rsid w:val="00401ED4"/>
    <w:rsid w:val="004070A7"/>
    <w:rsid w:val="004077B3"/>
    <w:rsid w:val="00410791"/>
    <w:rsid w:val="00410C7D"/>
    <w:rsid w:val="00412960"/>
    <w:rsid w:val="00413D97"/>
    <w:rsid w:val="004178E1"/>
    <w:rsid w:val="00421326"/>
    <w:rsid w:val="0042151A"/>
    <w:rsid w:val="00430034"/>
    <w:rsid w:val="00431105"/>
    <w:rsid w:val="00431AB0"/>
    <w:rsid w:val="004333FD"/>
    <w:rsid w:val="00433A07"/>
    <w:rsid w:val="00433B7D"/>
    <w:rsid w:val="00435093"/>
    <w:rsid w:val="0043577F"/>
    <w:rsid w:val="0043752B"/>
    <w:rsid w:val="004376DF"/>
    <w:rsid w:val="00437C6C"/>
    <w:rsid w:val="00441F7C"/>
    <w:rsid w:val="00442F86"/>
    <w:rsid w:val="00444681"/>
    <w:rsid w:val="00444E84"/>
    <w:rsid w:val="00447E2F"/>
    <w:rsid w:val="00450EEB"/>
    <w:rsid w:val="00456046"/>
    <w:rsid w:val="00456BEA"/>
    <w:rsid w:val="00457006"/>
    <w:rsid w:val="00460DCD"/>
    <w:rsid w:val="00462248"/>
    <w:rsid w:val="00463732"/>
    <w:rsid w:val="00463D1E"/>
    <w:rsid w:val="00465F94"/>
    <w:rsid w:val="00466387"/>
    <w:rsid w:val="00471110"/>
    <w:rsid w:val="004712E6"/>
    <w:rsid w:val="0047218C"/>
    <w:rsid w:val="0047269E"/>
    <w:rsid w:val="00473697"/>
    <w:rsid w:val="00473D6E"/>
    <w:rsid w:val="00474A17"/>
    <w:rsid w:val="00477A95"/>
    <w:rsid w:val="004835BA"/>
    <w:rsid w:val="00484765"/>
    <w:rsid w:val="00484DB1"/>
    <w:rsid w:val="00485478"/>
    <w:rsid w:val="00485D99"/>
    <w:rsid w:val="004868AC"/>
    <w:rsid w:val="0049006A"/>
    <w:rsid w:val="00492ACB"/>
    <w:rsid w:val="00492FDC"/>
    <w:rsid w:val="004953EE"/>
    <w:rsid w:val="00496AC1"/>
    <w:rsid w:val="00497692"/>
    <w:rsid w:val="004A0B18"/>
    <w:rsid w:val="004A22C1"/>
    <w:rsid w:val="004A25AE"/>
    <w:rsid w:val="004A2D80"/>
    <w:rsid w:val="004A3DFA"/>
    <w:rsid w:val="004A4FAF"/>
    <w:rsid w:val="004A6C3E"/>
    <w:rsid w:val="004B16CB"/>
    <w:rsid w:val="004B256E"/>
    <w:rsid w:val="004B42C9"/>
    <w:rsid w:val="004B4F64"/>
    <w:rsid w:val="004B5138"/>
    <w:rsid w:val="004B7754"/>
    <w:rsid w:val="004C0119"/>
    <w:rsid w:val="004C1757"/>
    <w:rsid w:val="004C1AC0"/>
    <w:rsid w:val="004C1BB2"/>
    <w:rsid w:val="004C352F"/>
    <w:rsid w:val="004C39E4"/>
    <w:rsid w:val="004C3D6D"/>
    <w:rsid w:val="004C4671"/>
    <w:rsid w:val="004C4850"/>
    <w:rsid w:val="004C53F8"/>
    <w:rsid w:val="004C6765"/>
    <w:rsid w:val="004C6C66"/>
    <w:rsid w:val="004C7873"/>
    <w:rsid w:val="004C7B10"/>
    <w:rsid w:val="004D0136"/>
    <w:rsid w:val="004D02E9"/>
    <w:rsid w:val="004D15A1"/>
    <w:rsid w:val="004D3226"/>
    <w:rsid w:val="004D4E74"/>
    <w:rsid w:val="004D58A4"/>
    <w:rsid w:val="004E0A22"/>
    <w:rsid w:val="004E182C"/>
    <w:rsid w:val="004E4C73"/>
    <w:rsid w:val="004E570B"/>
    <w:rsid w:val="004E5960"/>
    <w:rsid w:val="004E6FC3"/>
    <w:rsid w:val="004E73D9"/>
    <w:rsid w:val="004F279E"/>
    <w:rsid w:val="004F2D0D"/>
    <w:rsid w:val="004F3613"/>
    <w:rsid w:val="004F4433"/>
    <w:rsid w:val="004F6F4A"/>
    <w:rsid w:val="004F7807"/>
    <w:rsid w:val="0050148C"/>
    <w:rsid w:val="00501725"/>
    <w:rsid w:val="00501747"/>
    <w:rsid w:val="00503BE1"/>
    <w:rsid w:val="00503E7E"/>
    <w:rsid w:val="00504ACE"/>
    <w:rsid w:val="00505B97"/>
    <w:rsid w:val="005070C0"/>
    <w:rsid w:val="00510B82"/>
    <w:rsid w:val="00510DD1"/>
    <w:rsid w:val="0051237E"/>
    <w:rsid w:val="00512909"/>
    <w:rsid w:val="0051316A"/>
    <w:rsid w:val="00513674"/>
    <w:rsid w:val="00515084"/>
    <w:rsid w:val="0051663D"/>
    <w:rsid w:val="005177CD"/>
    <w:rsid w:val="00523ACB"/>
    <w:rsid w:val="00524734"/>
    <w:rsid w:val="00525EA7"/>
    <w:rsid w:val="00531B77"/>
    <w:rsid w:val="0053249B"/>
    <w:rsid w:val="005352AF"/>
    <w:rsid w:val="00535E08"/>
    <w:rsid w:val="005375E8"/>
    <w:rsid w:val="00537DCB"/>
    <w:rsid w:val="00540013"/>
    <w:rsid w:val="005412A4"/>
    <w:rsid w:val="00543152"/>
    <w:rsid w:val="005439CB"/>
    <w:rsid w:val="00543B50"/>
    <w:rsid w:val="005448E4"/>
    <w:rsid w:val="00544C3C"/>
    <w:rsid w:val="005450F4"/>
    <w:rsid w:val="0054572F"/>
    <w:rsid w:val="00551D60"/>
    <w:rsid w:val="00551E43"/>
    <w:rsid w:val="0055405E"/>
    <w:rsid w:val="0055481A"/>
    <w:rsid w:val="005558DB"/>
    <w:rsid w:val="005565E4"/>
    <w:rsid w:val="00557BD6"/>
    <w:rsid w:val="005622CC"/>
    <w:rsid w:val="00562325"/>
    <w:rsid w:val="00562C82"/>
    <w:rsid w:val="00566AC8"/>
    <w:rsid w:val="00567344"/>
    <w:rsid w:val="00567661"/>
    <w:rsid w:val="00567AD3"/>
    <w:rsid w:val="005706AE"/>
    <w:rsid w:val="0057115E"/>
    <w:rsid w:val="00571719"/>
    <w:rsid w:val="0057172A"/>
    <w:rsid w:val="00572F7E"/>
    <w:rsid w:val="005739BD"/>
    <w:rsid w:val="00573F08"/>
    <w:rsid w:val="005744C9"/>
    <w:rsid w:val="005749FB"/>
    <w:rsid w:val="00577860"/>
    <w:rsid w:val="00582038"/>
    <w:rsid w:val="005836D2"/>
    <w:rsid w:val="005844BE"/>
    <w:rsid w:val="00584AC3"/>
    <w:rsid w:val="00585091"/>
    <w:rsid w:val="00586AA6"/>
    <w:rsid w:val="00587F5C"/>
    <w:rsid w:val="005907D1"/>
    <w:rsid w:val="00593583"/>
    <w:rsid w:val="005943FF"/>
    <w:rsid w:val="00595187"/>
    <w:rsid w:val="00595397"/>
    <w:rsid w:val="005A2A54"/>
    <w:rsid w:val="005A3229"/>
    <w:rsid w:val="005A32C5"/>
    <w:rsid w:val="005A6998"/>
    <w:rsid w:val="005A773C"/>
    <w:rsid w:val="005B03D0"/>
    <w:rsid w:val="005B2A59"/>
    <w:rsid w:val="005B61E7"/>
    <w:rsid w:val="005B6654"/>
    <w:rsid w:val="005B775E"/>
    <w:rsid w:val="005C07E8"/>
    <w:rsid w:val="005C102A"/>
    <w:rsid w:val="005C1464"/>
    <w:rsid w:val="005C23DC"/>
    <w:rsid w:val="005C2CF2"/>
    <w:rsid w:val="005C2D93"/>
    <w:rsid w:val="005C4907"/>
    <w:rsid w:val="005D16BA"/>
    <w:rsid w:val="005D1CB7"/>
    <w:rsid w:val="005D2291"/>
    <w:rsid w:val="005D25EE"/>
    <w:rsid w:val="005D3184"/>
    <w:rsid w:val="005D3B23"/>
    <w:rsid w:val="005D4628"/>
    <w:rsid w:val="005D4784"/>
    <w:rsid w:val="005D5452"/>
    <w:rsid w:val="005D750E"/>
    <w:rsid w:val="005D7586"/>
    <w:rsid w:val="005D7E61"/>
    <w:rsid w:val="005E03C8"/>
    <w:rsid w:val="005E09CD"/>
    <w:rsid w:val="005E33AF"/>
    <w:rsid w:val="005E3482"/>
    <w:rsid w:val="005E57B7"/>
    <w:rsid w:val="005E6A45"/>
    <w:rsid w:val="005F0173"/>
    <w:rsid w:val="005F0D1D"/>
    <w:rsid w:val="005F26A6"/>
    <w:rsid w:val="005F2DA1"/>
    <w:rsid w:val="005F2FBC"/>
    <w:rsid w:val="005F4544"/>
    <w:rsid w:val="005F51F3"/>
    <w:rsid w:val="005F750F"/>
    <w:rsid w:val="00601506"/>
    <w:rsid w:val="00602653"/>
    <w:rsid w:val="00602E2D"/>
    <w:rsid w:val="00604825"/>
    <w:rsid w:val="00604E82"/>
    <w:rsid w:val="0060523C"/>
    <w:rsid w:val="00605E48"/>
    <w:rsid w:val="00606223"/>
    <w:rsid w:val="0060660A"/>
    <w:rsid w:val="00606D49"/>
    <w:rsid w:val="006106E4"/>
    <w:rsid w:val="00611D7A"/>
    <w:rsid w:val="00612221"/>
    <w:rsid w:val="0061303A"/>
    <w:rsid w:val="00613DD7"/>
    <w:rsid w:val="00620386"/>
    <w:rsid w:val="006222AF"/>
    <w:rsid w:val="006246DE"/>
    <w:rsid w:val="006260F2"/>
    <w:rsid w:val="00630F54"/>
    <w:rsid w:val="00634EEC"/>
    <w:rsid w:val="006357BD"/>
    <w:rsid w:val="006364F0"/>
    <w:rsid w:val="00636A86"/>
    <w:rsid w:val="00636B4B"/>
    <w:rsid w:val="00636E8A"/>
    <w:rsid w:val="00637541"/>
    <w:rsid w:val="00640AE1"/>
    <w:rsid w:val="006413C1"/>
    <w:rsid w:val="00642A9F"/>
    <w:rsid w:val="0064325A"/>
    <w:rsid w:val="00644328"/>
    <w:rsid w:val="00646E88"/>
    <w:rsid w:val="00647D82"/>
    <w:rsid w:val="00647EAF"/>
    <w:rsid w:val="00652545"/>
    <w:rsid w:val="00654446"/>
    <w:rsid w:val="006560BE"/>
    <w:rsid w:val="00656FB0"/>
    <w:rsid w:val="006603E5"/>
    <w:rsid w:val="00660AC5"/>
    <w:rsid w:val="00660E00"/>
    <w:rsid w:val="0066130B"/>
    <w:rsid w:val="006618A2"/>
    <w:rsid w:val="00662082"/>
    <w:rsid w:val="00662B4C"/>
    <w:rsid w:val="00662DF9"/>
    <w:rsid w:val="00663A0F"/>
    <w:rsid w:val="00665AF4"/>
    <w:rsid w:val="00665F36"/>
    <w:rsid w:val="00666553"/>
    <w:rsid w:val="00666A63"/>
    <w:rsid w:val="00666B3B"/>
    <w:rsid w:val="0066712E"/>
    <w:rsid w:val="00670048"/>
    <w:rsid w:val="006701AA"/>
    <w:rsid w:val="00670206"/>
    <w:rsid w:val="00670D75"/>
    <w:rsid w:val="00672642"/>
    <w:rsid w:val="0067352D"/>
    <w:rsid w:val="006752EC"/>
    <w:rsid w:val="006778E3"/>
    <w:rsid w:val="00680F5C"/>
    <w:rsid w:val="00686F91"/>
    <w:rsid w:val="00692E88"/>
    <w:rsid w:val="0069467C"/>
    <w:rsid w:val="00695E96"/>
    <w:rsid w:val="00696320"/>
    <w:rsid w:val="0069758B"/>
    <w:rsid w:val="00697BA9"/>
    <w:rsid w:val="006A12A3"/>
    <w:rsid w:val="006A52C0"/>
    <w:rsid w:val="006A549A"/>
    <w:rsid w:val="006A6BE4"/>
    <w:rsid w:val="006A7F62"/>
    <w:rsid w:val="006B0C39"/>
    <w:rsid w:val="006B3100"/>
    <w:rsid w:val="006B3CF2"/>
    <w:rsid w:val="006B7624"/>
    <w:rsid w:val="006C1C4B"/>
    <w:rsid w:val="006C216E"/>
    <w:rsid w:val="006C4199"/>
    <w:rsid w:val="006C580C"/>
    <w:rsid w:val="006C651D"/>
    <w:rsid w:val="006C6C3A"/>
    <w:rsid w:val="006C6C9F"/>
    <w:rsid w:val="006D0723"/>
    <w:rsid w:val="006D2C67"/>
    <w:rsid w:val="006D384A"/>
    <w:rsid w:val="006D5069"/>
    <w:rsid w:val="006D5C33"/>
    <w:rsid w:val="006E1DBB"/>
    <w:rsid w:val="006E357D"/>
    <w:rsid w:val="006E5DDA"/>
    <w:rsid w:val="006E7A63"/>
    <w:rsid w:val="006F18BD"/>
    <w:rsid w:val="006F43E1"/>
    <w:rsid w:val="006F6FD6"/>
    <w:rsid w:val="006F737F"/>
    <w:rsid w:val="00702C31"/>
    <w:rsid w:val="00703BF2"/>
    <w:rsid w:val="00705FD6"/>
    <w:rsid w:val="00706CE0"/>
    <w:rsid w:val="00712957"/>
    <w:rsid w:val="007166CA"/>
    <w:rsid w:val="0071687E"/>
    <w:rsid w:val="007206D5"/>
    <w:rsid w:val="00722B8B"/>
    <w:rsid w:val="007238FF"/>
    <w:rsid w:val="00724D31"/>
    <w:rsid w:val="00732A4A"/>
    <w:rsid w:val="00734766"/>
    <w:rsid w:val="00736194"/>
    <w:rsid w:val="0074181A"/>
    <w:rsid w:val="00741D51"/>
    <w:rsid w:val="00743A7B"/>
    <w:rsid w:val="00743A8C"/>
    <w:rsid w:val="007440C9"/>
    <w:rsid w:val="0075286D"/>
    <w:rsid w:val="0075323E"/>
    <w:rsid w:val="0075383A"/>
    <w:rsid w:val="00754F79"/>
    <w:rsid w:val="00756457"/>
    <w:rsid w:val="0076076E"/>
    <w:rsid w:val="00762194"/>
    <w:rsid w:val="0076262C"/>
    <w:rsid w:val="007626A0"/>
    <w:rsid w:val="007631D5"/>
    <w:rsid w:val="007632FE"/>
    <w:rsid w:val="00764C54"/>
    <w:rsid w:val="0077154B"/>
    <w:rsid w:val="0077175A"/>
    <w:rsid w:val="00771813"/>
    <w:rsid w:val="0077273B"/>
    <w:rsid w:val="00774ECA"/>
    <w:rsid w:val="007768D7"/>
    <w:rsid w:val="0077797F"/>
    <w:rsid w:val="00777B2D"/>
    <w:rsid w:val="00781B13"/>
    <w:rsid w:val="007826E6"/>
    <w:rsid w:val="00783046"/>
    <w:rsid w:val="007837EB"/>
    <w:rsid w:val="00783F1B"/>
    <w:rsid w:val="0078448A"/>
    <w:rsid w:val="00784663"/>
    <w:rsid w:val="00790EB9"/>
    <w:rsid w:val="00793304"/>
    <w:rsid w:val="007938AF"/>
    <w:rsid w:val="007966C6"/>
    <w:rsid w:val="007A04FE"/>
    <w:rsid w:val="007A0910"/>
    <w:rsid w:val="007A276D"/>
    <w:rsid w:val="007A624B"/>
    <w:rsid w:val="007B13A0"/>
    <w:rsid w:val="007B19F6"/>
    <w:rsid w:val="007B282D"/>
    <w:rsid w:val="007B2C90"/>
    <w:rsid w:val="007B3922"/>
    <w:rsid w:val="007B631E"/>
    <w:rsid w:val="007B6638"/>
    <w:rsid w:val="007B699E"/>
    <w:rsid w:val="007C02BC"/>
    <w:rsid w:val="007C3F1B"/>
    <w:rsid w:val="007D037C"/>
    <w:rsid w:val="007D144C"/>
    <w:rsid w:val="007D23F4"/>
    <w:rsid w:val="007D3003"/>
    <w:rsid w:val="007D5823"/>
    <w:rsid w:val="007E0ADB"/>
    <w:rsid w:val="007E24AE"/>
    <w:rsid w:val="007E36D7"/>
    <w:rsid w:val="007E70E8"/>
    <w:rsid w:val="007F0C2F"/>
    <w:rsid w:val="007F1A03"/>
    <w:rsid w:val="007F6140"/>
    <w:rsid w:val="007F671A"/>
    <w:rsid w:val="007F7037"/>
    <w:rsid w:val="007F7CD3"/>
    <w:rsid w:val="00805B9B"/>
    <w:rsid w:val="00806080"/>
    <w:rsid w:val="00806599"/>
    <w:rsid w:val="008072DE"/>
    <w:rsid w:val="00813240"/>
    <w:rsid w:val="00814DA5"/>
    <w:rsid w:val="00815736"/>
    <w:rsid w:val="008171C2"/>
    <w:rsid w:val="00817EE0"/>
    <w:rsid w:val="008246C4"/>
    <w:rsid w:val="008310B1"/>
    <w:rsid w:val="0083221D"/>
    <w:rsid w:val="00832E73"/>
    <w:rsid w:val="00832FED"/>
    <w:rsid w:val="0083379A"/>
    <w:rsid w:val="008338D8"/>
    <w:rsid w:val="0083465A"/>
    <w:rsid w:val="00835D4B"/>
    <w:rsid w:val="00836A46"/>
    <w:rsid w:val="00837C47"/>
    <w:rsid w:val="00840568"/>
    <w:rsid w:val="008422C8"/>
    <w:rsid w:val="008431E4"/>
    <w:rsid w:val="0084349D"/>
    <w:rsid w:val="00843C55"/>
    <w:rsid w:val="008453A0"/>
    <w:rsid w:val="00846452"/>
    <w:rsid w:val="00847ACD"/>
    <w:rsid w:val="00847AD5"/>
    <w:rsid w:val="00847F3C"/>
    <w:rsid w:val="008511B9"/>
    <w:rsid w:val="00853221"/>
    <w:rsid w:val="008663BF"/>
    <w:rsid w:val="0086727A"/>
    <w:rsid w:val="00867A3E"/>
    <w:rsid w:val="0087061B"/>
    <w:rsid w:val="0087362C"/>
    <w:rsid w:val="00874B66"/>
    <w:rsid w:val="00874BEC"/>
    <w:rsid w:val="0087519C"/>
    <w:rsid w:val="00875B05"/>
    <w:rsid w:val="008769D1"/>
    <w:rsid w:val="00880178"/>
    <w:rsid w:val="00881708"/>
    <w:rsid w:val="00882129"/>
    <w:rsid w:val="00882294"/>
    <w:rsid w:val="00882561"/>
    <w:rsid w:val="008825F4"/>
    <w:rsid w:val="00882DBF"/>
    <w:rsid w:val="00883000"/>
    <w:rsid w:val="008845D5"/>
    <w:rsid w:val="00884BD7"/>
    <w:rsid w:val="0088521A"/>
    <w:rsid w:val="00886287"/>
    <w:rsid w:val="00886CED"/>
    <w:rsid w:val="00890A13"/>
    <w:rsid w:val="0089116C"/>
    <w:rsid w:val="00894AA9"/>
    <w:rsid w:val="00894D60"/>
    <w:rsid w:val="008957D8"/>
    <w:rsid w:val="00895CE2"/>
    <w:rsid w:val="008969F5"/>
    <w:rsid w:val="008A0CFC"/>
    <w:rsid w:val="008A1471"/>
    <w:rsid w:val="008A1677"/>
    <w:rsid w:val="008A4E92"/>
    <w:rsid w:val="008A5D0C"/>
    <w:rsid w:val="008A73EB"/>
    <w:rsid w:val="008A7B18"/>
    <w:rsid w:val="008B0558"/>
    <w:rsid w:val="008B0F72"/>
    <w:rsid w:val="008B192B"/>
    <w:rsid w:val="008B19F6"/>
    <w:rsid w:val="008B2472"/>
    <w:rsid w:val="008B349C"/>
    <w:rsid w:val="008B4F1B"/>
    <w:rsid w:val="008B6892"/>
    <w:rsid w:val="008B7013"/>
    <w:rsid w:val="008B7813"/>
    <w:rsid w:val="008B7AF9"/>
    <w:rsid w:val="008C02B9"/>
    <w:rsid w:val="008C10DB"/>
    <w:rsid w:val="008C2703"/>
    <w:rsid w:val="008C2F50"/>
    <w:rsid w:val="008C37DA"/>
    <w:rsid w:val="008C3B64"/>
    <w:rsid w:val="008C4561"/>
    <w:rsid w:val="008C5290"/>
    <w:rsid w:val="008C66ED"/>
    <w:rsid w:val="008D0E41"/>
    <w:rsid w:val="008D17C8"/>
    <w:rsid w:val="008D30C3"/>
    <w:rsid w:val="008D3EE3"/>
    <w:rsid w:val="008D53A9"/>
    <w:rsid w:val="008D6A55"/>
    <w:rsid w:val="008D7AF7"/>
    <w:rsid w:val="008E1759"/>
    <w:rsid w:val="008E3379"/>
    <w:rsid w:val="008E383E"/>
    <w:rsid w:val="008E498F"/>
    <w:rsid w:val="008E52C8"/>
    <w:rsid w:val="008E5CA8"/>
    <w:rsid w:val="008E66EE"/>
    <w:rsid w:val="008F0B89"/>
    <w:rsid w:val="008F1309"/>
    <w:rsid w:val="008F137D"/>
    <w:rsid w:val="008F1BCA"/>
    <w:rsid w:val="008F30D7"/>
    <w:rsid w:val="008F4400"/>
    <w:rsid w:val="008F612D"/>
    <w:rsid w:val="008F6178"/>
    <w:rsid w:val="008F6ADE"/>
    <w:rsid w:val="00900567"/>
    <w:rsid w:val="0090268B"/>
    <w:rsid w:val="009039E6"/>
    <w:rsid w:val="00904257"/>
    <w:rsid w:val="009049FB"/>
    <w:rsid w:val="009052F2"/>
    <w:rsid w:val="00905525"/>
    <w:rsid w:val="00905860"/>
    <w:rsid w:val="00907234"/>
    <w:rsid w:val="00907689"/>
    <w:rsid w:val="00912C95"/>
    <w:rsid w:val="009131B2"/>
    <w:rsid w:val="00913CC6"/>
    <w:rsid w:val="009146EC"/>
    <w:rsid w:val="00914A05"/>
    <w:rsid w:val="00914C75"/>
    <w:rsid w:val="009204BF"/>
    <w:rsid w:val="009218F9"/>
    <w:rsid w:val="009222DC"/>
    <w:rsid w:val="00923D62"/>
    <w:rsid w:val="00924A1C"/>
    <w:rsid w:val="009255C6"/>
    <w:rsid w:val="009256DE"/>
    <w:rsid w:val="00927786"/>
    <w:rsid w:val="00930639"/>
    <w:rsid w:val="009311FD"/>
    <w:rsid w:val="00931816"/>
    <w:rsid w:val="00932027"/>
    <w:rsid w:val="00933368"/>
    <w:rsid w:val="00933381"/>
    <w:rsid w:val="00936042"/>
    <w:rsid w:val="00937297"/>
    <w:rsid w:val="0093791E"/>
    <w:rsid w:val="00937D1B"/>
    <w:rsid w:val="0094125F"/>
    <w:rsid w:val="009479F2"/>
    <w:rsid w:val="00947BE8"/>
    <w:rsid w:val="009531F4"/>
    <w:rsid w:val="009542F7"/>
    <w:rsid w:val="0095625E"/>
    <w:rsid w:val="009568EE"/>
    <w:rsid w:val="009573AB"/>
    <w:rsid w:val="0096029F"/>
    <w:rsid w:val="009603A2"/>
    <w:rsid w:val="00960FC2"/>
    <w:rsid w:val="00963CA8"/>
    <w:rsid w:val="009643BC"/>
    <w:rsid w:val="0096673E"/>
    <w:rsid w:val="009708A2"/>
    <w:rsid w:val="00971EF4"/>
    <w:rsid w:val="009721A8"/>
    <w:rsid w:val="0097266F"/>
    <w:rsid w:val="00973B87"/>
    <w:rsid w:val="00973D8D"/>
    <w:rsid w:val="00974CD0"/>
    <w:rsid w:val="00975F0F"/>
    <w:rsid w:val="00976A3C"/>
    <w:rsid w:val="00977785"/>
    <w:rsid w:val="009803FD"/>
    <w:rsid w:val="009826D7"/>
    <w:rsid w:val="009836E2"/>
    <w:rsid w:val="009838A3"/>
    <w:rsid w:val="009854D2"/>
    <w:rsid w:val="00990513"/>
    <w:rsid w:val="00993D03"/>
    <w:rsid w:val="009949EF"/>
    <w:rsid w:val="009955CB"/>
    <w:rsid w:val="0099601B"/>
    <w:rsid w:val="009A0297"/>
    <w:rsid w:val="009A2A98"/>
    <w:rsid w:val="009A44D8"/>
    <w:rsid w:val="009B293D"/>
    <w:rsid w:val="009B66B3"/>
    <w:rsid w:val="009B7AE1"/>
    <w:rsid w:val="009B7F15"/>
    <w:rsid w:val="009C053A"/>
    <w:rsid w:val="009C2067"/>
    <w:rsid w:val="009C261E"/>
    <w:rsid w:val="009C2696"/>
    <w:rsid w:val="009C33A1"/>
    <w:rsid w:val="009C4329"/>
    <w:rsid w:val="009C5432"/>
    <w:rsid w:val="009C5F0B"/>
    <w:rsid w:val="009C6929"/>
    <w:rsid w:val="009D0BE6"/>
    <w:rsid w:val="009D1125"/>
    <w:rsid w:val="009D2145"/>
    <w:rsid w:val="009D44C9"/>
    <w:rsid w:val="009D4A60"/>
    <w:rsid w:val="009D76A2"/>
    <w:rsid w:val="009D7B67"/>
    <w:rsid w:val="009E0D2C"/>
    <w:rsid w:val="009E234C"/>
    <w:rsid w:val="009E3C45"/>
    <w:rsid w:val="009E69B0"/>
    <w:rsid w:val="009F0BC8"/>
    <w:rsid w:val="009F0BF8"/>
    <w:rsid w:val="009F1B11"/>
    <w:rsid w:val="009F1D69"/>
    <w:rsid w:val="009F4095"/>
    <w:rsid w:val="009F5187"/>
    <w:rsid w:val="009F697D"/>
    <w:rsid w:val="009F7191"/>
    <w:rsid w:val="009F7FC6"/>
    <w:rsid w:val="00A01146"/>
    <w:rsid w:val="00A0174D"/>
    <w:rsid w:val="00A0204C"/>
    <w:rsid w:val="00A027D3"/>
    <w:rsid w:val="00A04C22"/>
    <w:rsid w:val="00A064CB"/>
    <w:rsid w:val="00A0670D"/>
    <w:rsid w:val="00A0722B"/>
    <w:rsid w:val="00A07470"/>
    <w:rsid w:val="00A10048"/>
    <w:rsid w:val="00A11D51"/>
    <w:rsid w:val="00A1260F"/>
    <w:rsid w:val="00A13362"/>
    <w:rsid w:val="00A1452B"/>
    <w:rsid w:val="00A1462B"/>
    <w:rsid w:val="00A15278"/>
    <w:rsid w:val="00A15C29"/>
    <w:rsid w:val="00A17EB5"/>
    <w:rsid w:val="00A21343"/>
    <w:rsid w:val="00A213BD"/>
    <w:rsid w:val="00A23C61"/>
    <w:rsid w:val="00A24055"/>
    <w:rsid w:val="00A240BC"/>
    <w:rsid w:val="00A2500F"/>
    <w:rsid w:val="00A3122D"/>
    <w:rsid w:val="00A320A8"/>
    <w:rsid w:val="00A33911"/>
    <w:rsid w:val="00A341E8"/>
    <w:rsid w:val="00A35A3A"/>
    <w:rsid w:val="00A36D85"/>
    <w:rsid w:val="00A41E8D"/>
    <w:rsid w:val="00A470C7"/>
    <w:rsid w:val="00A47295"/>
    <w:rsid w:val="00A50639"/>
    <w:rsid w:val="00A5120B"/>
    <w:rsid w:val="00A54B85"/>
    <w:rsid w:val="00A603C0"/>
    <w:rsid w:val="00A62675"/>
    <w:rsid w:val="00A63BDB"/>
    <w:rsid w:val="00A64E9D"/>
    <w:rsid w:val="00A711ED"/>
    <w:rsid w:val="00A73A1B"/>
    <w:rsid w:val="00A824D6"/>
    <w:rsid w:val="00A82AC3"/>
    <w:rsid w:val="00A82E81"/>
    <w:rsid w:val="00A83915"/>
    <w:rsid w:val="00A84324"/>
    <w:rsid w:val="00A84A84"/>
    <w:rsid w:val="00A865FB"/>
    <w:rsid w:val="00A874D1"/>
    <w:rsid w:val="00A90AB3"/>
    <w:rsid w:val="00A90E3A"/>
    <w:rsid w:val="00A957F2"/>
    <w:rsid w:val="00A9619B"/>
    <w:rsid w:val="00AA02AC"/>
    <w:rsid w:val="00AA07CA"/>
    <w:rsid w:val="00AA1714"/>
    <w:rsid w:val="00AA47B8"/>
    <w:rsid w:val="00AA4DEE"/>
    <w:rsid w:val="00AA571F"/>
    <w:rsid w:val="00AA5CD8"/>
    <w:rsid w:val="00AA715E"/>
    <w:rsid w:val="00AA7C12"/>
    <w:rsid w:val="00AA7CBE"/>
    <w:rsid w:val="00AB0253"/>
    <w:rsid w:val="00AB161E"/>
    <w:rsid w:val="00AB2D12"/>
    <w:rsid w:val="00AB446E"/>
    <w:rsid w:val="00AB5A4A"/>
    <w:rsid w:val="00AB688B"/>
    <w:rsid w:val="00AB6A18"/>
    <w:rsid w:val="00AC14A7"/>
    <w:rsid w:val="00AC22B1"/>
    <w:rsid w:val="00AC2FA6"/>
    <w:rsid w:val="00AC51F0"/>
    <w:rsid w:val="00AC54D6"/>
    <w:rsid w:val="00AC5DCF"/>
    <w:rsid w:val="00AD1CA6"/>
    <w:rsid w:val="00AD2822"/>
    <w:rsid w:val="00AD42BB"/>
    <w:rsid w:val="00AD5431"/>
    <w:rsid w:val="00AD5CA6"/>
    <w:rsid w:val="00AD6C65"/>
    <w:rsid w:val="00AD6DDF"/>
    <w:rsid w:val="00AD7158"/>
    <w:rsid w:val="00AD7DB8"/>
    <w:rsid w:val="00AE03EE"/>
    <w:rsid w:val="00AE0F86"/>
    <w:rsid w:val="00AE39E5"/>
    <w:rsid w:val="00AE72A7"/>
    <w:rsid w:val="00AE7381"/>
    <w:rsid w:val="00AF0725"/>
    <w:rsid w:val="00AF1859"/>
    <w:rsid w:val="00AF1CE1"/>
    <w:rsid w:val="00AF1E4B"/>
    <w:rsid w:val="00AF2C6F"/>
    <w:rsid w:val="00AF2F46"/>
    <w:rsid w:val="00AF3E89"/>
    <w:rsid w:val="00B03D99"/>
    <w:rsid w:val="00B043D9"/>
    <w:rsid w:val="00B069C7"/>
    <w:rsid w:val="00B071B1"/>
    <w:rsid w:val="00B07539"/>
    <w:rsid w:val="00B10A1A"/>
    <w:rsid w:val="00B13151"/>
    <w:rsid w:val="00B135DB"/>
    <w:rsid w:val="00B13FA7"/>
    <w:rsid w:val="00B159E2"/>
    <w:rsid w:val="00B16B49"/>
    <w:rsid w:val="00B233C1"/>
    <w:rsid w:val="00B242AE"/>
    <w:rsid w:val="00B27DA3"/>
    <w:rsid w:val="00B31D97"/>
    <w:rsid w:val="00B32AA1"/>
    <w:rsid w:val="00B32F42"/>
    <w:rsid w:val="00B32F9D"/>
    <w:rsid w:val="00B35E5A"/>
    <w:rsid w:val="00B36BE0"/>
    <w:rsid w:val="00B3726C"/>
    <w:rsid w:val="00B41431"/>
    <w:rsid w:val="00B41697"/>
    <w:rsid w:val="00B42B21"/>
    <w:rsid w:val="00B42B26"/>
    <w:rsid w:val="00B4348E"/>
    <w:rsid w:val="00B44E89"/>
    <w:rsid w:val="00B45E58"/>
    <w:rsid w:val="00B47031"/>
    <w:rsid w:val="00B476FF"/>
    <w:rsid w:val="00B47737"/>
    <w:rsid w:val="00B52BBB"/>
    <w:rsid w:val="00B530BD"/>
    <w:rsid w:val="00B568E8"/>
    <w:rsid w:val="00B56C85"/>
    <w:rsid w:val="00B57555"/>
    <w:rsid w:val="00B60F85"/>
    <w:rsid w:val="00B62EB8"/>
    <w:rsid w:val="00B641DE"/>
    <w:rsid w:val="00B6500C"/>
    <w:rsid w:val="00B65230"/>
    <w:rsid w:val="00B65296"/>
    <w:rsid w:val="00B65A19"/>
    <w:rsid w:val="00B6621D"/>
    <w:rsid w:val="00B6731D"/>
    <w:rsid w:val="00B700E2"/>
    <w:rsid w:val="00B7113C"/>
    <w:rsid w:val="00B71790"/>
    <w:rsid w:val="00B717FC"/>
    <w:rsid w:val="00B72637"/>
    <w:rsid w:val="00B72939"/>
    <w:rsid w:val="00B74C52"/>
    <w:rsid w:val="00B74FAA"/>
    <w:rsid w:val="00B80000"/>
    <w:rsid w:val="00B80BAE"/>
    <w:rsid w:val="00B86EC0"/>
    <w:rsid w:val="00B873B5"/>
    <w:rsid w:val="00B87860"/>
    <w:rsid w:val="00B91603"/>
    <w:rsid w:val="00B927AA"/>
    <w:rsid w:val="00B9648A"/>
    <w:rsid w:val="00B9666E"/>
    <w:rsid w:val="00B97560"/>
    <w:rsid w:val="00BA0C6E"/>
    <w:rsid w:val="00BA191A"/>
    <w:rsid w:val="00BA1DCB"/>
    <w:rsid w:val="00BA2079"/>
    <w:rsid w:val="00BA2503"/>
    <w:rsid w:val="00BA28D6"/>
    <w:rsid w:val="00BA44A7"/>
    <w:rsid w:val="00BA47C9"/>
    <w:rsid w:val="00BA66AE"/>
    <w:rsid w:val="00BA770B"/>
    <w:rsid w:val="00BB0088"/>
    <w:rsid w:val="00BB0A36"/>
    <w:rsid w:val="00BB43F6"/>
    <w:rsid w:val="00BB58F8"/>
    <w:rsid w:val="00BB66FB"/>
    <w:rsid w:val="00BB6CFF"/>
    <w:rsid w:val="00BB7E09"/>
    <w:rsid w:val="00BC0978"/>
    <w:rsid w:val="00BC1121"/>
    <w:rsid w:val="00BC266D"/>
    <w:rsid w:val="00BC52A0"/>
    <w:rsid w:val="00BC66C9"/>
    <w:rsid w:val="00BC6D0E"/>
    <w:rsid w:val="00BC7F47"/>
    <w:rsid w:val="00BD0A40"/>
    <w:rsid w:val="00BD1C8E"/>
    <w:rsid w:val="00BD2CE8"/>
    <w:rsid w:val="00BD31DA"/>
    <w:rsid w:val="00BD3CEE"/>
    <w:rsid w:val="00BD624C"/>
    <w:rsid w:val="00BE0DFA"/>
    <w:rsid w:val="00BE1388"/>
    <w:rsid w:val="00BE18F3"/>
    <w:rsid w:val="00BE3863"/>
    <w:rsid w:val="00BE5BA9"/>
    <w:rsid w:val="00BE706D"/>
    <w:rsid w:val="00BE76CE"/>
    <w:rsid w:val="00BF221E"/>
    <w:rsid w:val="00BF28B4"/>
    <w:rsid w:val="00BF4C69"/>
    <w:rsid w:val="00BF4EA6"/>
    <w:rsid w:val="00BF532E"/>
    <w:rsid w:val="00BF5E11"/>
    <w:rsid w:val="00C00CA7"/>
    <w:rsid w:val="00C02027"/>
    <w:rsid w:val="00C039A0"/>
    <w:rsid w:val="00C03D98"/>
    <w:rsid w:val="00C03F3F"/>
    <w:rsid w:val="00C073FD"/>
    <w:rsid w:val="00C07A95"/>
    <w:rsid w:val="00C105B5"/>
    <w:rsid w:val="00C106E2"/>
    <w:rsid w:val="00C10A80"/>
    <w:rsid w:val="00C12005"/>
    <w:rsid w:val="00C146B3"/>
    <w:rsid w:val="00C16B0E"/>
    <w:rsid w:val="00C2021B"/>
    <w:rsid w:val="00C20479"/>
    <w:rsid w:val="00C2178F"/>
    <w:rsid w:val="00C21A4A"/>
    <w:rsid w:val="00C21CD9"/>
    <w:rsid w:val="00C22326"/>
    <w:rsid w:val="00C2243E"/>
    <w:rsid w:val="00C23735"/>
    <w:rsid w:val="00C24EBD"/>
    <w:rsid w:val="00C254C4"/>
    <w:rsid w:val="00C271D2"/>
    <w:rsid w:val="00C27713"/>
    <w:rsid w:val="00C322AD"/>
    <w:rsid w:val="00C33A24"/>
    <w:rsid w:val="00C40744"/>
    <w:rsid w:val="00C43594"/>
    <w:rsid w:val="00C44AD3"/>
    <w:rsid w:val="00C4651A"/>
    <w:rsid w:val="00C50C12"/>
    <w:rsid w:val="00C5101C"/>
    <w:rsid w:val="00C51F02"/>
    <w:rsid w:val="00C60139"/>
    <w:rsid w:val="00C6056A"/>
    <w:rsid w:val="00C60F7B"/>
    <w:rsid w:val="00C63818"/>
    <w:rsid w:val="00C66645"/>
    <w:rsid w:val="00C66E99"/>
    <w:rsid w:val="00C67EC5"/>
    <w:rsid w:val="00C70749"/>
    <w:rsid w:val="00C73052"/>
    <w:rsid w:val="00C759C4"/>
    <w:rsid w:val="00C7799B"/>
    <w:rsid w:val="00C81369"/>
    <w:rsid w:val="00C815E6"/>
    <w:rsid w:val="00C81CE4"/>
    <w:rsid w:val="00C8270B"/>
    <w:rsid w:val="00C83619"/>
    <w:rsid w:val="00C84362"/>
    <w:rsid w:val="00C868D5"/>
    <w:rsid w:val="00C92ED5"/>
    <w:rsid w:val="00C9421C"/>
    <w:rsid w:val="00C953CB"/>
    <w:rsid w:val="00C96119"/>
    <w:rsid w:val="00CA2656"/>
    <w:rsid w:val="00CA31C5"/>
    <w:rsid w:val="00CA548F"/>
    <w:rsid w:val="00CA7A99"/>
    <w:rsid w:val="00CB24E9"/>
    <w:rsid w:val="00CB2831"/>
    <w:rsid w:val="00CB2C8C"/>
    <w:rsid w:val="00CB3177"/>
    <w:rsid w:val="00CB4298"/>
    <w:rsid w:val="00CB4958"/>
    <w:rsid w:val="00CB548F"/>
    <w:rsid w:val="00CB5A69"/>
    <w:rsid w:val="00CB6542"/>
    <w:rsid w:val="00CC0624"/>
    <w:rsid w:val="00CC22C3"/>
    <w:rsid w:val="00CC4C99"/>
    <w:rsid w:val="00CC5CDB"/>
    <w:rsid w:val="00CC634E"/>
    <w:rsid w:val="00CC6521"/>
    <w:rsid w:val="00CC78C5"/>
    <w:rsid w:val="00CD0F05"/>
    <w:rsid w:val="00CD6338"/>
    <w:rsid w:val="00CD7E51"/>
    <w:rsid w:val="00CD7E96"/>
    <w:rsid w:val="00CE03C9"/>
    <w:rsid w:val="00CE0A20"/>
    <w:rsid w:val="00CE19C3"/>
    <w:rsid w:val="00CE42B8"/>
    <w:rsid w:val="00CE597F"/>
    <w:rsid w:val="00CE5A6E"/>
    <w:rsid w:val="00CE611A"/>
    <w:rsid w:val="00CF0004"/>
    <w:rsid w:val="00CF0B27"/>
    <w:rsid w:val="00CF110E"/>
    <w:rsid w:val="00CF1913"/>
    <w:rsid w:val="00CF1C00"/>
    <w:rsid w:val="00CF4D21"/>
    <w:rsid w:val="00CF66D5"/>
    <w:rsid w:val="00CF7D4A"/>
    <w:rsid w:val="00D0002B"/>
    <w:rsid w:val="00D02476"/>
    <w:rsid w:val="00D0308C"/>
    <w:rsid w:val="00D04130"/>
    <w:rsid w:val="00D056F7"/>
    <w:rsid w:val="00D11352"/>
    <w:rsid w:val="00D11F9E"/>
    <w:rsid w:val="00D13061"/>
    <w:rsid w:val="00D13E4E"/>
    <w:rsid w:val="00D14AB1"/>
    <w:rsid w:val="00D1568D"/>
    <w:rsid w:val="00D15D94"/>
    <w:rsid w:val="00D169F7"/>
    <w:rsid w:val="00D218FE"/>
    <w:rsid w:val="00D232F6"/>
    <w:rsid w:val="00D246A2"/>
    <w:rsid w:val="00D26D86"/>
    <w:rsid w:val="00D270A4"/>
    <w:rsid w:val="00D30671"/>
    <w:rsid w:val="00D330A4"/>
    <w:rsid w:val="00D33CA2"/>
    <w:rsid w:val="00D3507E"/>
    <w:rsid w:val="00D35BD1"/>
    <w:rsid w:val="00D363B1"/>
    <w:rsid w:val="00D36A48"/>
    <w:rsid w:val="00D36D31"/>
    <w:rsid w:val="00D4158E"/>
    <w:rsid w:val="00D4342A"/>
    <w:rsid w:val="00D438E6"/>
    <w:rsid w:val="00D45DFF"/>
    <w:rsid w:val="00D514AC"/>
    <w:rsid w:val="00D536AD"/>
    <w:rsid w:val="00D572E7"/>
    <w:rsid w:val="00D61A1A"/>
    <w:rsid w:val="00D61C0F"/>
    <w:rsid w:val="00D62567"/>
    <w:rsid w:val="00D63621"/>
    <w:rsid w:val="00D638DD"/>
    <w:rsid w:val="00D63CF8"/>
    <w:rsid w:val="00D66BEA"/>
    <w:rsid w:val="00D7533B"/>
    <w:rsid w:val="00D75D6E"/>
    <w:rsid w:val="00D77517"/>
    <w:rsid w:val="00D77DD8"/>
    <w:rsid w:val="00D81DC1"/>
    <w:rsid w:val="00D8334E"/>
    <w:rsid w:val="00D8489C"/>
    <w:rsid w:val="00D84D55"/>
    <w:rsid w:val="00D86500"/>
    <w:rsid w:val="00D86D4C"/>
    <w:rsid w:val="00D87A34"/>
    <w:rsid w:val="00D9071F"/>
    <w:rsid w:val="00D92989"/>
    <w:rsid w:val="00D929C8"/>
    <w:rsid w:val="00D92BF6"/>
    <w:rsid w:val="00D95B01"/>
    <w:rsid w:val="00D9646B"/>
    <w:rsid w:val="00D96C97"/>
    <w:rsid w:val="00DA2459"/>
    <w:rsid w:val="00DA468D"/>
    <w:rsid w:val="00DA4ABD"/>
    <w:rsid w:val="00DA5903"/>
    <w:rsid w:val="00DA61C5"/>
    <w:rsid w:val="00DA64A8"/>
    <w:rsid w:val="00DA7B63"/>
    <w:rsid w:val="00DB072B"/>
    <w:rsid w:val="00DB0FBA"/>
    <w:rsid w:val="00DB2511"/>
    <w:rsid w:val="00DB28DB"/>
    <w:rsid w:val="00DB2A82"/>
    <w:rsid w:val="00DB4572"/>
    <w:rsid w:val="00DB4C3C"/>
    <w:rsid w:val="00DB53C1"/>
    <w:rsid w:val="00DB5452"/>
    <w:rsid w:val="00DB671A"/>
    <w:rsid w:val="00DB676F"/>
    <w:rsid w:val="00DC0FD6"/>
    <w:rsid w:val="00DC119A"/>
    <w:rsid w:val="00DC1EBA"/>
    <w:rsid w:val="00DC2C4F"/>
    <w:rsid w:val="00DC32C1"/>
    <w:rsid w:val="00DC3E5F"/>
    <w:rsid w:val="00DC6A9A"/>
    <w:rsid w:val="00DC702E"/>
    <w:rsid w:val="00DC74EC"/>
    <w:rsid w:val="00DD1B6F"/>
    <w:rsid w:val="00DD1DFF"/>
    <w:rsid w:val="00DD5029"/>
    <w:rsid w:val="00DD58AD"/>
    <w:rsid w:val="00DE32E1"/>
    <w:rsid w:val="00DE49C5"/>
    <w:rsid w:val="00DE511E"/>
    <w:rsid w:val="00DE54CB"/>
    <w:rsid w:val="00DE7406"/>
    <w:rsid w:val="00DE796F"/>
    <w:rsid w:val="00DE7C6A"/>
    <w:rsid w:val="00DF05EE"/>
    <w:rsid w:val="00DF29FD"/>
    <w:rsid w:val="00DF4198"/>
    <w:rsid w:val="00DF4879"/>
    <w:rsid w:val="00DF7511"/>
    <w:rsid w:val="00DF7710"/>
    <w:rsid w:val="00DF7A95"/>
    <w:rsid w:val="00DF7F0F"/>
    <w:rsid w:val="00E001F3"/>
    <w:rsid w:val="00E012B7"/>
    <w:rsid w:val="00E01DC6"/>
    <w:rsid w:val="00E02584"/>
    <w:rsid w:val="00E02E80"/>
    <w:rsid w:val="00E038F5"/>
    <w:rsid w:val="00E054F5"/>
    <w:rsid w:val="00E06AAD"/>
    <w:rsid w:val="00E073C7"/>
    <w:rsid w:val="00E11B24"/>
    <w:rsid w:val="00E11E2C"/>
    <w:rsid w:val="00E12118"/>
    <w:rsid w:val="00E12ADD"/>
    <w:rsid w:val="00E1316A"/>
    <w:rsid w:val="00E1383C"/>
    <w:rsid w:val="00E14B3F"/>
    <w:rsid w:val="00E156E0"/>
    <w:rsid w:val="00E2055E"/>
    <w:rsid w:val="00E22E9A"/>
    <w:rsid w:val="00E276AD"/>
    <w:rsid w:val="00E30685"/>
    <w:rsid w:val="00E3133B"/>
    <w:rsid w:val="00E347AF"/>
    <w:rsid w:val="00E366B8"/>
    <w:rsid w:val="00E40E57"/>
    <w:rsid w:val="00E43A5D"/>
    <w:rsid w:val="00E43EB8"/>
    <w:rsid w:val="00E45B18"/>
    <w:rsid w:val="00E47803"/>
    <w:rsid w:val="00E47CBC"/>
    <w:rsid w:val="00E50C3F"/>
    <w:rsid w:val="00E52CBF"/>
    <w:rsid w:val="00E53D76"/>
    <w:rsid w:val="00E557EA"/>
    <w:rsid w:val="00E60A71"/>
    <w:rsid w:val="00E62754"/>
    <w:rsid w:val="00E65967"/>
    <w:rsid w:val="00E7052B"/>
    <w:rsid w:val="00E707F9"/>
    <w:rsid w:val="00E71934"/>
    <w:rsid w:val="00E734DB"/>
    <w:rsid w:val="00E73D92"/>
    <w:rsid w:val="00E75AAC"/>
    <w:rsid w:val="00E76284"/>
    <w:rsid w:val="00E762CF"/>
    <w:rsid w:val="00E77EB4"/>
    <w:rsid w:val="00E80B8E"/>
    <w:rsid w:val="00E96AA5"/>
    <w:rsid w:val="00E96E1C"/>
    <w:rsid w:val="00E96FF3"/>
    <w:rsid w:val="00EA09CD"/>
    <w:rsid w:val="00EA3915"/>
    <w:rsid w:val="00EA763E"/>
    <w:rsid w:val="00EB0C86"/>
    <w:rsid w:val="00EB1C22"/>
    <w:rsid w:val="00EB3B79"/>
    <w:rsid w:val="00EB4003"/>
    <w:rsid w:val="00EB5E24"/>
    <w:rsid w:val="00EC3AFC"/>
    <w:rsid w:val="00EC49B4"/>
    <w:rsid w:val="00EC6C34"/>
    <w:rsid w:val="00ED16C9"/>
    <w:rsid w:val="00ED4779"/>
    <w:rsid w:val="00ED5DD8"/>
    <w:rsid w:val="00ED5EEC"/>
    <w:rsid w:val="00ED71DE"/>
    <w:rsid w:val="00ED7589"/>
    <w:rsid w:val="00EE3FC6"/>
    <w:rsid w:val="00EE411A"/>
    <w:rsid w:val="00EE6331"/>
    <w:rsid w:val="00EE66D0"/>
    <w:rsid w:val="00EE6793"/>
    <w:rsid w:val="00EE7382"/>
    <w:rsid w:val="00EF0493"/>
    <w:rsid w:val="00F01711"/>
    <w:rsid w:val="00F02E5E"/>
    <w:rsid w:val="00F03718"/>
    <w:rsid w:val="00F03C2B"/>
    <w:rsid w:val="00F059CD"/>
    <w:rsid w:val="00F05C00"/>
    <w:rsid w:val="00F06382"/>
    <w:rsid w:val="00F066BC"/>
    <w:rsid w:val="00F0698E"/>
    <w:rsid w:val="00F06B47"/>
    <w:rsid w:val="00F075DA"/>
    <w:rsid w:val="00F1099A"/>
    <w:rsid w:val="00F124D2"/>
    <w:rsid w:val="00F15439"/>
    <w:rsid w:val="00F22FAE"/>
    <w:rsid w:val="00F23711"/>
    <w:rsid w:val="00F23C0C"/>
    <w:rsid w:val="00F24E05"/>
    <w:rsid w:val="00F2752A"/>
    <w:rsid w:val="00F27BCF"/>
    <w:rsid w:val="00F30245"/>
    <w:rsid w:val="00F340C8"/>
    <w:rsid w:val="00F34A6F"/>
    <w:rsid w:val="00F34C34"/>
    <w:rsid w:val="00F358BC"/>
    <w:rsid w:val="00F358DB"/>
    <w:rsid w:val="00F36867"/>
    <w:rsid w:val="00F36D5E"/>
    <w:rsid w:val="00F36FCC"/>
    <w:rsid w:val="00F379C9"/>
    <w:rsid w:val="00F403B2"/>
    <w:rsid w:val="00F4349B"/>
    <w:rsid w:val="00F43DD2"/>
    <w:rsid w:val="00F4541C"/>
    <w:rsid w:val="00F47313"/>
    <w:rsid w:val="00F51D78"/>
    <w:rsid w:val="00F520A3"/>
    <w:rsid w:val="00F5325C"/>
    <w:rsid w:val="00F532BB"/>
    <w:rsid w:val="00F53949"/>
    <w:rsid w:val="00F55488"/>
    <w:rsid w:val="00F55503"/>
    <w:rsid w:val="00F55AB6"/>
    <w:rsid w:val="00F55AEF"/>
    <w:rsid w:val="00F63533"/>
    <w:rsid w:val="00F63647"/>
    <w:rsid w:val="00F6393A"/>
    <w:rsid w:val="00F6575D"/>
    <w:rsid w:val="00F66206"/>
    <w:rsid w:val="00F71960"/>
    <w:rsid w:val="00F73D37"/>
    <w:rsid w:val="00F74CBD"/>
    <w:rsid w:val="00F758A3"/>
    <w:rsid w:val="00F77815"/>
    <w:rsid w:val="00F80125"/>
    <w:rsid w:val="00F821DA"/>
    <w:rsid w:val="00F82CDD"/>
    <w:rsid w:val="00F8370D"/>
    <w:rsid w:val="00F85827"/>
    <w:rsid w:val="00F8739B"/>
    <w:rsid w:val="00F902CF"/>
    <w:rsid w:val="00F903E1"/>
    <w:rsid w:val="00F912A5"/>
    <w:rsid w:val="00F91E64"/>
    <w:rsid w:val="00F922F4"/>
    <w:rsid w:val="00FA4066"/>
    <w:rsid w:val="00FA4599"/>
    <w:rsid w:val="00FA74D9"/>
    <w:rsid w:val="00FA7CB3"/>
    <w:rsid w:val="00FB031E"/>
    <w:rsid w:val="00FB20FC"/>
    <w:rsid w:val="00FB27CD"/>
    <w:rsid w:val="00FB346E"/>
    <w:rsid w:val="00FB36BF"/>
    <w:rsid w:val="00FB6027"/>
    <w:rsid w:val="00FB611A"/>
    <w:rsid w:val="00FB62D3"/>
    <w:rsid w:val="00FB6B4F"/>
    <w:rsid w:val="00FB7219"/>
    <w:rsid w:val="00FC0055"/>
    <w:rsid w:val="00FC014A"/>
    <w:rsid w:val="00FC1663"/>
    <w:rsid w:val="00FC1E76"/>
    <w:rsid w:val="00FC2040"/>
    <w:rsid w:val="00FC335D"/>
    <w:rsid w:val="00FC33D7"/>
    <w:rsid w:val="00FC7831"/>
    <w:rsid w:val="00FD59F3"/>
    <w:rsid w:val="00FE039F"/>
    <w:rsid w:val="00FE26DE"/>
    <w:rsid w:val="00FE3428"/>
    <w:rsid w:val="00FE4C6F"/>
    <w:rsid w:val="00FE5C85"/>
    <w:rsid w:val="00FF17F5"/>
    <w:rsid w:val="00FF2A44"/>
    <w:rsid w:val="00FF3111"/>
    <w:rsid w:val="00FF706E"/>
    <w:rsid w:val="00FF7358"/>
    <w:rsid w:val="00FF79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63A0F"/>
  </w:style>
  <w:style w:type="paragraph" w:styleId="Nagwek1">
    <w:name w:val="heading 1"/>
    <w:basedOn w:val="Normalny"/>
    <w:next w:val="Normalny"/>
    <w:qFormat/>
    <w:rsid w:val="00364DDF"/>
    <w:pPr>
      <w:keepNext/>
      <w:pBdr>
        <w:bottom w:val="single" w:sz="4" w:space="1" w:color="auto"/>
      </w:pBdr>
      <w:spacing w:before="600" w:after="240"/>
      <w:ind w:left="-284"/>
      <w:outlineLvl w:val="0"/>
    </w:pPr>
    <w:rPr>
      <w:rFonts w:ascii="Arial" w:hAnsi="Arial"/>
      <w:b/>
      <w:caps/>
      <w:sz w:val="24"/>
    </w:rPr>
  </w:style>
  <w:style w:type="paragraph" w:styleId="Nagwek2">
    <w:name w:val="heading 2"/>
    <w:basedOn w:val="Normalny"/>
    <w:next w:val="Normalny"/>
    <w:link w:val="Nagwek2Znak"/>
    <w:qFormat/>
    <w:rsid w:val="00364DDF"/>
    <w:pPr>
      <w:keepNext/>
      <w:spacing w:before="240" w:after="60"/>
      <w:outlineLvl w:val="1"/>
    </w:pPr>
    <w:rPr>
      <w:rFonts w:ascii="Arial" w:hAnsi="Arial"/>
      <w:b/>
      <w:i/>
      <w:sz w:val="24"/>
    </w:rPr>
  </w:style>
  <w:style w:type="paragraph" w:styleId="Nagwek3">
    <w:name w:val="heading 3"/>
    <w:basedOn w:val="Normalny"/>
    <w:next w:val="Normalny"/>
    <w:qFormat/>
    <w:rsid w:val="00364DDF"/>
    <w:pPr>
      <w:keepNext/>
      <w:spacing w:before="240" w:after="60"/>
      <w:outlineLvl w:val="2"/>
    </w:pPr>
    <w:rPr>
      <w:rFonts w:ascii="Arial" w:hAnsi="Arial"/>
      <w:sz w:val="24"/>
    </w:rPr>
  </w:style>
  <w:style w:type="paragraph" w:styleId="Nagwek4">
    <w:name w:val="heading 4"/>
    <w:basedOn w:val="Normalny"/>
    <w:next w:val="Normalny"/>
    <w:link w:val="Nagwek4Znak"/>
    <w:qFormat/>
    <w:rsid w:val="00364DDF"/>
    <w:pPr>
      <w:keepNext/>
      <w:outlineLvl w:val="3"/>
    </w:pPr>
    <w:rPr>
      <w:b/>
      <w:color w:val="FF0000"/>
      <w:sz w:val="24"/>
    </w:rPr>
  </w:style>
  <w:style w:type="paragraph" w:styleId="Nagwek5">
    <w:name w:val="heading 5"/>
    <w:basedOn w:val="Normalny"/>
    <w:next w:val="Normalny"/>
    <w:qFormat/>
    <w:rsid w:val="00364DDF"/>
    <w:pPr>
      <w:keepNext/>
      <w:outlineLvl w:val="4"/>
    </w:pPr>
    <w:rPr>
      <w:color w:val="FF0000"/>
      <w:sz w:val="24"/>
    </w:rPr>
  </w:style>
  <w:style w:type="paragraph" w:styleId="Nagwek6">
    <w:name w:val="heading 6"/>
    <w:basedOn w:val="Normalny"/>
    <w:next w:val="Normalny"/>
    <w:qFormat/>
    <w:rsid w:val="00364DDF"/>
    <w:pPr>
      <w:keepNext/>
      <w:jc w:val="center"/>
      <w:outlineLvl w:val="5"/>
    </w:pPr>
    <w:rPr>
      <w:color w:val="FF0000"/>
      <w:sz w:val="24"/>
    </w:rPr>
  </w:style>
  <w:style w:type="paragraph" w:styleId="Nagwek7">
    <w:name w:val="heading 7"/>
    <w:basedOn w:val="Normalny"/>
    <w:next w:val="Normalny"/>
    <w:link w:val="Nagwek7Znak"/>
    <w:qFormat/>
    <w:rsid w:val="00364DDF"/>
    <w:pPr>
      <w:keepNext/>
      <w:jc w:val="center"/>
      <w:outlineLvl w:val="6"/>
    </w:pPr>
    <w:rPr>
      <w:b/>
      <w:color w:val="000000"/>
      <w:sz w:val="24"/>
    </w:rPr>
  </w:style>
  <w:style w:type="paragraph" w:styleId="Nagwek8">
    <w:name w:val="heading 8"/>
    <w:basedOn w:val="Normalny"/>
    <w:next w:val="Normalny"/>
    <w:qFormat/>
    <w:rsid w:val="00364DDF"/>
    <w:pPr>
      <w:keepNext/>
      <w:jc w:val="both"/>
      <w:outlineLvl w:val="7"/>
    </w:pPr>
    <w:rPr>
      <w:color w:val="008000"/>
      <w:sz w:val="24"/>
    </w:rPr>
  </w:style>
  <w:style w:type="paragraph" w:styleId="Nagwek9">
    <w:name w:val="heading 9"/>
    <w:basedOn w:val="Normalny"/>
    <w:next w:val="Normalny"/>
    <w:qFormat/>
    <w:rsid w:val="00364DDF"/>
    <w:pPr>
      <w:keepNext/>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agwek1"/>
    <w:next w:val="Normalny"/>
    <w:autoRedefine/>
    <w:uiPriority w:val="39"/>
    <w:rsid w:val="00F4541C"/>
    <w:pPr>
      <w:keepNext w:val="0"/>
      <w:pBdr>
        <w:bottom w:val="none" w:sz="0" w:space="0" w:color="auto"/>
      </w:pBdr>
      <w:spacing w:before="0" w:after="0"/>
      <w:ind w:left="0"/>
      <w:outlineLvl w:val="9"/>
    </w:pPr>
    <w:rPr>
      <w:rFonts w:ascii="Century Gothic" w:hAnsi="Century Gothic"/>
      <w:noProof/>
      <w:sz w:val="22"/>
    </w:rPr>
  </w:style>
  <w:style w:type="paragraph" w:styleId="Spistreci2">
    <w:name w:val="toc 2"/>
    <w:basedOn w:val="Nagwek2"/>
    <w:next w:val="Normalny"/>
    <w:autoRedefine/>
    <w:uiPriority w:val="39"/>
    <w:rsid w:val="001061B1"/>
    <w:pPr>
      <w:keepNext w:val="0"/>
      <w:tabs>
        <w:tab w:val="left" w:pos="720"/>
        <w:tab w:val="right" w:leader="dot" w:pos="9770"/>
      </w:tabs>
      <w:spacing w:before="0" w:after="0"/>
      <w:ind w:left="198"/>
      <w:jc w:val="both"/>
      <w:outlineLvl w:val="9"/>
    </w:pPr>
    <w:rPr>
      <w:b w:val="0"/>
      <w:i w:val="0"/>
      <w:sz w:val="20"/>
    </w:rPr>
  </w:style>
  <w:style w:type="paragraph" w:styleId="Spistreci3">
    <w:name w:val="toc 3"/>
    <w:basedOn w:val="Nagwek3"/>
    <w:next w:val="Normalny"/>
    <w:autoRedefine/>
    <w:semiHidden/>
    <w:rsid w:val="00364DDF"/>
    <w:pPr>
      <w:keepNext w:val="0"/>
      <w:spacing w:before="0" w:after="0"/>
      <w:ind w:left="403"/>
      <w:outlineLvl w:val="9"/>
    </w:pPr>
    <w:rPr>
      <w:i/>
      <w:noProof/>
      <w:sz w:val="20"/>
    </w:rPr>
  </w:style>
  <w:style w:type="paragraph" w:styleId="Nagwek">
    <w:name w:val="header"/>
    <w:basedOn w:val="Normalny"/>
    <w:rsid w:val="00364DDF"/>
    <w:pPr>
      <w:tabs>
        <w:tab w:val="center" w:pos="4536"/>
        <w:tab w:val="right" w:pos="9072"/>
      </w:tabs>
    </w:pPr>
  </w:style>
  <w:style w:type="paragraph" w:styleId="Stopka">
    <w:name w:val="footer"/>
    <w:basedOn w:val="Normalny"/>
    <w:rsid w:val="00364DDF"/>
    <w:pPr>
      <w:tabs>
        <w:tab w:val="center" w:pos="4536"/>
        <w:tab w:val="right" w:pos="9072"/>
      </w:tabs>
    </w:pPr>
  </w:style>
  <w:style w:type="paragraph" w:customStyle="1" w:styleId="Mapadokumentu1">
    <w:name w:val="Mapa dokumentu1"/>
    <w:basedOn w:val="Normalny"/>
    <w:semiHidden/>
    <w:rsid w:val="00364DDF"/>
    <w:pPr>
      <w:shd w:val="clear" w:color="auto" w:fill="000080"/>
    </w:pPr>
    <w:rPr>
      <w:rFonts w:ascii="Tahoma" w:hAnsi="Tahoma"/>
    </w:rPr>
  </w:style>
  <w:style w:type="character" w:styleId="Numerstrony">
    <w:name w:val="page number"/>
    <w:basedOn w:val="Domylnaczcionkaakapitu"/>
    <w:rsid w:val="00364DDF"/>
  </w:style>
  <w:style w:type="paragraph" w:styleId="Tytu">
    <w:name w:val="Title"/>
    <w:basedOn w:val="Normalny"/>
    <w:link w:val="TytuZnak"/>
    <w:qFormat/>
    <w:rsid w:val="00364DDF"/>
    <w:pPr>
      <w:jc w:val="center"/>
    </w:pPr>
    <w:rPr>
      <w:b/>
      <w:color w:val="000000"/>
      <w:sz w:val="24"/>
    </w:rPr>
  </w:style>
  <w:style w:type="paragraph" w:styleId="Tekstpodstawowy">
    <w:name w:val="Body Text"/>
    <w:aliases w:val="b"/>
    <w:basedOn w:val="Normalny"/>
    <w:link w:val="TekstpodstawowyZnak1"/>
    <w:rsid w:val="00364DDF"/>
    <w:pPr>
      <w:jc w:val="both"/>
    </w:pPr>
    <w:rPr>
      <w:color w:val="000000"/>
      <w:sz w:val="24"/>
    </w:rPr>
  </w:style>
  <w:style w:type="paragraph" w:styleId="Tekstpodstawowy2">
    <w:name w:val="Body Text 2"/>
    <w:basedOn w:val="Normalny"/>
    <w:rsid w:val="00364DDF"/>
    <w:pPr>
      <w:jc w:val="both"/>
    </w:pPr>
    <w:rPr>
      <w:color w:val="008000"/>
      <w:sz w:val="24"/>
    </w:rPr>
  </w:style>
  <w:style w:type="paragraph" w:styleId="Tekstpodstawowy3">
    <w:name w:val="Body Text 3"/>
    <w:basedOn w:val="Normalny"/>
    <w:rsid w:val="00364DDF"/>
    <w:pPr>
      <w:jc w:val="both"/>
    </w:pPr>
    <w:rPr>
      <w:color w:val="FF0000"/>
      <w:sz w:val="24"/>
    </w:rPr>
  </w:style>
  <w:style w:type="paragraph" w:styleId="Tekstpodstawowywcity">
    <w:name w:val="Body Text Indent"/>
    <w:basedOn w:val="Normalny"/>
    <w:rsid w:val="00364DDF"/>
    <w:pPr>
      <w:spacing w:before="120"/>
      <w:ind w:left="709"/>
      <w:jc w:val="both"/>
    </w:pPr>
    <w:rPr>
      <w:sz w:val="24"/>
    </w:rPr>
  </w:style>
  <w:style w:type="paragraph" w:styleId="Tekstpodstawowywcity3">
    <w:name w:val="Body Text Indent 3"/>
    <w:basedOn w:val="Normalny"/>
    <w:link w:val="Tekstpodstawowywcity3Znak"/>
    <w:rsid w:val="00364DDF"/>
    <w:pPr>
      <w:ind w:left="567" w:hanging="567"/>
      <w:jc w:val="both"/>
    </w:pPr>
    <w:rPr>
      <w:sz w:val="24"/>
    </w:rPr>
  </w:style>
  <w:style w:type="paragraph" w:styleId="Tekstblokowy">
    <w:name w:val="Block Text"/>
    <w:basedOn w:val="Normalny"/>
    <w:rsid w:val="00364DDF"/>
    <w:pPr>
      <w:ind w:left="426" w:right="-61"/>
      <w:jc w:val="both"/>
    </w:pPr>
    <w:rPr>
      <w:color w:val="008080"/>
      <w:sz w:val="24"/>
    </w:rPr>
  </w:style>
  <w:style w:type="paragraph" w:styleId="Tekstpodstawowywcity2">
    <w:name w:val="Body Text Indent 2"/>
    <w:basedOn w:val="Normalny"/>
    <w:rsid w:val="00364DDF"/>
    <w:pPr>
      <w:ind w:left="426"/>
      <w:jc w:val="both"/>
    </w:pPr>
    <w:rPr>
      <w:sz w:val="24"/>
    </w:rPr>
  </w:style>
  <w:style w:type="paragraph" w:styleId="NormalnyWeb">
    <w:name w:val="Normal (Web)"/>
    <w:basedOn w:val="Normalny"/>
    <w:rsid w:val="00364DDF"/>
    <w:pPr>
      <w:spacing w:before="100" w:beforeAutospacing="1" w:after="100" w:afterAutospacing="1"/>
    </w:pPr>
    <w:rPr>
      <w:rFonts w:ascii="Arial Unicode MS" w:eastAsia="Arial Unicode MS" w:hAnsi="Arial Unicode MS" w:cs="Arial Unicode MS"/>
      <w:color w:val="000000"/>
      <w:sz w:val="24"/>
      <w:szCs w:val="24"/>
    </w:rPr>
  </w:style>
  <w:style w:type="paragraph" w:styleId="Tekstprzypisudolnego">
    <w:name w:val="footnote text"/>
    <w:basedOn w:val="Normalny"/>
    <w:link w:val="TekstprzypisudolnegoZnak"/>
    <w:semiHidden/>
    <w:rsid w:val="00364DDF"/>
    <w:rPr>
      <w:rFonts w:ascii="Arial Narrow" w:hAnsi="Arial Narrow"/>
    </w:rPr>
  </w:style>
  <w:style w:type="paragraph" w:styleId="HTML-wstpniesformatowany">
    <w:name w:val="HTML Preformatted"/>
    <w:basedOn w:val="Normalny"/>
    <w:rsid w:val="00364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Hipercze">
    <w:name w:val="Hyperlink"/>
    <w:uiPriority w:val="99"/>
    <w:rsid w:val="00364DDF"/>
    <w:rPr>
      <w:color w:val="000099"/>
      <w:u w:val="single"/>
    </w:rPr>
  </w:style>
  <w:style w:type="character" w:customStyle="1" w:styleId="a41">
    <w:name w:val="a41"/>
    <w:rsid w:val="00364DDF"/>
    <w:rPr>
      <w:rFonts w:ascii="Verdana" w:hAnsi="Verdana" w:hint="default"/>
      <w:b w:val="0"/>
      <w:bCs w:val="0"/>
      <w:sz w:val="23"/>
      <w:szCs w:val="23"/>
    </w:rPr>
  </w:style>
  <w:style w:type="character" w:customStyle="1" w:styleId="ty1">
    <w:name w:val="ty1"/>
    <w:rsid w:val="00364DDF"/>
    <w:rPr>
      <w:rFonts w:ascii="Verdana" w:hAnsi="Verdana" w:hint="default"/>
      <w:b/>
      <w:bCs/>
      <w:color w:val="0A4C01"/>
      <w:sz w:val="40"/>
      <w:szCs w:val="40"/>
    </w:rPr>
  </w:style>
  <w:style w:type="character" w:customStyle="1" w:styleId="a01">
    <w:name w:val="a01"/>
    <w:rsid w:val="00364DDF"/>
    <w:rPr>
      <w:rFonts w:ascii="Verdana" w:hAnsi="Verdana" w:hint="default"/>
      <w:b w:val="0"/>
      <w:bCs w:val="0"/>
      <w:sz w:val="17"/>
      <w:szCs w:val="17"/>
    </w:rPr>
  </w:style>
  <w:style w:type="paragraph" w:customStyle="1" w:styleId="BodyText21">
    <w:name w:val="Body Text 21"/>
    <w:basedOn w:val="Normalny"/>
    <w:rsid w:val="00364DDF"/>
    <w:pPr>
      <w:overflowPunct w:val="0"/>
      <w:autoSpaceDE w:val="0"/>
      <w:autoSpaceDN w:val="0"/>
      <w:adjustRightInd w:val="0"/>
      <w:spacing w:line="120" w:lineRule="atLeast"/>
      <w:jc w:val="both"/>
      <w:textAlignment w:val="baseline"/>
    </w:pPr>
    <w:rPr>
      <w:rFonts w:ascii="Comic Sans MS" w:hAnsi="Comic Sans MS"/>
      <w:sz w:val="18"/>
    </w:rPr>
  </w:style>
  <w:style w:type="paragraph" w:customStyle="1" w:styleId="Ptaszki">
    <w:name w:val="Ptaszki"/>
    <w:basedOn w:val="Normalny"/>
    <w:rsid w:val="00364DDF"/>
    <w:pPr>
      <w:numPr>
        <w:numId w:val="2"/>
      </w:numPr>
      <w:spacing w:line="300" w:lineRule="atLeast"/>
      <w:ind w:left="1259" w:hanging="357"/>
      <w:jc w:val="both"/>
    </w:pPr>
    <w:rPr>
      <w:rFonts w:ascii="Tahoma" w:hAnsi="Tahoma" w:cs="Tahoma"/>
    </w:rPr>
  </w:style>
  <w:style w:type="paragraph" w:styleId="Lista">
    <w:name w:val="List"/>
    <w:basedOn w:val="Normalny"/>
    <w:rsid w:val="00364DDF"/>
    <w:pPr>
      <w:ind w:left="283" w:hanging="283"/>
    </w:pPr>
  </w:style>
  <w:style w:type="paragraph" w:styleId="Lista2">
    <w:name w:val="List 2"/>
    <w:basedOn w:val="Normalny"/>
    <w:rsid w:val="00364DDF"/>
    <w:pPr>
      <w:ind w:left="566" w:hanging="283"/>
    </w:pPr>
  </w:style>
  <w:style w:type="paragraph" w:styleId="Listapunktowana2">
    <w:name w:val="List Bullet 2"/>
    <w:basedOn w:val="Normalny"/>
    <w:rsid w:val="00364DDF"/>
    <w:pPr>
      <w:numPr>
        <w:numId w:val="3"/>
      </w:numPr>
    </w:pPr>
  </w:style>
  <w:style w:type="paragraph" w:styleId="Listapunktowana3">
    <w:name w:val="List Bullet 3"/>
    <w:basedOn w:val="Normalny"/>
    <w:rsid w:val="00364DDF"/>
    <w:pPr>
      <w:numPr>
        <w:numId w:val="4"/>
      </w:numPr>
    </w:pPr>
  </w:style>
  <w:style w:type="paragraph" w:styleId="Lista-kontynuacja2">
    <w:name w:val="List Continue 2"/>
    <w:basedOn w:val="Normalny"/>
    <w:rsid w:val="00364DDF"/>
    <w:pPr>
      <w:spacing w:after="120"/>
      <w:ind w:left="566"/>
    </w:pPr>
  </w:style>
  <w:style w:type="paragraph" w:styleId="Lista-kontynuacja3">
    <w:name w:val="List Continue 3"/>
    <w:basedOn w:val="Normalny"/>
    <w:rsid w:val="00364DDF"/>
    <w:pPr>
      <w:spacing w:after="120"/>
      <w:ind w:left="849"/>
    </w:pPr>
  </w:style>
  <w:style w:type="paragraph" w:styleId="Tekstpodstawowyzwciciem2">
    <w:name w:val="Body Text First Indent 2"/>
    <w:basedOn w:val="Tekstpodstawowywcity"/>
    <w:rsid w:val="00364DDF"/>
    <w:pPr>
      <w:spacing w:before="0" w:after="120"/>
      <w:ind w:left="283" w:firstLine="210"/>
      <w:jc w:val="left"/>
    </w:pPr>
    <w:rPr>
      <w:sz w:val="20"/>
    </w:rPr>
  </w:style>
  <w:style w:type="character" w:styleId="UyteHipercze">
    <w:name w:val="FollowedHyperlink"/>
    <w:rsid w:val="00364DDF"/>
    <w:rPr>
      <w:color w:val="800080"/>
      <w:u w:val="single"/>
    </w:rPr>
  </w:style>
  <w:style w:type="paragraph" w:customStyle="1" w:styleId="artyku">
    <w:name w:val="artykuł"/>
    <w:basedOn w:val="Normalny"/>
    <w:autoRedefine/>
    <w:rsid w:val="00364DDF"/>
    <w:pPr>
      <w:numPr>
        <w:numId w:val="1"/>
      </w:numPr>
      <w:spacing w:before="120" w:after="120"/>
      <w:jc w:val="center"/>
    </w:pPr>
    <w:rPr>
      <w:sz w:val="24"/>
      <w:szCs w:val="24"/>
      <w:u w:val="single"/>
    </w:rPr>
  </w:style>
  <w:style w:type="paragraph" w:styleId="Tekstdymka">
    <w:name w:val="Balloon Text"/>
    <w:basedOn w:val="Normalny"/>
    <w:semiHidden/>
    <w:rsid w:val="00364DDF"/>
    <w:rPr>
      <w:rFonts w:ascii="Tahoma" w:hAnsi="Tahoma" w:cs="Tahoma"/>
      <w:sz w:val="16"/>
      <w:szCs w:val="16"/>
    </w:rPr>
  </w:style>
  <w:style w:type="character" w:styleId="Odwoaniedokomentarza">
    <w:name w:val="annotation reference"/>
    <w:semiHidden/>
    <w:rsid w:val="00364DDF"/>
    <w:rPr>
      <w:sz w:val="16"/>
      <w:szCs w:val="16"/>
    </w:rPr>
  </w:style>
  <w:style w:type="paragraph" w:styleId="Tekstkomentarza">
    <w:name w:val="annotation text"/>
    <w:basedOn w:val="Normalny"/>
    <w:link w:val="TekstkomentarzaZnak"/>
    <w:semiHidden/>
    <w:rsid w:val="00364DDF"/>
  </w:style>
  <w:style w:type="paragraph" w:styleId="Tematkomentarza">
    <w:name w:val="annotation subject"/>
    <w:basedOn w:val="Tekstkomentarza"/>
    <w:next w:val="Tekstkomentarza"/>
    <w:semiHidden/>
    <w:rsid w:val="00364DDF"/>
    <w:rPr>
      <w:b/>
      <w:bCs/>
    </w:rPr>
  </w:style>
  <w:style w:type="paragraph" w:styleId="Tekstprzypisukocowego">
    <w:name w:val="endnote text"/>
    <w:basedOn w:val="Normalny"/>
    <w:semiHidden/>
    <w:rsid w:val="005D3B23"/>
  </w:style>
  <w:style w:type="character" w:styleId="Odwoanieprzypisukocowego">
    <w:name w:val="endnote reference"/>
    <w:semiHidden/>
    <w:rsid w:val="005D3B23"/>
    <w:rPr>
      <w:vertAlign w:val="superscript"/>
    </w:rPr>
  </w:style>
  <w:style w:type="paragraph" w:customStyle="1" w:styleId="typowy">
    <w:name w:val="typowy"/>
    <w:basedOn w:val="Normalny"/>
    <w:rsid w:val="00AE39E5"/>
    <w:pPr>
      <w:spacing w:after="80"/>
      <w:ind w:left="567"/>
      <w:jc w:val="both"/>
    </w:pPr>
    <w:rPr>
      <w:sz w:val="22"/>
      <w:szCs w:val="22"/>
    </w:rPr>
  </w:style>
  <w:style w:type="paragraph" w:customStyle="1" w:styleId="NormalnyCenturyGothic">
    <w:name w:val="Normalny + Century Gothic"/>
    <w:aliases w:val="11 pt,Nie Pogrubienie,Nie Kursywa"/>
    <w:basedOn w:val="Nagwek2"/>
    <w:rsid w:val="002B349C"/>
    <w:pPr>
      <w:ind w:left="426"/>
      <w:jc w:val="both"/>
    </w:pPr>
    <w:rPr>
      <w:rFonts w:ascii="Century Gothic" w:hAnsi="Century Gothic" w:cs="Tahoma"/>
      <w:b w:val="0"/>
      <w:i w:val="0"/>
      <w:sz w:val="22"/>
      <w:szCs w:val="22"/>
    </w:rPr>
  </w:style>
  <w:style w:type="paragraph" w:styleId="Akapitzlist">
    <w:name w:val="List Paragraph"/>
    <w:basedOn w:val="Normalny"/>
    <w:uiPriority w:val="34"/>
    <w:qFormat/>
    <w:rsid w:val="00646E88"/>
    <w:pPr>
      <w:ind w:left="708"/>
    </w:pPr>
  </w:style>
  <w:style w:type="character" w:customStyle="1" w:styleId="TekstpodstawowyZnak">
    <w:name w:val="Tekst podstawowy Znak"/>
    <w:rsid w:val="004E4C73"/>
    <w:rPr>
      <w:rFonts w:ascii="Tahoma" w:hAnsi="Tahoma" w:cs="Tahoma"/>
      <w:bCs/>
      <w:szCs w:val="24"/>
      <w:lang w:val="pl-PL" w:eastAsia="pl-PL" w:bidi="ar-SA"/>
    </w:rPr>
  </w:style>
  <w:style w:type="character" w:styleId="Odwoanieprzypisudolnego">
    <w:name w:val="footnote reference"/>
    <w:semiHidden/>
    <w:rsid w:val="004E4C73"/>
    <w:rPr>
      <w:vertAlign w:val="superscript"/>
    </w:rPr>
  </w:style>
  <w:style w:type="paragraph" w:customStyle="1" w:styleId="Tytuakapitu">
    <w:name w:val="Tytuł akapitu"/>
    <w:basedOn w:val="Tekstpodstawowy"/>
    <w:next w:val="Tekstpodstawowy"/>
    <w:rsid w:val="004E4C73"/>
    <w:pPr>
      <w:keepNext/>
      <w:tabs>
        <w:tab w:val="num" w:pos="1776"/>
      </w:tabs>
      <w:spacing w:before="240" w:after="120" w:line="300" w:lineRule="atLeast"/>
      <w:ind w:left="539"/>
    </w:pPr>
    <w:rPr>
      <w:rFonts w:ascii="Tahoma" w:hAnsi="Tahoma" w:cs="Tahoma"/>
      <w:b/>
      <w:sz w:val="20"/>
      <w:szCs w:val="24"/>
    </w:rPr>
  </w:style>
  <w:style w:type="character" w:customStyle="1" w:styleId="TekstprzypisudolnegoZnak">
    <w:name w:val="Tekst przypisu dolnego Znak"/>
    <w:link w:val="Tekstprzypisudolnego"/>
    <w:semiHidden/>
    <w:rsid w:val="004E4C73"/>
    <w:rPr>
      <w:rFonts w:ascii="Arial Narrow" w:hAnsi="Arial Narrow"/>
      <w:lang w:val="pl-PL" w:eastAsia="pl-PL" w:bidi="ar-SA"/>
    </w:rPr>
  </w:style>
  <w:style w:type="table" w:styleId="Tabela-Siatka">
    <w:name w:val="Table Grid"/>
    <w:basedOn w:val="Standardowy"/>
    <w:rsid w:val="002B3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link w:val="Nagwek4"/>
    <w:rsid w:val="006A52C0"/>
    <w:rPr>
      <w:b/>
      <w:color w:val="FF0000"/>
      <w:sz w:val="24"/>
      <w:lang w:val="pl-PL" w:eastAsia="pl-PL" w:bidi="ar-SA"/>
    </w:rPr>
  </w:style>
  <w:style w:type="character" w:customStyle="1" w:styleId="TekstpodstawowyZnak1">
    <w:name w:val="Tekst podstawowy Znak1"/>
    <w:aliases w:val="b Znak"/>
    <w:link w:val="Tekstpodstawowy"/>
    <w:rsid w:val="006A52C0"/>
    <w:rPr>
      <w:color w:val="000000"/>
      <w:sz w:val="24"/>
      <w:lang w:val="pl-PL" w:eastAsia="pl-PL" w:bidi="ar-SA"/>
    </w:rPr>
  </w:style>
  <w:style w:type="paragraph" w:styleId="Spistreci5">
    <w:name w:val="toc 5"/>
    <w:basedOn w:val="Normalny"/>
    <w:next w:val="Normalny"/>
    <w:autoRedefine/>
    <w:semiHidden/>
    <w:rsid w:val="0077273B"/>
    <w:pPr>
      <w:ind w:left="800"/>
    </w:pPr>
  </w:style>
  <w:style w:type="character" w:customStyle="1" w:styleId="Tekstpodstawowywcity3Znak">
    <w:name w:val="Tekst podstawowy wcięty 3 Znak"/>
    <w:link w:val="Tekstpodstawowywcity3"/>
    <w:rsid w:val="008431E4"/>
    <w:rPr>
      <w:sz w:val="24"/>
      <w:lang w:val="pl-PL" w:eastAsia="pl-PL" w:bidi="ar-SA"/>
    </w:rPr>
  </w:style>
  <w:style w:type="character" w:customStyle="1" w:styleId="ZnakZnak8">
    <w:name w:val="Znak Znak8"/>
    <w:rsid w:val="008431E4"/>
    <w:rPr>
      <w:b/>
      <w:color w:val="FF0000"/>
      <w:sz w:val="24"/>
    </w:rPr>
  </w:style>
  <w:style w:type="character" w:customStyle="1" w:styleId="Nagwek7Znak">
    <w:name w:val="Nagłówek 7 Znak"/>
    <w:link w:val="Nagwek7"/>
    <w:rsid w:val="008431E4"/>
    <w:rPr>
      <w:b/>
      <w:color w:val="000000"/>
      <w:sz w:val="24"/>
      <w:lang w:val="pl-PL" w:eastAsia="pl-PL" w:bidi="ar-SA"/>
    </w:rPr>
  </w:style>
  <w:style w:type="character" w:customStyle="1" w:styleId="TekstkomentarzaZnak">
    <w:name w:val="Tekst komentarza Znak"/>
    <w:link w:val="Tekstkomentarza"/>
    <w:semiHidden/>
    <w:rsid w:val="008431E4"/>
    <w:rPr>
      <w:lang w:val="pl-PL" w:eastAsia="pl-PL" w:bidi="ar-SA"/>
    </w:rPr>
  </w:style>
  <w:style w:type="character" w:styleId="Pogrubienie">
    <w:name w:val="Strong"/>
    <w:uiPriority w:val="22"/>
    <w:qFormat/>
    <w:rsid w:val="00450EEB"/>
    <w:rPr>
      <w:b/>
      <w:bCs/>
    </w:rPr>
  </w:style>
  <w:style w:type="paragraph" w:customStyle="1" w:styleId="Akapitzlist1">
    <w:name w:val="Akapit z listą1"/>
    <w:basedOn w:val="Normalny"/>
    <w:qFormat/>
    <w:rsid w:val="002B1AE9"/>
    <w:pPr>
      <w:ind w:left="720"/>
    </w:pPr>
  </w:style>
  <w:style w:type="paragraph" w:customStyle="1" w:styleId="Default">
    <w:name w:val="Default"/>
    <w:rsid w:val="00377DEB"/>
    <w:pPr>
      <w:autoSpaceDE w:val="0"/>
      <w:autoSpaceDN w:val="0"/>
      <w:adjustRightInd w:val="0"/>
    </w:pPr>
    <w:rPr>
      <w:rFonts w:ascii="Tahoma" w:hAnsi="Tahoma" w:cs="Tahoma"/>
      <w:color w:val="000000"/>
      <w:sz w:val="24"/>
      <w:szCs w:val="24"/>
    </w:rPr>
  </w:style>
  <w:style w:type="paragraph" w:customStyle="1" w:styleId="000Normal">
    <w:name w:val="000 Normal"/>
    <w:basedOn w:val="Normalny"/>
    <w:link w:val="000NormalChar"/>
    <w:rsid w:val="00DB4572"/>
    <w:pPr>
      <w:overflowPunct w:val="0"/>
      <w:autoSpaceDE w:val="0"/>
      <w:autoSpaceDN w:val="0"/>
      <w:adjustRightInd w:val="0"/>
      <w:spacing w:before="60" w:after="40" w:line="220" w:lineRule="exact"/>
      <w:jc w:val="both"/>
      <w:textAlignment w:val="baseline"/>
    </w:pPr>
    <w:rPr>
      <w:b/>
      <w:bCs/>
      <w:iCs/>
      <w:sz w:val="24"/>
      <w:szCs w:val="24"/>
      <w:lang w:val="en-GB" w:eastAsia="en-US"/>
    </w:rPr>
  </w:style>
  <w:style w:type="character" w:customStyle="1" w:styleId="000NormalChar">
    <w:name w:val="000 Normal Char"/>
    <w:link w:val="000Normal"/>
    <w:rsid w:val="00DB4572"/>
    <w:rPr>
      <w:b/>
      <w:bCs/>
      <w:iCs/>
      <w:sz w:val="24"/>
      <w:szCs w:val="24"/>
      <w:lang w:val="en-GB" w:eastAsia="en-US" w:bidi="ar-SA"/>
    </w:rPr>
  </w:style>
  <w:style w:type="paragraph" w:styleId="Spistreci4">
    <w:name w:val="toc 4"/>
    <w:basedOn w:val="Normalny"/>
    <w:next w:val="Normalny"/>
    <w:autoRedefine/>
    <w:semiHidden/>
    <w:rsid w:val="0001209E"/>
    <w:pPr>
      <w:ind w:left="600"/>
    </w:pPr>
  </w:style>
  <w:style w:type="paragraph" w:customStyle="1" w:styleId="msolistparagraph0">
    <w:name w:val="msolistparagraph"/>
    <w:basedOn w:val="Normalny"/>
    <w:rsid w:val="00447E2F"/>
    <w:pPr>
      <w:ind w:left="708"/>
    </w:pPr>
  </w:style>
  <w:style w:type="character" w:customStyle="1" w:styleId="TytuZnak">
    <w:name w:val="Tytuł Znak"/>
    <w:link w:val="Tytu"/>
    <w:locked/>
    <w:rsid w:val="006F6FD6"/>
    <w:rPr>
      <w:b/>
      <w:color w:val="000000"/>
      <w:sz w:val="24"/>
      <w:lang w:val="pl-PL" w:eastAsia="pl-PL" w:bidi="ar-SA"/>
    </w:rPr>
  </w:style>
  <w:style w:type="character" w:customStyle="1" w:styleId="Nagwek2Znak">
    <w:name w:val="Nagłówek 2 Znak"/>
    <w:link w:val="Nagwek2"/>
    <w:rsid w:val="007768D7"/>
    <w:rPr>
      <w:rFonts w:ascii="Arial" w:hAnsi="Arial"/>
      <w:b/>
      <w:i/>
      <w:sz w:val="24"/>
    </w:rPr>
  </w:style>
  <w:style w:type="paragraph" w:styleId="Poprawka">
    <w:name w:val="Revision"/>
    <w:hidden/>
    <w:uiPriority w:val="99"/>
    <w:semiHidden/>
    <w:rsid w:val="009C5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63A0F"/>
  </w:style>
  <w:style w:type="paragraph" w:styleId="Nagwek1">
    <w:name w:val="heading 1"/>
    <w:basedOn w:val="Normalny"/>
    <w:next w:val="Normalny"/>
    <w:qFormat/>
    <w:rsid w:val="00364DDF"/>
    <w:pPr>
      <w:keepNext/>
      <w:pBdr>
        <w:bottom w:val="single" w:sz="4" w:space="1" w:color="auto"/>
      </w:pBdr>
      <w:spacing w:before="600" w:after="240"/>
      <w:ind w:left="-284"/>
      <w:outlineLvl w:val="0"/>
    </w:pPr>
    <w:rPr>
      <w:rFonts w:ascii="Arial" w:hAnsi="Arial"/>
      <w:b/>
      <w:caps/>
      <w:sz w:val="24"/>
    </w:rPr>
  </w:style>
  <w:style w:type="paragraph" w:styleId="Nagwek2">
    <w:name w:val="heading 2"/>
    <w:basedOn w:val="Normalny"/>
    <w:next w:val="Normalny"/>
    <w:link w:val="Nagwek2Znak"/>
    <w:qFormat/>
    <w:rsid w:val="00364DDF"/>
    <w:pPr>
      <w:keepNext/>
      <w:spacing w:before="240" w:after="60"/>
      <w:outlineLvl w:val="1"/>
    </w:pPr>
    <w:rPr>
      <w:rFonts w:ascii="Arial" w:hAnsi="Arial"/>
      <w:b/>
      <w:i/>
      <w:sz w:val="24"/>
    </w:rPr>
  </w:style>
  <w:style w:type="paragraph" w:styleId="Nagwek3">
    <w:name w:val="heading 3"/>
    <w:basedOn w:val="Normalny"/>
    <w:next w:val="Normalny"/>
    <w:qFormat/>
    <w:rsid w:val="00364DDF"/>
    <w:pPr>
      <w:keepNext/>
      <w:spacing w:before="240" w:after="60"/>
      <w:outlineLvl w:val="2"/>
    </w:pPr>
    <w:rPr>
      <w:rFonts w:ascii="Arial" w:hAnsi="Arial"/>
      <w:sz w:val="24"/>
    </w:rPr>
  </w:style>
  <w:style w:type="paragraph" w:styleId="Nagwek4">
    <w:name w:val="heading 4"/>
    <w:basedOn w:val="Normalny"/>
    <w:next w:val="Normalny"/>
    <w:link w:val="Nagwek4Znak"/>
    <w:qFormat/>
    <w:rsid w:val="00364DDF"/>
    <w:pPr>
      <w:keepNext/>
      <w:outlineLvl w:val="3"/>
    </w:pPr>
    <w:rPr>
      <w:b/>
      <w:color w:val="FF0000"/>
      <w:sz w:val="24"/>
    </w:rPr>
  </w:style>
  <w:style w:type="paragraph" w:styleId="Nagwek5">
    <w:name w:val="heading 5"/>
    <w:basedOn w:val="Normalny"/>
    <w:next w:val="Normalny"/>
    <w:qFormat/>
    <w:rsid w:val="00364DDF"/>
    <w:pPr>
      <w:keepNext/>
      <w:outlineLvl w:val="4"/>
    </w:pPr>
    <w:rPr>
      <w:color w:val="FF0000"/>
      <w:sz w:val="24"/>
    </w:rPr>
  </w:style>
  <w:style w:type="paragraph" w:styleId="Nagwek6">
    <w:name w:val="heading 6"/>
    <w:basedOn w:val="Normalny"/>
    <w:next w:val="Normalny"/>
    <w:qFormat/>
    <w:rsid w:val="00364DDF"/>
    <w:pPr>
      <w:keepNext/>
      <w:jc w:val="center"/>
      <w:outlineLvl w:val="5"/>
    </w:pPr>
    <w:rPr>
      <w:color w:val="FF0000"/>
      <w:sz w:val="24"/>
    </w:rPr>
  </w:style>
  <w:style w:type="paragraph" w:styleId="Nagwek7">
    <w:name w:val="heading 7"/>
    <w:basedOn w:val="Normalny"/>
    <w:next w:val="Normalny"/>
    <w:link w:val="Nagwek7Znak"/>
    <w:qFormat/>
    <w:rsid w:val="00364DDF"/>
    <w:pPr>
      <w:keepNext/>
      <w:jc w:val="center"/>
      <w:outlineLvl w:val="6"/>
    </w:pPr>
    <w:rPr>
      <w:b/>
      <w:color w:val="000000"/>
      <w:sz w:val="24"/>
    </w:rPr>
  </w:style>
  <w:style w:type="paragraph" w:styleId="Nagwek8">
    <w:name w:val="heading 8"/>
    <w:basedOn w:val="Normalny"/>
    <w:next w:val="Normalny"/>
    <w:qFormat/>
    <w:rsid w:val="00364DDF"/>
    <w:pPr>
      <w:keepNext/>
      <w:jc w:val="both"/>
      <w:outlineLvl w:val="7"/>
    </w:pPr>
    <w:rPr>
      <w:color w:val="008000"/>
      <w:sz w:val="24"/>
    </w:rPr>
  </w:style>
  <w:style w:type="paragraph" w:styleId="Nagwek9">
    <w:name w:val="heading 9"/>
    <w:basedOn w:val="Normalny"/>
    <w:next w:val="Normalny"/>
    <w:qFormat/>
    <w:rsid w:val="00364DDF"/>
    <w:pPr>
      <w:keepNext/>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agwek1"/>
    <w:next w:val="Normalny"/>
    <w:autoRedefine/>
    <w:uiPriority w:val="39"/>
    <w:rsid w:val="00F4541C"/>
    <w:pPr>
      <w:keepNext w:val="0"/>
      <w:pBdr>
        <w:bottom w:val="none" w:sz="0" w:space="0" w:color="auto"/>
      </w:pBdr>
      <w:spacing w:before="0" w:after="0"/>
      <w:ind w:left="0"/>
      <w:outlineLvl w:val="9"/>
    </w:pPr>
    <w:rPr>
      <w:rFonts w:ascii="Century Gothic" w:hAnsi="Century Gothic"/>
      <w:noProof/>
      <w:sz w:val="22"/>
    </w:rPr>
  </w:style>
  <w:style w:type="paragraph" w:styleId="Spistreci2">
    <w:name w:val="toc 2"/>
    <w:basedOn w:val="Nagwek2"/>
    <w:next w:val="Normalny"/>
    <w:autoRedefine/>
    <w:uiPriority w:val="39"/>
    <w:rsid w:val="001061B1"/>
    <w:pPr>
      <w:keepNext w:val="0"/>
      <w:tabs>
        <w:tab w:val="left" w:pos="720"/>
        <w:tab w:val="right" w:leader="dot" w:pos="9770"/>
      </w:tabs>
      <w:spacing w:before="0" w:after="0"/>
      <w:ind w:left="198"/>
      <w:jc w:val="both"/>
      <w:outlineLvl w:val="9"/>
    </w:pPr>
    <w:rPr>
      <w:b w:val="0"/>
      <w:i w:val="0"/>
      <w:sz w:val="20"/>
    </w:rPr>
  </w:style>
  <w:style w:type="paragraph" w:styleId="Spistreci3">
    <w:name w:val="toc 3"/>
    <w:basedOn w:val="Nagwek3"/>
    <w:next w:val="Normalny"/>
    <w:autoRedefine/>
    <w:semiHidden/>
    <w:rsid w:val="00364DDF"/>
    <w:pPr>
      <w:keepNext w:val="0"/>
      <w:spacing w:before="0" w:after="0"/>
      <w:ind w:left="403"/>
      <w:outlineLvl w:val="9"/>
    </w:pPr>
    <w:rPr>
      <w:i/>
      <w:noProof/>
      <w:sz w:val="20"/>
    </w:rPr>
  </w:style>
  <w:style w:type="paragraph" w:styleId="Nagwek">
    <w:name w:val="header"/>
    <w:basedOn w:val="Normalny"/>
    <w:rsid w:val="00364DDF"/>
    <w:pPr>
      <w:tabs>
        <w:tab w:val="center" w:pos="4536"/>
        <w:tab w:val="right" w:pos="9072"/>
      </w:tabs>
    </w:pPr>
  </w:style>
  <w:style w:type="paragraph" w:styleId="Stopka">
    <w:name w:val="footer"/>
    <w:basedOn w:val="Normalny"/>
    <w:rsid w:val="00364DDF"/>
    <w:pPr>
      <w:tabs>
        <w:tab w:val="center" w:pos="4536"/>
        <w:tab w:val="right" w:pos="9072"/>
      </w:tabs>
    </w:pPr>
  </w:style>
  <w:style w:type="paragraph" w:customStyle="1" w:styleId="Mapadokumentu1">
    <w:name w:val="Mapa dokumentu1"/>
    <w:basedOn w:val="Normalny"/>
    <w:semiHidden/>
    <w:rsid w:val="00364DDF"/>
    <w:pPr>
      <w:shd w:val="clear" w:color="auto" w:fill="000080"/>
    </w:pPr>
    <w:rPr>
      <w:rFonts w:ascii="Tahoma" w:hAnsi="Tahoma"/>
    </w:rPr>
  </w:style>
  <w:style w:type="character" w:styleId="Numerstrony">
    <w:name w:val="page number"/>
    <w:basedOn w:val="Domylnaczcionkaakapitu"/>
    <w:rsid w:val="00364DDF"/>
  </w:style>
  <w:style w:type="paragraph" w:styleId="Tytu">
    <w:name w:val="Title"/>
    <w:basedOn w:val="Normalny"/>
    <w:link w:val="TytuZnak"/>
    <w:qFormat/>
    <w:rsid w:val="00364DDF"/>
    <w:pPr>
      <w:jc w:val="center"/>
    </w:pPr>
    <w:rPr>
      <w:b/>
      <w:color w:val="000000"/>
      <w:sz w:val="24"/>
    </w:rPr>
  </w:style>
  <w:style w:type="paragraph" w:styleId="Tekstpodstawowy">
    <w:name w:val="Body Text"/>
    <w:aliases w:val="b"/>
    <w:basedOn w:val="Normalny"/>
    <w:link w:val="TekstpodstawowyZnak1"/>
    <w:rsid w:val="00364DDF"/>
    <w:pPr>
      <w:jc w:val="both"/>
    </w:pPr>
    <w:rPr>
      <w:color w:val="000000"/>
      <w:sz w:val="24"/>
    </w:rPr>
  </w:style>
  <w:style w:type="paragraph" w:styleId="Tekstpodstawowy2">
    <w:name w:val="Body Text 2"/>
    <w:basedOn w:val="Normalny"/>
    <w:rsid w:val="00364DDF"/>
    <w:pPr>
      <w:jc w:val="both"/>
    </w:pPr>
    <w:rPr>
      <w:color w:val="008000"/>
      <w:sz w:val="24"/>
    </w:rPr>
  </w:style>
  <w:style w:type="paragraph" w:styleId="Tekstpodstawowy3">
    <w:name w:val="Body Text 3"/>
    <w:basedOn w:val="Normalny"/>
    <w:rsid w:val="00364DDF"/>
    <w:pPr>
      <w:jc w:val="both"/>
    </w:pPr>
    <w:rPr>
      <w:color w:val="FF0000"/>
      <w:sz w:val="24"/>
    </w:rPr>
  </w:style>
  <w:style w:type="paragraph" w:styleId="Tekstpodstawowywcity">
    <w:name w:val="Body Text Indent"/>
    <w:basedOn w:val="Normalny"/>
    <w:rsid w:val="00364DDF"/>
    <w:pPr>
      <w:spacing w:before="120"/>
      <w:ind w:left="709"/>
      <w:jc w:val="both"/>
    </w:pPr>
    <w:rPr>
      <w:sz w:val="24"/>
    </w:rPr>
  </w:style>
  <w:style w:type="paragraph" w:styleId="Tekstpodstawowywcity3">
    <w:name w:val="Body Text Indent 3"/>
    <w:basedOn w:val="Normalny"/>
    <w:link w:val="Tekstpodstawowywcity3Znak"/>
    <w:rsid w:val="00364DDF"/>
    <w:pPr>
      <w:ind w:left="567" w:hanging="567"/>
      <w:jc w:val="both"/>
    </w:pPr>
    <w:rPr>
      <w:sz w:val="24"/>
    </w:rPr>
  </w:style>
  <w:style w:type="paragraph" w:styleId="Tekstblokowy">
    <w:name w:val="Block Text"/>
    <w:basedOn w:val="Normalny"/>
    <w:rsid w:val="00364DDF"/>
    <w:pPr>
      <w:ind w:left="426" w:right="-61"/>
      <w:jc w:val="both"/>
    </w:pPr>
    <w:rPr>
      <w:color w:val="008080"/>
      <w:sz w:val="24"/>
    </w:rPr>
  </w:style>
  <w:style w:type="paragraph" w:styleId="Tekstpodstawowywcity2">
    <w:name w:val="Body Text Indent 2"/>
    <w:basedOn w:val="Normalny"/>
    <w:rsid w:val="00364DDF"/>
    <w:pPr>
      <w:ind w:left="426"/>
      <w:jc w:val="both"/>
    </w:pPr>
    <w:rPr>
      <w:sz w:val="24"/>
    </w:rPr>
  </w:style>
  <w:style w:type="paragraph" w:styleId="NormalnyWeb">
    <w:name w:val="Normal (Web)"/>
    <w:basedOn w:val="Normalny"/>
    <w:rsid w:val="00364DDF"/>
    <w:pPr>
      <w:spacing w:before="100" w:beforeAutospacing="1" w:after="100" w:afterAutospacing="1"/>
    </w:pPr>
    <w:rPr>
      <w:rFonts w:ascii="Arial Unicode MS" w:eastAsia="Arial Unicode MS" w:hAnsi="Arial Unicode MS" w:cs="Arial Unicode MS"/>
      <w:color w:val="000000"/>
      <w:sz w:val="24"/>
      <w:szCs w:val="24"/>
    </w:rPr>
  </w:style>
  <w:style w:type="paragraph" w:styleId="Tekstprzypisudolnego">
    <w:name w:val="footnote text"/>
    <w:basedOn w:val="Normalny"/>
    <w:link w:val="TekstprzypisudolnegoZnak"/>
    <w:semiHidden/>
    <w:rsid w:val="00364DDF"/>
    <w:rPr>
      <w:rFonts w:ascii="Arial Narrow" w:hAnsi="Arial Narrow"/>
    </w:rPr>
  </w:style>
  <w:style w:type="paragraph" w:styleId="HTML-wstpniesformatowany">
    <w:name w:val="HTML Preformatted"/>
    <w:basedOn w:val="Normalny"/>
    <w:rsid w:val="00364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Hipercze">
    <w:name w:val="Hyperlink"/>
    <w:uiPriority w:val="99"/>
    <w:rsid w:val="00364DDF"/>
    <w:rPr>
      <w:color w:val="000099"/>
      <w:u w:val="single"/>
    </w:rPr>
  </w:style>
  <w:style w:type="character" w:customStyle="1" w:styleId="a41">
    <w:name w:val="a41"/>
    <w:rsid w:val="00364DDF"/>
    <w:rPr>
      <w:rFonts w:ascii="Verdana" w:hAnsi="Verdana" w:hint="default"/>
      <w:b w:val="0"/>
      <w:bCs w:val="0"/>
      <w:sz w:val="23"/>
      <w:szCs w:val="23"/>
    </w:rPr>
  </w:style>
  <w:style w:type="character" w:customStyle="1" w:styleId="ty1">
    <w:name w:val="ty1"/>
    <w:rsid w:val="00364DDF"/>
    <w:rPr>
      <w:rFonts w:ascii="Verdana" w:hAnsi="Verdana" w:hint="default"/>
      <w:b/>
      <w:bCs/>
      <w:color w:val="0A4C01"/>
      <w:sz w:val="40"/>
      <w:szCs w:val="40"/>
    </w:rPr>
  </w:style>
  <w:style w:type="character" w:customStyle="1" w:styleId="a01">
    <w:name w:val="a01"/>
    <w:rsid w:val="00364DDF"/>
    <w:rPr>
      <w:rFonts w:ascii="Verdana" w:hAnsi="Verdana" w:hint="default"/>
      <w:b w:val="0"/>
      <w:bCs w:val="0"/>
      <w:sz w:val="17"/>
      <w:szCs w:val="17"/>
    </w:rPr>
  </w:style>
  <w:style w:type="paragraph" w:customStyle="1" w:styleId="BodyText21">
    <w:name w:val="Body Text 21"/>
    <w:basedOn w:val="Normalny"/>
    <w:rsid w:val="00364DDF"/>
    <w:pPr>
      <w:overflowPunct w:val="0"/>
      <w:autoSpaceDE w:val="0"/>
      <w:autoSpaceDN w:val="0"/>
      <w:adjustRightInd w:val="0"/>
      <w:spacing w:line="120" w:lineRule="atLeast"/>
      <w:jc w:val="both"/>
      <w:textAlignment w:val="baseline"/>
    </w:pPr>
    <w:rPr>
      <w:rFonts w:ascii="Comic Sans MS" w:hAnsi="Comic Sans MS"/>
      <w:sz w:val="18"/>
    </w:rPr>
  </w:style>
  <w:style w:type="paragraph" w:customStyle="1" w:styleId="Ptaszki">
    <w:name w:val="Ptaszki"/>
    <w:basedOn w:val="Normalny"/>
    <w:rsid w:val="00364DDF"/>
    <w:pPr>
      <w:numPr>
        <w:numId w:val="2"/>
      </w:numPr>
      <w:spacing w:line="300" w:lineRule="atLeast"/>
      <w:ind w:left="1259" w:hanging="357"/>
      <w:jc w:val="both"/>
    </w:pPr>
    <w:rPr>
      <w:rFonts w:ascii="Tahoma" w:hAnsi="Tahoma" w:cs="Tahoma"/>
    </w:rPr>
  </w:style>
  <w:style w:type="paragraph" w:styleId="Lista">
    <w:name w:val="List"/>
    <w:basedOn w:val="Normalny"/>
    <w:rsid w:val="00364DDF"/>
    <w:pPr>
      <w:ind w:left="283" w:hanging="283"/>
    </w:pPr>
  </w:style>
  <w:style w:type="paragraph" w:styleId="Lista2">
    <w:name w:val="List 2"/>
    <w:basedOn w:val="Normalny"/>
    <w:rsid w:val="00364DDF"/>
    <w:pPr>
      <w:ind w:left="566" w:hanging="283"/>
    </w:pPr>
  </w:style>
  <w:style w:type="paragraph" w:styleId="Listapunktowana2">
    <w:name w:val="List Bullet 2"/>
    <w:basedOn w:val="Normalny"/>
    <w:rsid w:val="00364DDF"/>
    <w:pPr>
      <w:numPr>
        <w:numId w:val="3"/>
      </w:numPr>
    </w:pPr>
  </w:style>
  <w:style w:type="paragraph" w:styleId="Listapunktowana3">
    <w:name w:val="List Bullet 3"/>
    <w:basedOn w:val="Normalny"/>
    <w:rsid w:val="00364DDF"/>
    <w:pPr>
      <w:numPr>
        <w:numId w:val="4"/>
      </w:numPr>
    </w:pPr>
  </w:style>
  <w:style w:type="paragraph" w:styleId="Lista-kontynuacja2">
    <w:name w:val="List Continue 2"/>
    <w:basedOn w:val="Normalny"/>
    <w:rsid w:val="00364DDF"/>
    <w:pPr>
      <w:spacing w:after="120"/>
      <w:ind w:left="566"/>
    </w:pPr>
  </w:style>
  <w:style w:type="paragraph" w:styleId="Lista-kontynuacja3">
    <w:name w:val="List Continue 3"/>
    <w:basedOn w:val="Normalny"/>
    <w:rsid w:val="00364DDF"/>
    <w:pPr>
      <w:spacing w:after="120"/>
      <w:ind w:left="849"/>
    </w:pPr>
  </w:style>
  <w:style w:type="paragraph" w:styleId="Tekstpodstawowyzwciciem2">
    <w:name w:val="Body Text First Indent 2"/>
    <w:basedOn w:val="Tekstpodstawowywcity"/>
    <w:rsid w:val="00364DDF"/>
    <w:pPr>
      <w:spacing w:before="0" w:after="120"/>
      <w:ind w:left="283" w:firstLine="210"/>
      <w:jc w:val="left"/>
    </w:pPr>
    <w:rPr>
      <w:sz w:val="20"/>
    </w:rPr>
  </w:style>
  <w:style w:type="character" w:styleId="UyteHipercze">
    <w:name w:val="FollowedHyperlink"/>
    <w:rsid w:val="00364DDF"/>
    <w:rPr>
      <w:color w:val="800080"/>
      <w:u w:val="single"/>
    </w:rPr>
  </w:style>
  <w:style w:type="paragraph" w:customStyle="1" w:styleId="artyku">
    <w:name w:val="artykuł"/>
    <w:basedOn w:val="Normalny"/>
    <w:autoRedefine/>
    <w:rsid w:val="00364DDF"/>
    <w:pPr>
      <w:numPr>
        <w:numId w:val="1"/>
      </w:numPr>
      <w:spacing w:before="120" w:after="120"/>
      <w:jc w:val="center"/>
    </w:pPr>
    <w:rPr>
      <w:sz w:val="24"/>
      <w:szCs w:val="24"/>
      <w:u w:val="single"/>
    </w:rPr>
  </w:style>
  <w:style w:type="paragraph" w:styleId="Tekstdymka">
    <w:name w:val="Balloon Text"/>
    <w:basedOn w:val="Normalny"/>
    <w:semiHidden/>
    <w:rsid w:val="00364DDF"/>
    <w:rPr>
      <w:rFonts w:ascii="Tahoma" w:hAnsi="Tahoma" w:cs="Tahoma"/>
      <w:sz w:val="16"/>
      <w:szCs w:val="16"/>
    </w:rPr>
  </w:style>
  <w:style w:type="character" w:styleId="Odwoaniedokomentarza">
    <w:name w:val="annotation reference"/>
    <w:semiHidden/>
    <w:rsid w:val="00364DDF"/>
    <w:rPr>
      <w:sz w:val="16"/>
      <w:szCs w:val="16"/>
    </w:rPr>
  </w:style>
  <w:style w:type="paragraph" w:styleId="Tekstkomentarza">
    <w:name w:val="annotation text"/>
    <w:basedOn w:val="Normalny"/>
    <w:link w:val="TekstkomentarzaZnak"/>
    <w:semiHidden/>
    <w:rsid w:val="00364DDF"/>
  </w:style>
  <w:style w:type="paragraph" w:styleId="Tematkomentarza">
    <w:name w:val="annotation subject"/>
    <w:basedOn w:val="Tekstkomentarza"/>
    <w:next w:val="Tekstkomentarza"/>
    <w:semiHidden/>
    <w:rsid w:val="00364DDF"/>
    <w:rPr>
      <w:b/>
      <w:bCs/>
    </w:rPr>
  </w:style>
  <w:style w:type="paragraph" w:styleId="Tekstprzypisukocowego">
    <w:name w:val="endnote text"/>
    <w:basedOn w:val="Normalny"/>
    <w:semiHidden/>
    <w:rsid w:val="005D3B23"/>
  </w:style>
  <w:style w:type="character" w:styleId="Odwoanieprzypisukocowego">
    <w:name w:val="endnote reference"/>
    <w:semiHidden/>
    <w:rsid w:val="005D3B23"/>
    <w:rPr>
      <w:vertAlign w:val="superscript"/>
    </w:rPr>
  </w:style>
  <w:style w:type="paragraph" w:customStyle="1" w:styleId="typowy">
    <w:name w:val="typowy"/>
    <w:basedOn w:val="Normalny"/>
    <w:rsid w:val="00AE39E5"/>
    <w:pPr>
      <w:spacing w:after="80"/>
      <w:ind w:left="567"/>
      <w:jc w:val="both"/>
    </w:pPr>
    <w:rPr>
      <w:sz w:val="22"/>
      <w:szCs w:val="22"/>
    </w:rPr>
  </w:style>
  <w:style w:type="paragraph" w:customStyle="1" w:styleId="NormalnyCenturyGothic">
    <w:name w:val="Normalny + Century Gothic"/>
    <w:aliases w:val="11 pt,Nie Pogrubienie,Nie Kursywa"/>
    <w:basedOn w:val="Nagwek2"/>
    <w:rsid w:val="002B349C"/>
    <w:pPr>
      <w:ind w:left="426"/>
      <w:jc w:val="both"/>
    </w:pPr>
    <w:rPr>
      <w:rFonts w:ascii="Century Gothic" w:hAnsi="Century Gothic" w:cs="Tahoma"/>
      <w:b w:val="0"/>
      <w:i w:val="0"/>
      <w:sz w:val="22"/>
      <w:szCs w:val="22"/>
    </w:rPr>
  </w:style>
  <w:style w:type="paragraph" w:styleId="Akapitzlist">
    <w:name w:val="List Paragraph"/>
    <w:basedOn w:val="Normalny"/>
    <w:uiPriority w:val="34"/>
    <w:qFormat/>
    <w:rsid w:val="00646E88"/>
    <w:pPr>
      <w:ind w:left="708"/>
    </w:pPr>
  </w:style>
  <w:style w:type="character" w:customStyle="1" w:styleId="TekstpodstawowyZnak">
    <w:name w:val="Tekst podstawowy Znak"/>
    <w:rsid w:val="004E4C73"/>
    <w:rPr>
      <w:rFonts w:ascii="Tahoma" w:hAnsi="Tahoma" w:cs="Tahoma"/>
      <w:bCs/>
      <w:szCs w:val="24"/>
      <w:lang w:val="pl-PL" w:eastAsia="pl-PL" w:bidi="ar-SA"/>
    </w:rPr>
  </w:style>
  <w:style w:type="character" w:styleId="Odwoanieprzypisudolnego">
    <w:name w:val="footnote reference"/>
    <w:semiHidden/>
    <w:rsid w:val="004E4C73"/>
    <w:rPr>
      <w:vertAlign w:val="superscript"/>
    </w:rPr>
  </w:style>
  <w:style w:type="paragraph" w:customStyle="1" w:styleId="Tytuakapitu">
    <w:name w:val="Tytuł akapitu"/>
    <w:basedOn w:val="Tekstpodstawowy"/>
    <w:next w:val="Tekstpodstawowy"/>
    <w:rsid w:val="004E4C73"/>
    <w:pPr>
      <w:keepNext/>
      <w:tabs>
        <w:tab w:val="num" w:pos="1776"/>
      </w:tabs>
      <w:spacing w:before="240" w:after="120" w:line="300" w:lineRule="atLeast"/>
      <w:ind w:left="539"/>
    </w:pPr>
    <w:rPr>
      <w:rFonts w:ascii="Tahoma" w:hAnsi="Tahoma" w:cs="Tahoma"/>
      <w:b/>
      <w:sz w:val="20"/>
      <w:szCs w:val="24"/>
    </w:rPr>
  </w:style>
  <w:style w:type="character" w:customStyle="1" w:styleId="TekstprzypisudolnegoZnak">
    <w:name w:val="Tekst przypisu dolnego Znak"/>
    <w:link w:val="Tekstprzypisudolnego"/>
    <w:semiHidden/>
    <w:rsid w:val="004E4C73"/>
    <w:rPr>
      <w:rFonts w:ascii="Arial Narrow" w:hAnsi="Arial Narrow"/>
      <w:lang w:val="pl-PL" w:eastAsia="pl-PL" w:bidi="ar-SA"/>
    </w:rPr>
  </w:style>
  <w:style w:type="table" w:styleId="Tabela-Siatka">
    <w:name w:val="Table Grid"/>
    <w:basedOn w:val="Standardowy"/>
    <w:rsid w:val="002B3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link w:val="Nagwek4"/>
    <w:rsid w:val="006A52C0"/>
    <w:rPr>
      <w:b/>
      <w:color w:val="FF0000"/>
      <w:sz w:val="24"/>
      <w:lang w:val="pl-PL" w:eastAsia="pl-PL" w:bidi="ar-SA"/>
    </w:rPr>
  </w:style>
  <w:style w:type="character" w:customStyle="1" w:styleId="TekstpodstawowyZnak1">
    <w:name w:val="Tekst podstawowy Znak1"/>
    <w:aliases w:val="b Znak"/>
    <w:link w:val="Tekstpodstawowy"/>
    <w:rsid w:val="006A52C0"/>
    <w:rPr>
      <w:color w:val="000000"/>
      <w:sz w:val="24"/>
      <w:lang w:val="pl-PL" w:eastAsia="pl-PL" w:bidi="ar-SA"/>
    </w:rPr>
  </w:style>
  <w:style w:type="paragraph" w:styleId="Spistreci5">
    <w:name w:val="toc 5"/>
    <w:basedOn w:val="Normalny"/>
    <w:next w:val="Normalny"/>
    <w:autoRedefine/>
    <w:semiHidden/>
    <w:rsid w:val="0077273B"/>
    <w:pPr>
      <w:ind w:left="800"/>
    </w:pPr>
  </w:style>
  <w:style w:type="character" w:customStyle="1" w:styleId="Tekstpodstawowywcity3Znak">
    <w:name w:val="Tekst podstawowy wcięty 3 Znak"/>
    <w:link w:val="Tekstpodstawowywcity3"/>
    <w:rsid w:val="008431E4"/>
    <w:rPr>
      <w:sz w:val="24"/>
      <w:lang w:val="pl-PL" w:eastAsia="pl-PL" w:bidi="ar-SA"/>
    </w:rPr>
  </w:style>
  <w:style w:type="character" w:customStyle="1" w:styleId="ZnakZnak8">
    <w:name w:val="Znak Znak8"/>
    <w:rsid w:val="008431E4"/>
    <w:rPr>
      <w:b/>
      <w:color w:val="FF0000"/>
      <w:sz w:val="24"/>
    </w:rPr>
  </w:style>
  <w:style w:type="character" w:customStyle="1" w:styleId="Nagwek7Znak">
    <w:name w:val="Nagłówek 7 Znak"/>
    <w:link w:val="Nagwek7"/>
    <w:rsid w:val="008431E4"/>
    <w:rPr>
      <w:b/>
      <w:color w:val="000000"/>
      <w:sz w:val="24"/>
      <w:lang w:val="pl-PL" w:eastAsia="pl-PL" w:bidi="ar-SA"/>
    </w:rPr>
  </w:style>
  <w:style w:type="character" w:customStyle="1" w:styleId="TekstkomentarzaZnak">
    <w:name w:val="Tekst komentarza Znak"/>
    <w:link w:val="Tekstkomentarza"/>
    <w:semiHidden/>
    <w:rsid w:val="008431E4"/>
    <w:rPr>
      <w:lang w:val="pl-PL" w:eastAsia="pl-PL" w:bidi="ar-SA"/>
    </w:rPr>
  </w:style>
  <w:style w:type="character" w:styleId="Pogrubienie">
    <w:name w:val="Strong"/>
    <w:uiPriority w:val="22"/>
    <w:qFormat/>
    <w:rsid w:val="00450EEB"/>
    <w:rPr>
      <w:b/>
      <w:bCs/>
    </w:rPr>
  </w:style>
  <w:style w:type="paragraph" w:customStyle="1" w:styleId="Akapitzlist1">
    <w:name w:val="Akapit z listą1"/>
    <w:basedOn w:val="Normalny"/>
    <w:qFormat/>
    <w:rsid w:val="002B1AE9"/>
    <w:pPr>
      <w:ind w:left="720"/>
    </w:pPr>
  </w:style>
  <w:style w:type="paragraph" w:customStyle="1" w:styleId="Default">
    <w:name w:val="Default"/>
    <w:rsid w:val="00377DEB"/>
    <w:pPr>
      <w:autoSpaceDE w:val="0"/>
      <w:autoSpaceDN w:val="0"/>
      <w:adjustRightInd w:val="0"/>
    </w:pPr>
    <w:rPr>
      <w:rFonts w:ascii="Tahoma" w:hAnsi="Tahoma" w:cs="Tahoma"/>
      <w:color w:val="000000"/>
      <w:sz w:val="24"/>
      <w:szCs w:val="24"/>
    </w:rPr>
  </w:style>
  <w:style w:type="paragraph" w:customStyle="1" w:styleId="000Normal">
    <w:name w:val="000 Normal"/>
    <w:basedOn w:val="Normalny"/>
    <w:link w:val="000NormalChar"/>
    <w:rsid w:val="00DB4572"/>
    <w:pPr>
      <w:overflowPunct w:val="0"/>
      <w:autoSpaceDE w:val="0"/>
      <w:autoSpaceDN w:val="0"/>
      <w:adjustRightInd w:val="0"/>
      <w:spacing w:before="60" w:after="40" w:line="220" w:lineRule="exact"/>
      <w:jc w:val="both"/>
      <w:textAlignment w:val="baseline"/>
    </w:pPr>
    <w:rPr>
      <w:b/>
      <w:bCs/>
      <w:iCs/>
      <w:sz w:val="24"/>
      <w:szCs w:val="24"/>
      <w:lang w:val="en-GB" w:eastAsia="en-US"/>
    </w:rPr>
  </w:style>
  <w:style w:type="character" w:customStyle="1" w:styleId="000NormalChar">
    <w:name w:val="000 Normal Char"/>
    <w:link w:val="000Normal"/>
    <w:rsid w:val="00DB4572"/>
    <w:rPr>
      <w:b/>
      <w:bCs/>
      <w:iCs/>
      <w:sz w:val="24"/>
      <w:szCs w:val="24"/>
      <w:lang w:val="en-GB" w:eastAsia="en-US" w:bidi="ar-SA"/>
    </w:rPr>
  </w:style>
  <w:style w:type="paragraph" w:styleId="Spistreci4">
    <w:name w:val="toc 4"/>
    <w:basedOn w:val="Normalny"/>
    <w:next w:val="Normalny"/>
    <w:autoRedefine/>
    <w:semiHidden/>
    <w:rsid w:val="0001209E"/>
    <w:pPr>
      <w:ind w:left="600"/>
    </w:pPr>
  </w:style>
  <w:style w:type="paragraph" w:customStyle="1" w:styleId="msolistparagraph0">
    <w:name w:val="msolistparagraph"/>
    <w:basedOn w:val="Normalny"/>
    <w:rsid w:val="00447E2F"/>
    <w:pPr>
      <w:ind w:left="708"/>
    </w:pPr>
  </w:style>
  <w:style w:type="character" w:customStyle="1" w:styleId="TytuZnak">
    <w:name w:val="Tytuł Znak"/>
    <w:link w:val="Tytu"/>
    <w:locked/>
    <w:rsid w:val="006F6FD6"/>
    <w:rPr>
      <w:b/>
      <w:color w:val="000000"/>
      <w:sz w:val="24"/>
      <w:lang w:val="pl-PL" w:eastAsia="pl-PL" w:bidi="ar-SA"/>
    </w:rPr>
  </w:style>
  <w:style w:type="character" w:customStyle="1" w:styleId="Nagwek2Znak">
    <w:name w:val="Nagłówek 2 Znak"/>
    <w:link w:val="Nagwek2"/>
    <w:rsid w:val="007768D7"/>
    <w:rPr>
      <w:rFonts w:ascii="Arial" w:hAnsi="Arial"/>
      <w:b/>
      <w:i/>
      <w:sz w:val="24"/>
    </w:rPr>
  </w:style>
  <w:style w:type="paragraph" w:styleId="Poprawka">
    <w:name w:val="Revision"/>
    <w:hidden/>
    <w:uiPriority w:val="99"/>
    <w:semiHidden/>
    <w:rsid w:val="009C5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0864">
      <w:bodyDiv w:val="1"/>
      <w:marLeft w:val="0"/>
      <w:marRight w:val="0"/>
      <w:marTop w:val="0"/>
      <w:marBottom w:val="0"/>
      <w:divBdr>
        <w:top w:val="none" w:sz="0" w:space="0" w:color="auto"/>
        <w:left w:val="none" w:sz="0" w:space="0" w:color="auto"/>
        <w:bottom w:val="none" w:sz="0" w:space="0" w:color="auto"/>
        <w:right w:val="none" w:sz="0" w:space="0" w:color="auto"/>
      </w:divBdr>
    </w:div>
    <w:div w:id="54478060">
      <w:bodyDiv w:val="1"/>
      <w:marLeft w:val="0"/>
      <w:marRight w:val="0"/>
      <w:marTop w:val="0"/>
      <w:marBottom w:val="0"/>
      <w:divBdr>
        <w:top w:val="none" w:sz="0" w:space="0" w:color="auto"/>
        <w:left w:val="none" w:sz="0" w:space="0" w:color="auto"/>
        <w:bottom w:val="none" w:sz="0" w:space="0" w:color="auto"/>
        <w:right w:val="none" w:sz="0" w:space="0" w:color="auto"/>
      </w:divBdr>
    </w:div>
    <w:div w:id="79331065">
      <w:bodyDiv w:val="1"/>
      <w:marLeft w:val="0"/>
      <w:marRight w:val="0"/>
      <w:marTop w:val="0"/>
      <w:marBottom w:val="0"/>
      <w:divBdr>
        <w:top w:val="none" w:sz="0" w:space="0" w:color="auto"/>
        <w:left w:val="none" w:sz="0" w:space="0" w:color="auto"/>
        <w:bottom w:val="none" w:sz="0" w:space="0" w:color="auto"/>
        <w:right w:val="none" w:sz="0" w:space="0" w:color="auto"/>
      </w:divBdr>
    </w:div>
    <w:div w:id="187529525">
      <w:bodyDiv w:val="1"/>
      <w:marLeft w:val="0"/>
      <w:marRight w:val="0"/>
      <w:marTop w:val="0"/>
      <w:marBottom w:val="0"/>
      <w:divBdr>
        <w:top w:val="none" w:sz="0" w:space="0" w:color="auto"/>
        <w:left w:val="none" w:sz="0" w:space="0" w:color="auto"/>
        <w:bottom w:val="none" w:sz="0" w:space="0" w:color="auto"/>
        <w:right w:val="none" w:sz="0" w:space="0" w:color="auto"/>
      </w:divBdr>
    </w:div>
    <w:div w:id="201210681">
      <w:bodyDiv w:val="1"/>
      <w:marLeft w:val="0"/>
      <w:marRight w:val="0"/>
      <w:marTop w:val="0"/>
      <w:marBottom w:val="0"/>
      <w:divBdr>
        <w:top w:val="none" w:sz="0" w:space="0" w:color="auto"/>
        <w:left w:val="none" w:sz="0" w:space="0" w:color="auto"/>
        <w:bottom w:val="none" w:sz="0" w:space="0" w:color="auto"/>
        <w:right w:val="none" w:sz="0" w:space="0" w:color="auto"/>
      </w:divBdr>
      <w:divsChild>
        <w:div w:id="75637656">
          <w:marLeft w:val="0"/>
          <w:marRight w:val="0"/>
          <w:marTop w:val="0"/>
          <w:marBottom w:val="0"/>
          <w:divBdr>
            <w:top w:val="none" w:sz="0" w:space="0" w:color="auto"/>
            <w:left w:val="none" w:sz="0" w:space="0" w:color="auto"/>
            <w:bottom w:val="none" w:sz="0" w:space="0" w:color="auto"/>
            <w:right w:val="none" w:sz="0" w:space="0" w:color="auto"/>
          </w:divBdr>
        </w:div>
        <w:div w:id="88820957">
          <w:marLeft w:val="0"/>
          <w:marRight w:val="0"/>
          <w:marTop w:val="0"/>
          <w:marBottom w:val="0"/>
          <w:divBdr>
            <w:top w:val="none" w:sz="0" w:space="0" w:color="auto"/>
            <w:left w:val="none" w:sz="0" w:space="0" w:color="auto"/>
            <w:bottom w:val="none" w:sz="0" w:space="0" w:color="auto"/>
            <w:right w:val="none" w:sz="0" w:space="0" w:color="auto"/>
          </w:divBdr>
        </w:div>
        <w:div w:id="203837509">
          <w:marLeft w:val="0"/>
          <w:marRight w:val="0"/>
          <w:marTop w:val="0"/>
          <w:marBottom w:val="0"/>
          <w:divBdr>
            <w:top w:val="none" w:sz="0" w:space="0" w:color="auto"/>
            <w:left w:val="none" w:sz="0" w:space="0" w:color="auto"/>
            <w:bottom w:val="none" w:sz="0" w:space="0" w:color="auto"/>
            <w:right w:val="none" w:sz="0" w:space="0" w:color="auto"/>
          </w:divBdr>
        </w:div>
        <w:div w:id="458112028">
          <w:marLeft w:val="0"/>
          <w:marRight w:val="0"/>
          <w:marTop w:val="0"/>
          <w:marBottom w:val="0"/>
          <w:divBdr>
            <w:top w:val="none" w:sz="0" w:space="0" w:color="auto"/>
            <w:left w:val="none" w:sz="0" w:space="0" w:color="auto"/>
            <w:bottom w:val="none" w:sz="0" w:space="0" w:color="auto"/>
            <w:right w:val="none" w:sz="0" w:space="0" w:color="auto"/>
          </w:divBdr>
        </w:div>
        <w:div w:id="1143935218">
          <w:marLeft w:val="0"/>
          <w:marRight w:val="0"/>
          <w:marTop w:val="0"/>
          <w:marBottom w:val="0"/>
          <w:divBdr>
            <w:top w:val="none" w:sz="0" w:space="0" w:color="auto"/>
            <w:left w:val="none" w:sz="0" w:space="0" w:color="auto"/>
            <w:bottom w:val="none" w:sz="0" w:space="0" w:color="auto"/>
            <w:right w:val="none" w:sz="0" w:space="0" w:color="auto"/>
          </w:divBdr>
        </w:div>
        <w:div w:id="1530416665">
          <w:marLeft w:val="0"/>
          <w:marRight w:val="0"/>
          <w:marTop w:val="0"/>
          <w:marBottom w:val="0"/>
          <w:divBdr>
            <w:top w:val="none" w:sz="0" w:space="0" w:color="auto"/>
            <w:left w:val="none" w:sz="0" w:space="0" w:color="auto"/>
            <w:bottom w:val="none" w:sz="0" w:space="0" w:color="auto"/>
            <w:right w:val="none" w:sz="0" w:space="0" w:color="auto"/>
          </w:divBdr>
        </w:div>
      </w:divsChild>
    </w:div>
    <w:div w:id="242296405">
      <w:bodyDiv w:val="1"/>
      <w:marLeft w:val="0"/>
      <w:marRight w:val="0"/>
      <w:marTop w:val="0"/>
      <w:marBottom w:val="0"/>
      <w:divBdr>
        <w:top w:val="none" w:sz="0" w:space="0" w:color="auto"/>
        <w:left w:val="none" w:sz="0" w:space="0" w:color="auto"/>
        <w:bottom w:val="none" w:sz="0" w:space="0" w:color="auto"/>
        <w:right w:val="none" w:sz="0" w:space="0" w:color="auto"/>
      </w:divBdr>
    </w:div>
    <w:div w:id="360936695">
      <w:bodyDiv w:val="1"/>
      <w:marLeft w:val="0"/>
      <w:marRight w:val="0"/>
      <w:marTop w:val="0"/>
      <w:marBottom w:val="0"/>
      <w:divBdr>
        <w:top w:val="none" w:sz="0" w:space="0" w:color="auto"/>
        <w:left w:val="none" w:sz="0" w:space="0" w:color="auto"/>
        <w:bottom w:val="none" w:sz="0" w:space="0" w:color="auto"/>
        <w:right w:val="none" w:sz="0" w:space="0" w:color="auto"/>
      </w:divBdr>
    </w:div>
    <w:div w:id="425149174">
      <w:bodyDiv w:val="1"/>
      <w:marLeft w:val="0"/>
      <w:marRight w:val="0"/>
      <w:marTop w:val="0"/>
      <w:marBottom w:val="0"/>
      <w:divBdr>
        <w:top w:val="none" w:sz="0" w:space="0" w:color="auto"/>
        <w:left w:val="none" w:sz="0" w:space="0" w:color="auto"/>
        <w:bottom w:val="none" w:sz="0" w:space="0" w:color="auto"/>
        <w:right w:val="none" w:sz="0" w:space="0" w:color="auto"/>
      </w:divBdr>
    </w:div>
    <w:div w:id="464393092">
      <w:bodyDiv w:val="1"/>
      <w:marLeft w:val="0"/>
      <w:marRight w:val="0"/>
      <w:marTop w:val="0"/>
      <w:marBottom w:val="0"/>
      <w:divBdr>
        <w:top w:val="none" w:sz="0" w:space="0" w:color="auto"/>
        <w:left w:val="none" w:sz="0" w:space="0" w:color="auto"/>
        <w:bottom w:val="none" w:sz="0" w:space="0" w:color="auto"/>
        <w:right w:val="none" w:sz="0" w:space="0" w:color="auto"/>
      </w:divBdr>
    </w:div>
    <w:div w:id="645553848">
      <w:bodyDiv w:val="1"/>
      <w:marLeft w:val="0"/>
      <w:marRight w:val="0"/>
      <w:marTop w:val="0"/>
      <w:marBottom w:val="0"/>
      <w:divBdr>
        <w:top w:val="none" w:sz="0" w:space="0" w:color="auto"/>
        <w:left w:val="none" w:sz="0" w:space="0" w:color="auto"/>
        <w:bottom w:val="none" w:sz="0" w:space="0" w:color="auto"/>
        <w:right w:val="none" w:sz="0" w:space="0" w:color="auto"/>
      </w:divBdr>
    </w:div>
    <w:div w:id="690380026">
      <w:bodyDiv w:val="1"/>
      <w:marLeft w:val="0"/>
      <w:marRight w:val="0"/>
      <w:marTop w:val="0"/>
      <w:marBottom w:val="0"/>
      <w:divBdr>
        <w:top w:val="none" w:sz="0" w:space="0" w:color="auto"/>
        <w:left w:val="none" w:sz="0" w:space="0" w:color="auto"/>
        <w:bottom w:val="none" w:sz="0" w:space="0" w:color="auto"/>
        <w:right w:val="none" w:sz="0" w:space="0" w:color="auto"/>
      </w:divBdr>
    </w:div>
    <w:div w:id="716588579">
      <w:bodyDiv w:val="1"/>
      <w:marLeft w:val="0"/>
      <w:marRight w:val="0"/>
      <w:marTop w:val="0"/>
      <w:marBottom w:val="0"/>
      <w:divBdr>
        <w:top w:val="none" w:sz="0" w:space="0" w:color="auto"/>
        <w:left w:val="none" w:sz="0" w:space="0" w:color="auto"/>
        <w:bottom w:val="none" w:sz="0" w:space="0" w:color="auto"/>
        <w:right w:val="none" w:sz="0" w:space="0" w:color="auto"/>
      </w:divBdr>
      <w:divsChild>
        <w:div w:id="475071569">
          <w:marLeft w:val="0"/>
          <w:marRight w:val="0"/>
          <w:marTop w:val="0"/>
          <w:marBottom w:val="0"/>
          <w:divBdr>
            <w:top w:val="none" w:sz="0" w:space="0" w:color="auto"/>
            <w:left w:val="none" w:sz="0" w:space="0" w:color="auto"/>
            <w:bottom w:val="none" w:sz="0" w:space="0" w:color="auto"/>
            <w:right w:val="none" w:sz="0" w:space="0" w:color="auto"/>
          </w:divBdr>
        </w:div>
        <w:div w:id="484277595">
          <w:marLeft w:val="0"/>
          <w:marRight w:val="0"/>
          <w:marTop w:val="0"/>
          <w:marBottom w:val="0"/>
          <w:divBdr>
            <w:top w:val="none" w:sz="0" w:space="0" w:color="auto"/>
            <w:left w:val="none" w:sz="0" w:space="0" w:color="auto"/>
            <w:bottom w:val="none" w:sz="0" w:space="0" w:color="auto"/>
            <w:right w:val="none" w:sz="0" w:space="0" w:color="auto"/>
          </w:divBdr>
        </w:div>
        <w:div w:id="1035347213">
          <w:marLeft w:val="0"/>
          <w:marRight w:val="0"/>
          <w:marTop w:val="0"/>
          <w:marBottom w:val="0"/>
          <w:divBdr>
            <w:top w:val="none" w:sz="0" w:space="0" w:color="auto"/>
            <w:left w:val="none" w:sz="0" w:space="0" w:color="auto"/>
            <w:bottom w:val="none" w:sz="0" w:space="0" w:color="auto"/>
            <w:right w:val="none" w:sz="0" w:space="0" w:color="auto"/>
          </w:divBdr>
        </w:div>
        <w:div w:id="1555504774">
          <w:marLeft w:val="0"/>
          <w:marRight w:val="0"/>
          <w:marTop w:val="0"/>
          <w:marBottom w:val="0"/>
          <w:divBdr>
            <w:top w:val="none" w:sz="0" w:space="0" w:color="auto"/>
            <w:left w:val="none" w:sz="0" w:space="0" w:color="auto"/>
            <w:bottom w:val="none" w:sz="0" w:space="0" w:color="auto"/>
            <w:right w:val="none" w:sz="0" w:space="0" w:color="auto"/>
          </w:divBdr>
        </w:div>
        <w:div w:id="1914126249">
          <w:marLeft w:val="0"/>
          <w:marRight w:val="0"/>
          <w:marTop w:val="0"/>
          <w:marBottom w:val="0"/>
          <w:divBdr>
            <w:top w:val="none" w:sz="0" w:space="0" w:color="auto"/>
            <w:left w:val="none" w:sz="0" w:space="0" w:color="auto"/>
            <w:bottom w:val="none" w:sz="0" w:space="0" w:color="auto"/>
            <w:right w:val="none" w:sz="0" w:space="0" w:color="auto"/>
          </w:divBdr>
        </w:div>
        <w:div w:id="2146578073">
          <w:marLeft w:val="0"/>
          <w:marRight w:val="0"/>
          <w:marTop w:val="0"/>
          <w:marBottom w:val="0"/>
          <w:divBdr>
            <w:top w:val="none" w:sz="0" w:space="0" w:color="auto"/>
            <w:left w:val="none" w:sz="0" w:space="0" w:color="auto"/>
            <w:bottom w:val="none" w:sz="0" w:space="0" w:color="auto"/>
            <w:right w:val="none" w:sz="0" w:space="0" w:color="auto"/>
          </w:divBdr>
        </w:div>
      </w:divsChild>
    </w:div>
    <w:div w:id="733746427">
      <w:bodyDiv w:val="1"/>
      <w:marLeft w:val="0"/>
      <w:marRight w:val="0"/>
      <w:marTop w:val="0"/>
      <w:marBottom w:val="0"/>
      <w:divBdr>
        <w:top w:val="none" w:sz="0" w:space="0" w:color="auto"/>
        <w:left w:val="none" w:sz="0" w:space="0" w:color="auto"/>
        <w:bottom w:val="none" w:sz="0" w:space="0" w:color="auto"/>
        <w:right w:val="none" w:sz="0" w:space="0" w:color="auto"/>
      </w:divBdr>
    </w:div>
    <w:div w:id="741171880">
      <w:bodyDiv w:val="1"/>
      <w:marLeft w:val="0"/>
      <w:marRight w:val="0"/>
      <w:marTop w:val="0"/>
      <w:marBottom w:val="0"/>
      <w:divBdr>
        <w:top w:val="none" w:sz="0" w:space="0" w:color="auto"/>
        <w:left w:val="none" w:sz="0" w:space="0" w:color="auto"/>
        <w:bottom w:val="none" w:sz="0" w:space="0" w:color="auto"/>
        <w:right w:val="none" w:sz="0" w:space="0" w:color="auto"/>
      </w:divBdr>
    </w:div>
    <w:div w:id="747188795">
      <w:bodyDiv w:val="1"/>
      <w:marLeft w:val="0"/>
      <w:marRight w:val="0"/>
      <w:marTop w:val="0"/>
      <w:marBottom w:val="0"/>
      <w:divBdr>
        <w:top w:val="none" w:sz="0" w:space="0" w:color="auto"/>
        <w:left w:val="none" w:sz="0" w:space="0" w:color="auto"/>
        <w:bottom w:val="none" w:sz="0" w:space="0" w:color="auto"/>
        <w:right w:val="none" w:sz="0" w:space="0" w:color="auto"/>
      </w:divBdr>
    </w:div>
    <w:div w:id="781612063">
      <w:bodyDiv w:val="1"/>
      <w:marLeft w:val="0"/>
      <w:marRight w:val="0"/>
      <w:marTop w:val="0"/>
      <w:marBottom w:val="0"/>
      <w:divBdr>
        <w:top w:val="none" w:sz="0" w:space="0" w:color="auto"/>
        <w:left w:val="none" w:sz="0" w:space="0" w:color="auto"/>
        <w:bottom w:val="none" w:sz="0" w:space="0" w:color="auto"/>
        <w:right w:val="none" w:sz="0" w:space="0" w:color="auto"/>
      </w:divBdr>
    </w:div>
    <w:div w:id="1142308588">
      <w:bodyDiv w:val="1"/>
      <w:marLeft w:val="0"/>
      <w:marRight w:val="0"/>
      <w:marTop w:val="0"/>
      <w:marBottom w:val="0"/>
      <w:divBdr>
        <w:top w:val="none" w:sz="0" w:space="0" w:color="auto"/>
        <w:left w:val="none" w:sz="0" w:space="0" w:color="auto"/>
        <w:bottom w:val="none" w:sz="0" w:space="0" w:color="auto"/>
        <w:right w:val="none" w:sz="0" w:space="0" w:color="auto"/>
      </w:divBdr>
    </w:div>
    <w:div w:id="1143280557">
      <w:bodyDiv w:val="1"/>
      <w:marLeft w:val="0"/>
      <w:marRight w:val="0"/>
      <w:marTop w:val="0"/>
      <w:marBottom w:val="0"/>
      <w:divBdr>
        <w:top w:val="none" w:sz="0" w:space="0" w:color="auto"/>
        <w:left w:val="none" w:sz="0" w:space="0" w:color="auto"/>
        <w:bottom w:val="none" w:sz="0" w:space="0" w:color="auto"/>
        <w:right w:val="none" w:sz="0" w:space="0" w:color="auto"/>
      </w:divBdr>
    </w:div>
    <w:div w:id="1263534445">
      <w:bodyDiv w:val="1"/>
      <w:marLeft w:val="0"/>
      <w:marRight w:val="0"/>
      <w:marTop w:val="0"/>
      <w:marBottom w:val="0"/>
      <w:divBdr>
        <w:top w:val="none" w:sz="0" w:space="0" w:color="auto"/>
        <w:left w:val="none" w:sz="0" w:space="0" w:color="auto"/>
        <w:bottom w:val="none" w:sz="0" w:space="0" w:color="auto"/>
        <w:right w:val="none" w:sz="0" w:space="0" w:color="auto"/>
      </w:divBdr>
    </w:div>
    <w:div w:id="1326519808">
      <w:bodyDiv w:val="1"/>
      <w:marLeft w:val="0"/>
      <w:marRight w:val="0"/>
      <w:marTop w:val="0"/>
      <w:marBottom w:val="0"/>
      <w:divBdr>
        <w:top w:val="none" w:sz="0" w:space="0" w:color="auto"/>
        <w:left w:val="none" w:sz="0" w:space="0" w:color="auto"/>
        <w:bottom w:val="none" w:sz="0" w:space="0" w:color="auto"/>
        <w:right w:val="none" w:sz="0" w:space="0" w:color="auto"/>
      </w:divBdr>
    </w:div>
    <w:div w:id="1414625360">
      <w:bodyDiv w:val="1"/>
      <w:marLeft w:val="0"/>
      <w:marRight w:val="0"/>
      <w:marTop w:val="0"/>
      <w:marBottom w:val="0"/>
      <w:divBdr>
        <w:top w:val="none" w:sz="0" w:space="0" w:color="auto"/>
        <w:left w:val="none" w:sz="0" w:space="0" w:color="auto"/>
        <w:bottom w:val="none" w:sz="0" w:space="0" w:color="auto"/>
        <w:right w:val="none" w:sz="0" w:space="0" w:color="auto"/>
      </w:divBdr>
    </w:div>
    <w:div w:id="1421290552">
      <w:bodyDiv w:val="1"/>
      <w:marLeft w:val="0"/>
      <w:marRight w:val="0"/>
      <w:marTop w:val="0"/>
      <w:marBottom w:val="0"/>
      <w:divBdr>
        <w:top w:val="none" w:sz="0" w:space="0" w:color="auto"/>
        <w:left w:val="none" w:sz="0" w:space="0" w:color="auto"/>
        <w:bottom w:val="none" w:sz="0" w:space="0" w:color="auto"/>
        <w:right w:val="none" w:sz="0" w:space="0" w:color="auto"/>
      </w:divBdr>
    </w:div>
    <w:div w:id="1433823456">
      <w:bodyDiv w:val="1"/>
      <w:marLeft w:val="0"/>
      <w:marRight w:val="0"/>
      <w:marTop w:val="0"/>
      <w:marBottom w:val="0"/>
      <w:divBdr>
        <w:top w:val="none" w:sz="0" w:space="0" w:color="auto"/>
        <w:left w:val="none" w:sz="0" w:space="0" w:color="auto"/>
        <w:bottom w:val="none" w:sz="0" w:space="0" w:color="auto"/>
        <w:right w:val="none" w:sz="0" w:space="0" w:color="auto"/>
      </w:divBdr>
    </w:div>
    <w:div w:id="1453208679">
      <w:bodyDiv w:val="1"/>
      <w:marLeft w:val="0"/>
      <w:marRight w:val="0"/>
      <w:marTop w:val="0"/>
      <w:marBottom w:val="0"/>
      <w:divBdr>
        <w:top w:val="none" w:sz="0" w:space="0" w:color="auto"/>
        <w:left w:val="none" w:sz="0" w:space="0" w:color="auto"/>
        <w:bottom w:val="none" w:sz="0" w:space="0" w:color="auto"/>
        <w:right w:val="none" w:sz="0" w:space="0" w:color="auto"/>
      </w:divBdr>
    </w:div>
    <w:div w:id="1523396630">
      <w:bodyDiv w:val="1"/>
      <w:marLeft w:val="0"/>
      <w:marRight w:val="0"/>
      <w:marTop w:val="0"/>
      <w:marBottom w:val="0"/>
      <w:divBdr>
        <w:top w:val="none" w:sz="0" w:space="0" w:color="auto"/>
        <w:left w:val="none" w:sz="0" w:space="0" w:color="auto"/>
        <w:bottom w:val="none" w:sz="0" w:space="0" w:color="auto"/>
        <w:right w:val="none" w:sz="0" w:space="0" w:color="auto"/>
      </w:divBdr>
    </w:div>
    <w:div w:id="1541283628">
      <w:bodyDiv w:val="1"/>
      <w:marLeft w:val="0"/>
      <w:marRight w:val="0"/>
      <w:marTop w:val="0"/>
      <w:marBottom w:val="0"/>
      <w:divBdr>
        <w:top w:val="none" w:sz="0" w:space="0" w:color="auto"/>
        <w:left w:val="none" w:sz="0" w:space="0" w:color="auto"/>
        <w:bottom w:val="none" w:sz="0" w:space="0" w:color="auto"/>
        <w:right w:val="none" w:sz="0" w:space="0" w:color="auto"/>
      </w:divBdr>
    </w:div>
    <w:div w:id="1613171913">
      <w:bodyDiv w:val="1"/>
      <w:marLeft w:val="0"/>
      <w:marRight w:val="0"/>
      <w:marTop w:val="0"/>
      <w:marBottom w:val="0"/>
      <w:divBdr>
        <w:top w:val="none" w:sz="0" w:space="0" w:color="auto"/>
        <w:left w:val="none" w:sz="0" w:space="0" w:color="auto"/>
        <w:bottom w:val="none" w:sz="0" w:space="0" w:color="auto"/>
        <w:right w:val="none" w:sz="0" w:space="0" w:color="auto"/>
      </w:divBdr>
    </w:div>
    <w:div w:id="1632633318">
      <w:bodyDiv w:val="1"/>
      <w:marLeft w:val="0"/>
      <w:marRight w:val="0"/>
      <w:marTop w:val="0"/>
      <w:marBottom w:val="0"/>
      <w:divBdr>
        <w:top w:val="none" w:sz="0" w:space="0" w:color="auto"/>
        <w:left w:val="none" w:sz="0" w:space="0" w:color="auto"/>
        <w:bottom w:val="none" w:sz="0" w:space="0" w:color="auto"/>
        <w:right w:val="none" w:sz="0" w:space="0" w:color="auto"/>
      </w:divBdr>
    </w:div>
    <w:div w:id="1707220194">
      <w:bodyDiv w:val="1"/>
      <w:marLeft w:val="0"/>
      <w:marRight w:val="0"/>
      <w:marTop w:val="0"/>
      <w:marBottom w:val="0"/>
      <w:divBdr>
        <w:top w:val="none" w:sz="0" w:space="0" w:color="auto"/>
        <w:left w:val="none" w:sz="0" w:space="0" w:color="auto"/>
        <w:bottom w:val="none" w:sz="0" w:space="0" w:color="auto"/>
        <w:right w:val="none" w:sz="0" w:space="0" w:color="auto"/>
      </w:divBdr>
    </w:div>
    <w:div w:id="1709254003">
      <w:bodyDiv w:val="1"/>
      <w:marLeft w:val="0"/>
      <w:marRight w:val="0"/>
      <w:marTop w:val="0"/>
      <w:marBottom w:val="0"/>
      <w:divBdr>
        <w:top w:val="none" w:sz="0" w:space="0" w:color="auto"/>
        <w:left w:val="none" w:sz="0" w:space="0" w:color="auto"/>
        <w:bottom w:val="none" w:sz="0" w:space="0" w:color="auto"/>
        <w:right w:val="none" w:sz="0" w:space="0" w:color="auto"/>
      </w:divBdr>
    </w:div>
    <w:div w:id="1716274162">
      <w:bodyDiv w:val="1"/>
      <w:marLeft w:val="0"/>
      <w:marRight w:val="0"/>
      <w:marTop w:val="0"/>
      <w:marBottom w:val="0"/>
      <w:divBdr>
        <w:top w:val="none" w:sz="0" w:space="0" w:color="auto"/>
        <w:left w:val="none" w:sz="0" w:space="0" w:color="auto"/>
        <w:bottom w:val="none" w:sz="0" w:space="0" w:color="auto"/>
        <w:right w:val="none" w:sz="0" w:space="0" w:color="auto"/>
      </w:divBdr>
    </w:div>
    <w:div w:id="1820919144">
      <w:bodyDiv w:val="1"/>
      <w:marLeft w:val="0"/>
      <w:marRight w:val="0"/>
      <w:marTop w:val="0"/>
      <w:marBottom w:val="0"/>
      <w:divBdr>
        <w:top w:val="none" w:sz="0" w:space="0" w:color="auto"/>
        <w:left w:val="none" w:sz="0" w:space="0" w:color="auto"/>
        <w:bottom w:val="none" w:sz="0" w:space="0" w:color="auto"/>
        <w:right w:val="none" w:sz="0" w:space="0" w:color="auto"/>
      </w:divBdr>
    </w:div>
    <w:div w:id="1823084057">
      <w:bodyDiv w:val="1"/>
      <w:marLeft w:val="0"/>
      <w:marRight w:val="0"/>
      <w:marTop w:val="0"/>
      <w:marBottom w:val="0"/>
      <w:divBdr>
        <w:top w:val="none" w:sz="0" w:space="0" w:color="auto"/>
        <w:left w:val="none" w:sz="0" w:space="0" w:color="auto"/>
        <w:bottom w:val="none" w:sz="0" w:space="0" w:color="auto"/>
        <w:right w:val="none" w:sz="0" w:space="0" w:color="auto"/>
      </w:divBdr>
    </w:div>
    <w:div w:id="1843468490">
      <w:bodyDiv w:val="1"/>
      <w:marLeft w:val="0"/>
      <w:marRight w:val="0"/>
      <w:marTop w:val="0"/>
      <w:marBottom w:val="0"/>
      <w:divBdr>
        <w:top w:val="none" w:sz="0" w:space="0" w:color="auto"/>
        <w:left w:val="none" w:sz="0" w:space="0" w:color="auto"/>
        <w:bottom w:val="none" w:sz="0" w:space="0" w:color="auto"/>
        <w:right w:val="none" w:sz="0" w:space="0" w:color="auto"/>
      </w:divBdr>
    </w:div>
    <w:div w:id="1874150851">
      <w:bodyDiv w:val="1"/>
      <w:marLeft w:val="0"/>
      <w:marRight w:val="0"/>
      <w:marTop w:val="0"/>
      <w:marBottom w:val="0"/>
      <w:divBdr>
        <w:top w:val="none" w:sz="0" w:space="0" w:color="auto"/>
        <w:left w:val="none" w:sz="0" w:space="0" w:color="auto"/>
        <w:bottom w:val="none" w:sz="0" w:space="0" w:color="auto"/>
        <w:right w:val="none" w:sz="0" w:space="0" w:color="auto"/>
      </w:divBdr>
    </w:div>
    <w:div w:id="1957712711">
      <w:bodyDiv w:val="1"/>
      <w:marLeft w:val="0"/>
      <w:marRight w:val="0"/>
      <w:marTop w:val="0"/>
      <w:marBottom w:val="0"/>
      <w:divBdr>
        <w:top w:val="none" w:sz="0" w:space="0" w:color="auto"/>
        <w:left w:val="none" w:sz="0" w:space="0" w:color="auto"/>
        <w:bottom w:val="none" w:sz="0" w:space="0" w:color="auto"/>
        <w:right w:val="none" w:sz="0" w:space="0" w:color="auto"/>
      </w:divBdr>
    </w:div>
    <w:div w:id="1971207545">
      <w:bodyDiv w:val="1"/>
      <w:marLeft w:val="0"/>
      <w:marRight w:val="0"/>
      <w:marTop w:val="0"/>
      <w:marBottom w:val="0"/>
      <w:divBdr>
        <w:top w:val="none" w:sz="0" w:space="0" w:color="auto"/>
        <w:left w:val="none" w:sz="0" w:space="0" w:color="auto"/>
        <w:bottom w:val="none" w:sz="0" w:space="0" w:color="auto"/>
        <w:right w:val="none" w:sz="0" w:space="0" w:color="auto"/>
      </w:divBdr>
    </w:div>
    <w:div w:id="1975137014">
      <w:bodyDiv w:val="1"/>
      <w:marLeft w:val="0"/>
      <w:marRight w:val="0"/>
      <w:marTop w:val="0"/>
      <w:marBottom w:val="0"/>
      <w:divBdr>
        <w:top w:val="none" w:sz="0" w:space="0" w:color="auto"/>
        <w:left w:val="none" w:sz="0" w:space="0" w:color="auto"/>
        <w:bottom w:val="none" w:sz="0" w:space="0" w:color="auto"/>
        <w:right w:val="none" w:sz="0" w:space="0" w:color="auto"/>
      </w:divBdr>
    </w:div>
    <w:div w:id="2012172130">
      <w:bodyDiv w:val="1"/>
      <w:marLeft w:val="0"/>
      <w:marRight w:val="0"/>
      <w:marTop w:val="0"/>
      <w:marBottom w:val="0"/>
      <w:divBdr>
        <w:top w:val="none" w:sz="0" w:space="0" w:color="auto"/>
        <w:left w:val="none" w:sz="0" w:space="0" w:color="auto"/>
        <w:bottom w:val="none" w:sz="0" w:space="0" w:color="auto"/>
        <w:right w:val="none" w:sz="0" w:space="0" w:color="auto"/>
      </w:divBdr>
    </w:div>
    <w:div w:id="2023509451">
      <w:bodyDiv w:val="1"/>
      <w:marLeft w:val="0"/>
      <w:marRight w:val="0"/>
      <w:marTop w:val="0"/>
      <w:marBottom w:val="0"/>
      <w:divBdr>
        <w:top w:val="none" w:sz="0" w:space="0" w:color="auto"/>
        <w:left w:val="none" w:sz="0" w:space="0" w:color="auto"/>
        <w:bottom w:val="none" w:sz="0" w:space="0" w:color="auto"/>
        <w:right w:val="none" w:sz="0" w:space="0" w:color="auto"/>
      </w:divBdr>
    </w:div>
    <w:div w:id="2029284387">
      <w:bodyDiv w:val="1"/>
      <w:marLeft w:val="0"/>
      <w:marRight w:val="0"/>
      <w:marTop w:val="0"/>
      <w:marBottom w:val="0"/>
      <w:divBdr>
        <w:top w:val="none" w:sz="0" w:space="0" w:color="auto"/>
        <w:left w:val="none" w:sz="0" w:space="0" w:color="auto"/>
        <w:bottom w:val="none" w:sz="0" w:space="0" w:color="auto"/>
        <w:right w:val="none" w:sz="0" w:space="0" w:color="auto"/>
      </w:divBdr>
    </w:div>
    <w:div w:id="2086026361">
      <w:bodyDiv w:val="1"/>
      <w:marLeft w:val="0"/>
      <w:marRight w:val="0"/>
      <w:marTop w:val="0"/>
      <w:marBottom w:val="0"/>
      <w:divBdr>
        <w:top w:val="none" w:sz="0" w:space="0" w:color="auto"/>
        <w:left w:val="none" w:sz="0" w:space="0" w:color="auto"/>
        <w:bottom w:val="none" w:sz="0" w:space="0" w:color="auto"/>
        <w:right w:val="none" w:sz="0" w:space="0" w:color="auto"/>
      </w:divBdr>
    </w:div>
    <w:div w:id="210495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C2F4B-AB7B-45FA-A388-4A1F7ED9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49</Pages>
  <Words>13721</Words>
  <Characters>91402</Characters>
  <Application>Microsoft Office Word</Application>
  <DocSecurity>0</DocSecurity>
  <Lines>761</Lines>
  <Paragraphs>209</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104914</CharactersWithSpaces>
  <SharedDoc>false</SharedDoc>
  <HLinks>
    <vt:vector size="252" baseType="variant">
      <vt:variant>
        <vt:i4>1900592</vt:i4>
      </vt:variant>
      <vt:variant>
        <vt:i4>248</vt:i4>
      </vt:variant>
      <vt:variant>
        <vt:i4>0</vt:i4>
      </vt:variant>
      <vt:variant>
        <vt:i4>5</vt:i4>
      </vt:variant>
      <vt:variant>
        <vt:lpwstr/>
      </vt:variant>
      <vt:variant>
        <vt:lpwstr>_Toc381274547</vt:lpwstr>
      </vt:variant>
      <vt:variant>
        <vt:i4>1900592</vt:i4>
      </vt:variant>
      <vt:variant>
        <vt:i4>242</vt:i4>
      </vt:variant>
      <vt:variant>
        <vt:i4>0</vt:i4>
      </vt:variant>
      <vt:variant>
        <vt:i4>5</vt:i4>
      </vt:variant>
      <vt:variant>
        <vt:lpwstr/>
      </vt:variant>
      <vt:variant>
        <vt:lpwstr>_Toc381274546</vt:lpwstr>
      </vt:variant>
      <vt:variant>
        <vt:i4>1900592</vt:i4>
      </vt:variant>
      <vt:variant>
        <vt:i4>236</vt:i4>
      </vt:variant>
      <vt:variant>
        <vt:i4>0</vt:i4>
      </vt:variant>
      <vt:variant>
        <vt:i4>5</vt:i4>
      </vt:variant>
      <vt:variant>
        <vt:lpwstr/>
      </vt:variant>
      <vt:variant>
        <vt:lpwstr>_Toc381274545</vt:lpwstr>
      </vt:variant>
      <vt:variant>
        <vt:i4>1900592</vt:i4>
      </vt:variant>
      <vt:variant>
        <vt:i4>230</vt:i4>
      </vt:variant>
      <vt:variant>
        <vt:i4>0</vt:i4>
      </vt:variant>
      <vt:variant>
        <vt:i4>5</vt:i4>
      </vt:variant>
      <vt:variant>
        <vt:lpwstr/>
      </vt:variant>
      <vt:variant>
        <vt:lpwstr>_Toc381274544</vt:lpwstr>
      </vt:variant>
      <vt:variant>
        <vt:i4>1900592</vt:i4>
      </vt:variant>
      <vt:variant>
        <vt:i4>224</vt:i4>
      </vt:variant>
      <vt:variant>
        <vt:i4>0</vt:i4>
      </vt:variant>
      <vt:variant>
        <vt:i4>5</vt:i4>
      </vt:variant>
      <vt:variant>
        <vt:lpwstr/>
      </vt:variant>
      <vt:variant>
        <vt:lpwstr>_Toc381274543</vt:lpwstr>
      </vt:variant>
      <vt:variant>
        <vt:i4>1900592</vt:i4>
      </vt:variant>
      <vt:variant>
        <vt:i4>218</vt:i4>
      </vt:variant>
      <vt:variant>
        <vt:i4>0</vt:i4>
      </vt:variant>
      <vt:variant>
        <vt:i4>5</vt:i4>
      </vt:variant>
      <vt:variant>
        <vt:lpwstr/>
      </vt:variant>
      <vt:variant>
        <vt:lpwstr>_Toc381274542</vt:lpwstr>
      </vt:variant>
      <vt:variant>
        <vt:i4>1900592</vt:i4>
      </vt:variant>
      <vt:variant>
        <vt:i4>212</vt:i4>
      </vt:variant>
      <vt:variant>
        <vt:i4>0</vt:i4>
      </vt:variant>
      <vt:variant>
        <vt:i4>5</vt:i4>
      </vt:variant>
      <vt:variant>
        <vt:lpwstr/>
      </vt:variant>
      <vt:variant>
        <vt:lpwstr>_Toc381274541</vt:lpwstr>
      </vt:variant>
      <vt:variant>
        <vt:i4>1900592</vt:i4>
      </vt:variant>
      <vt:variant>
        <vt:i4>206</vt:i4>
      </vt:variant>
      <vt:variant>
        <vt:i4>0</vt:i4>
      </vt:variant>
      <vt:variant>
        <vt:i4>5</vt:i4>
      </vt:variant>
      <vt:variant>
        <vt:lpwstr/>
      </vt:variant>
      <vt:variant>
        <vt:lpwstr>_Toc381274540</vt:lpwstr>
      </vt:variant>
      <vt:variant>
        <vt:i4>1703984</vt:i4>
      </vt:variant>
      <vt:variant>
        <vt:i4>200</vt:i4>
      </vt:variant>
      <vt:variant>
        <vt:i4>0</vt:i4>
      </vt:variant>
      <vt:variant>
        <vt:i4>5</vt:i4>
      </vt:variant>
      <vt:variant>
        <vt:lpwstr/>
      </vt:variant>
      <vt:variant>
        <vt:lpwstr>_Toc381274539</vt:lpwstr>
      </vt:variant>
      <vt:variant>
        <vt:i4>1703984</vt:i4>
      </vt:variant>
      <vt:variant>
        <vt:i4>194</vt:i4>
      </vt:variant>
      <vt:variant>
        <vt:i4>0</vt:i4>
      </vt:variant>
      <vt:variant>
        <vt:i4>5</vt:i4>
      </vt:variant>
      <vt:variant>
        <vt:lpwstr/>
      </vt:variant>
      <vt:variant>
        <vt:lpwstr>_Toc381274538</vt:lpwstr>
      </vt:variant>
      <vt:variant>
        <vt:i4>1703984</vt:i4>
      </vt:variant>
      <vt:variant>
        <vt:i4>188</vt:i4>
      </vt:variant>
      <vt:variant>
        <vt:i4>0</vt:i4>
      </vt:variant>
      <vt:variant>
        <vt:i4>5</vt:i4>
      </vt:variant>
      <vt:variant>
        <vt:lpwstr/>
      </vt:variant>
      <vt:variant>
        <vt:lpwstr>_Toc381274537</vt:lpwstr>
      </vt:variant>
      <vt:variant>
        <vt:i4>1703984</vt:i4>
      </vt:variant>
      <vt:variant>
        <vt:i4>182</vt:i4>
      </vt:variant>
      <vt:variant>
        <vt:i4>0</vt:i4>
      </vt:variant>
      <vt:variant>
        <vt:i4>5</vt:i4>
      </vt:variant>
      <vt:variant>
        <vt:lpwstr/>
      </vt:variant>
      <vt:variant>
        <vt:lpwstr>_Toc381274536</vt:lpwstr>
      </vt:variant>
      <vt:variant>
        <vt:i4>1703984</vt:i4>
      </vt:variant>
      <vt:variant>
        <vt:i4>176</vt:i4>
      </vt:variant>
      <vt:variant>
        <vt:i4>0</vt:i4>
      </vt:variant>
      <vt:variant>
        <vt:i4>5</vt:i4>
      </vt:variant>
      <vt:variant>
        <vt:lpwstr/>
      </vt:variant>
      <vt:variant>
        <vt:lpwstr>_Toc381274535</vt:lpwstr>
      </vt:variant>
      <vt:variant>
        <vt:i4>1703984</vt:i4>
      </vt:variant>
      <vt:variant>
        <vt:i4>170</vt:i4>
      </vt:variant>
      <vt:variant>
        <vt:i4>0</vt:i4>
      </vt:variant>
      <vt:variant>
        <vt:i4>5</vt:i4>
      </vt:variant>
      <vt:variant>
        <vt:lpwstr/>
      </vt:variant>
      <vt:variant>
        <vt:lpwstr>_Toc381274534</vt:lpwstr>
      </vt:variant>
      <vt:variant>
        <vt:i4>1703984</vt:i4>
      </vt:variant>
      <vt:variant>
        <vt:i4>164</vt:i4>
      </vt:variant>
      <vt:variant>
        <vt:i4>0</vt:i4>
      </vt:variant>
      <vt:variant>
        <vt:i4>5</vt:i4>
      </vt:variant>
      <vt:variant>
        <vt:lpwstr/>
      </vt:variant>
      <vt:variant>
        <vt:lpwstr>_Toc381274533</vt:lpwstr>
      </vt:variant>
      <vt:variant>
        <vt:i4>1703984</vt:i4>
      </vt:variant>
      <vt:variant>
        <vt:i4>158</vt:i4>
      </vt:variant>
      <vt:variant>
        <vt:i4>0</vt:i4>
      </vt:variant>
      <vt:variant>
        <vt:i4>5</vt:i4>
      </vt:variant>
      <vt:variant>
        <vt:lpwstr/>
      </vt:variant>
      <vt:variant>
        <vt:lpwstr>_Toc381274532</vt:lpwstr>
      </vt:variant>
      <vt:variant>
        <vt:i4>1703984</vt:i4>
      </vt:variant>
      <vt:variant>
        <vt:i4>152</vt:i4>
      </vt:variant>
      <vt:variant>
        <vt:i4>0</vt:i4>
      </vt:variant>
      <vt:variant>
        <vt:i4>5</vt:i4>
      </vt:variant>
      <vt:variant>
        <vt:lpwstr/>
      </vt:variant>
      <vt:variant>
        <vt:lpwstr>_Toc381274531</vt:lpwstr>
      </vt:variant>
      <vt:variant>
        <vt:i4>1703984</vt:i4>
      </vt:variant>
      <vt:variant>
        <vt:i4>146</vt:i4>
      </vt:variant>
      <vt:variant>
        <vt:i4>0</vt:i4>
      </vt:variant>
      <vt:variant>
        <vt:i4>5</vt:i4>
      </vt:variant>
      <vt:variant>
        <vt:lpwstr/>
      </vt:variant>
      <vt:variant>
        <vt:lpwstr>_Toc381274530</vt:lpwstr>
      </vt:variant>
      <vt:variant>
        <vt:i4>1769520</vt:i4>
      </vt:variant>
      <vt:variant>
        <vt:i4>140</vt:i4>
      </vt:variant>
      <vt:variant>
        <vt:i4>0</vt:i4>
      </vt:variant>
      <vt:variant>
        <vt:i4>5</vt:i4>
      </vt:variant>
      <vt:variant>
        <vt:lpwstr/>
      </vt:variant>
      <vt:variant>
        <vt:lpwstr>_Toc381274529</vt:lpwstr>
      </vt:variant>
      <vt:variant>
        <vt:i4>1769520</vt:i4>
      </vt:variant>
      <vt:variant>
        <vt:i4>134</vt:i4>
      </vt:variant>
      <vt:variant>
        <vt:i4>0</vt:i4>
      </vt:variant>
      <vt:variant>
        <vt:i4>5</vt:i4>
      </vt:variant>
      <vt:variant>
        <vt:lpwstr/>
      </vt:variant>
      <vt:variant>
        <vt:lpwstr>_Toc381274528</vt:lpwstr>
      </vt:variant>
      <vt:variant>
        <vt:i4>1769520</vt:i4>
      </vt:variant>
      <vt:variant>
        <vt:i4>128</vt:i4>
      </vt:variant>
      <vt:variant>
        <vt:i4>0</vt:i4>
      </vt:variant>
      <vt:variant>
        <vt:i4>5</vt:i4>
      </vt:variant>
      <vt:variant>
        <vt:lpwstr/>
      </vt:variant>
      <vt:variant>
        <vt:lpwstr>_Toc381274527</vt:lpwstr>
      </vt:variant>
      <vt:variant>
        <vt:i4>1769520</vt:i4>
      </vt:variant>
      <vt:variant>
        <vt:i4>122</vt:i4>
      </vt:variant>
      <vt:variant>
        <vt:i4>0</vt:i4>
      </vt:variant>
      <vt:variant>
        <vt:i4>5</vt:i4>
      </vt:variant>
      <vt:variant>
        <vt:lpwstr/>
      </vt:variant>
      <vt:variant>
        <vt:lpwstr>_Toc381274526</vt:lpwstr>
      </vt:variant>
      <vt:variant>
        <vt:i4>1769520</vt:i4>
      </vt:variant>
      <vt:variant>
        <vt:i4>116</vt:i4>
      </vt:variant>
      <vt:variant>
        <vt:i4>0</vt:i4>
      </vt:variant>
      <vt:variant>
        <vt:i4>5</vt:i4>
      </vt:variant>
      <vt:variant>
        <vt:lpwstr/>
      </vt:variant>
      <vt:variant>
        <vt:lpwstr>_Toc381274525</vt:lpwstr>
      </vt:variant>
      <vt:variant>
        <vt:i4>1769520</vt:i4>
      </vt:variant>
      <vt:variant>
        <vt:i4>110</vt:i4>
      </vt:variant>
      <vt:variant>
        <vt:i4>0</vt:i4>
      </vt:variant>
      <vt:variant>
        <vt:i4>5</vt:i4>
      </vt:variant>
      <vt:variant>
        <vt:lpwstr/>
      </vt:variant>
      <vt:variant>
        <vt:lpwstr>_Toc381274524</vt:lpwstr>
      </vt:variant>
      <vt:variant>
        <vt:i4>1769520</vt:i4>
      </vt:variant>
      <vt:variant>
        <vt:i4>104</vt:i4>
      </vt:variant>
      <vt:variant>
        <vt:i4>0</vt:i4>
      </vt:variant>
      <vt:variant>
        <vt:i4>5</vt:i4>
      </vt:variant>
      <vt:variant>
        <vt:lpwstr/>
      </vt:variant>
      <vt:variant>
        <vt:lpwstr>_Toc381274523</vt:lpwstr>
      </vt:variant>
      <vt:variant>
        <vt:i4>1769520</vt:i4>
      </vt:variant>
      <vt:variant>
        <vt:i4>98</vt:i4>
      </vt:variant>
      <vt:variant>
        <vt:i4>0</vt:i4>
      </vt:variant>
      <vt:variant>
        <vt:i4>5</vt:i4>
      </vt:variant>
      <vt:variant>
        <vt:lpwstr/>
      </vt:variant>
      <vt:variant>
        <vt:lpwstr>_Toc381274522</vt:lpwstr>
      </vt:variant>
      <vt:variant>
        <vt:i4>1769520</vt:i4>
      </vt:variant>
      <vt:variant>
        <vt:i4>92</vt:i4>
      </vt:variant>
      <vt:variant>
        <vt:i4>0</vt:i4>
      </vt:variant>
      <vt:variant>
        <vt:i4>5</vt:i4>
      </vt:variant>
      <vt:variant>
        <vt:lpwstr/>
      </vt:variant>
      <vt:variant>
        <vt:lpwstr>_Toc381274521</vt:lpwstr>
      </vt:variant>
      <vt:variant>
        <vt:i4>1769520</vt:i4>
      </vt:variant>
      <vt:variant>
        <vt:i4>86</vt:i4>
      </vt:variant>
      <vt:variant>
        <vt:i4>0</vt:i4>
      </vt:variant>
      <vt:variant>
        <vt:i4>5</vt:i4>
      </vt:variant>
      <vt:variant>
        <vt:lpwstr/>
      </vt:variant>
      <vt:variant>
        <vt:lpwstr>_Toc381274520</vt:lpwstr>
      </vt:variant>
      <vt:variant>
        <vt:i4>1572912</vt:i4>
      </vt:variant>
      <vt:variant>
        <vt:i4>80</vt:i4>
      </vt:variant>
      <vt:variant>
        <vt:i4>0</vt:i4>
      </vt:variant>
      <vt:variant>
        <vt:i4>5</vt:i4>
      </vt:variant>
      <vt:variant>
        <vt:lpwstr/>
      </vt:variant>
      <vt:variant>
        <vt:lpwstr>_Toc381274519</vt:lpwstr>
      </vt:variant>
      <vt:variant>
        <vt:i4>1572912</vt:i4>
      </vt:variant>
      <vt:variant>
        <vt:i4>74</vt:i4>
      </vt:variant>
      <vt:variant>
        <vt:i4>0</vt:i4>
      </vt:variant>
      <vt:variant>
        <vt:i4>5</vt:i4>
      </vt:variant>
      <vt:variant>
        <vt:lpwstr/>
      </vt:variant>
      <vt:variant>
        <vt:lpwstr>_Toc381274518</vt:lpwstr>
      </vt:variant>
      <vt:variant>
        <vt:i4>1572912</vt:i4>
      </vt:variant>
      <vt:variant>
        <vt:i4>68</vt:i4>
      </vt:variant>
      <vt:variant>
        <vt:i4>0</vt:i4>
      </vt:variant>
      <vt:variant>
        <vt:i4>5</vt:i4>
      </vt:variant>
      <vt:variant>
        <vt:lpwstr/>
      </vt:variant>
      <vt:variant>
        <vt:lpwstr>_Toc381274517</vt:lpwstr>
      </vt:variant>
      <vt:variant>
        <vt:i4>1572912</vt:i4>
      </vt:variant>
      <vt:variant>
        <vt:i4>62</vt:i4>
      </vt:variant>
      <vt:variant>
        <vt:i4>0</vt:i4>
      </vt:variant>
      <vt:variant>
        <vt:i4>5</vt:i4>
      </vt:variant>
      <vt:variant>
        <vt:lpwstr/>
      </vt:variant>
      <vt:variant>
        <vt:lpwstr>_Toc381274516</vt:lpwstr>
      </vt:variant>
      <vt:variant>
        <vt:i4>1572912</vt:i4>
      </vt:variant>
      <vt:variant>
        <vt:i4>56</vt:i4>
      </vt:variant>
      <vt:variant>
        <vt:i4>0</vt:i4>
      </vt:variant>
      <vt:variant>
        <vt:i4>5</vt:i4>
      </vt:variant>
      <vt:variant>
        <vt:lpwstr/>
      </vt:variant>
      <vt:variant>
        <vt:lpwstr>_Toc381274515</vt:lpwstr>
      </vt:variant>
      <vt:variant>
        <vt:i4>1572912</vt:i4>
      </vt:variant>
      <vt:variant>
        <vt:i4>50</vt:i4>
      </vt:variant>
      <vt:variant>
        <vt:i4>0</vt:i4>
      </vt:variant>
      <vt:variant>
        <vt:i4>5</vt:i4>
      </vt:variant>
      <vt:variant>
        <vt:lpwstr/>
      </vt:variant>
      <vt:variant>
        <vt:lpwstr>_Toc381274514</vt:lpwstr>
      </vt:variant>
      <vt:variant>
        <vt:i4>1572912</vt:i4>
      </vt:variant>
      <vt:variant>
        <vt:i4>44</vt:i4>
      </vt:variant>
      <vt:variant>
        <vt:i4>0</vt:i4>
      </vt:variant>
      <vt:variant>
        <vt:i4>5</vt:i4>
      </vt:variant>
      <vt:variant>
        <vt:lpwstr/>
      </vt:variant>
      <vt:variant>
        <vt:lpwstr>_Toc381274513</vt:lpwstr>
      </vt:variant>
      <vt:variant>
        <vt:i4>1572912</vt:i4>
      </vt:variant>
      <vt:variant>
        <vt:i4>38</vt:i4>
      </vt:variant>
      <vt:variant>
        <vt:i4>0</vt:i4>
      </vt:variant>
      <vt:variant>
        <vt:i4>5</vt:i4>
      </vt:variant>
      <vt:variant>
        <vt:lpwstr/>
      </vt:variant>
      <vt:variant>
        <vt:lpwstr>_Toc381274512</vt:lpwstr>
      </vt:variant>
      <vt:variant>
        <vt:i4>1572912</vt:i4>
      </vt:variant>
      <vt:variant>
        <vt:i4>32</vt:i4>
      </vt:variant>
      <vt:variant>
        <vt:i4>0</vt:i4>
      </vt:variant>
      <vt:variant>
        <vt:i4>5</vt:i4>
      </vt:variant>
      <vt:variant>
        <vt:lpwstr/>
      </vt:variant>
      <vt:variant>
        <vt:lpwstr>_Toc381274511</vt:lpwstr>
      </vt:variant>
      <vt:variant>
        <vt:i4>1572912</vt:i4>
      </vt:variant>
      <vt:variant>
        <vt:i4>26</vt:i4>
      </vt:variant>
      <vt:variant>
        <vt:i4>0</vt:i4>
      </vt:variant>
      <vt:variant>
        <vt:i4>5</vt:i4>
      </vt:variant>
      <vt:variant>
        <vt:lpwstr/>
      </vt:variant>
      <vt:variant>
        <vt:lpwstr>_Toc381274510</vt:lpwstr>
      </vt:variant>
      <vt:variant>
        <vt:i4>1638448</vt:i4>
      </vt:variant>
      <vt:variant>
        <vt:i4>20</vt:i4>
      </vt:variant>
      <vt:variant>
        <vt:i4>0</vt:i4>
      </vt:variant>
      <vt:variant>
        <vt:i4>5</vt:i4>
      </vt:variant>
      <vt:variant>
        <vt:lpwstr/>
      </vt:variant>
      <vt:variant>
        <vt:lpwstr>_Toc381274509</vt:lpwstr>
      </vt:variant>
      <vt:variant>
        <vt:i4>1638448</vt:i4>
      </vt:variant>
      <vt:variant>
        <vt:i4>14</vt:i4>
      </vt:variant>
      <vt:variant>
        <vt:i4>0</vt:i4>
      </vt:variant>
      <vt:variant>
        <vt:i4>5</vt:i4>
      </vt:variant>
      <vt:variant>
        <vt:lpwstr/>
      </vt:variant>
      <vt:variant>
        <vt:lpwstr>_Toc381274508</vt:lpwstr>
      </vt:variant>
      <vt:variant>
        <vt:i4>1638448</vt:i4>
      </vt:variant>
      <vt:variant>
        <vt:i4>8</vt:i4>
      </vt:variant>
      <vt:variant>
        <vt:i4>0</vt:i4>
      </vt:variant>
      <vt:variant>
        <vt:i4>5</vt:i4>
      </vt:variant>
      <vt:variant>
        <vt:lpwstr/>
      </vt:variant>
      <vt:variant>
        <vt:lpwstr>_Toc381274507</vt:lpwstr>
      </vt:variant>
      <vt:variant>
        <vt:i4>1638448</vt:i4>
      </vt:variant>
      <vt:variant>
        <vt:i4>2</vt:i4>
      </vt:variant>
      <vt:variant>
        <vt:i4>0</vt:i4>
      </vt:variant>
      <vt:variant>
        <vt:i4>5</vt:i4>
      </vt:variant>
      <vt:variant>
        <vt:lpwstr/>
      </vt:variant>
      <vt:variant>
        <vt:lpwstr>_Toc381274506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pcair</dc:creator>
  <cp:lastModifiedBy>Magda</cp:lastModifiedBy>
  <cp:revision>60</cp:revision>
  <cp:lastPrinted>2014-02-28T17:03:00Z</cp:lastPrinted>
  <dcterms:created xsi:type="dcterms:W3CDTF">2014-02-28T16:56:00Z</dcterms:created>
  <dcterms:modified xsi:type="dcterms:W3CDTF">2014-05-15T17:44:00Z</dcterms:modified>
</cp:coreProperties>
</file>