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67" w:rsidRPr="000E22EB" w:rsidRDefault="00822BC3" w:rsidP="008A248D">
      <w:pPr>
        <w:pStyle w:val="Tekstpodstawowy"/>
        <w:spacing w:before="120"/>
        <w:ind w:right="-108"/>
        <w:jc w:val="center"/>
        <w:rPr>
          <w:rFonts w:ascii="Times New Roman" w:hAnsi="Times New Roman" w:cs="Times New Roman"/>
          <w:b/>
          <w:i/>
          <w:color w:val="auto"/>
          <w:sz w:val="22"/>
          <w:szCs w:val="22"/>
        </w:rPr>
      </w:pPr>
      <w:bookmarkStart w:id="0" w:name="_GoBack"/>
      <w:bookmarkEnd w:id="0"/>
      <w:r>
        <w:rPr>
          <w:noProof/>
          <w:lang w:eastAsia="pl-PL"/>
        </w:rPr>
        <w:drawing>
          <wp:inline distT="0" distB="0" distL="0" distR="0" wp14:anchorId="3DD7C6E2" wp14:editId="19F5A4AB">
            <wp:extent cx="3695700" cy="1685925"/>
            <wp:effectExtent l="0" t="0" r="0" b="9525"/>
            <wp:docPr id="2" name="Obraz 2" descr="http://blacklion.com.pl/images/stories/bllg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blacklion.com.pl/images/stories/bllgl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1685925"/>
                    </a:xfrm>
                    <a:prstGeom prst="rect">
                      <a:avLst/>
                    </a:prstGeom>
                    <a:noFill/>
                    <a:ln>
                      <a:noFill/>
                    </a:ln>
                  </pic:spPr>
                </pic:pic>
              </a:graphicData>
            </a:graphic>
          </wp:inline>
        </w:drawing>
      </w:r>
    </w:p>
    <w:p w:rsidR="002C0B67" w:rsidRPr="000E22EB" w:rsidRDefault="002C0B67" w:rsidP="008A248D">
      <w:pPr>
        <w:pStyle w:val="Tekstpodstawowy"/>
        <w:spacing w:before="120"/>
        <w:ind w:right="-108"/>
        <w:jc w:val="center"/>
        <w:rPr>
          <w:rFonts w:ascii="Times New Roman" w:hAnsi="Times New Roman" w:cs="Times New Roman"/>
          <w:b/>
          <w:i/>
          <w:color w:val="auto"/>
          <w:sz w:val="22"/>
          <w:szCs w:val="22"/>
        </w:rPr>
      </w:pPr>
    </w:p>
    <w:p w:rsidR="002C0B67" w:rsidRPr="000E22EB" w:rsidRDefault="002C0B67" w:rsidP="008A248D">
      <w:pPr>
        <w:rPr>
          <w:b/>
          <w:sz w:val="22"/>
          <w:szCs w:val="22"/>
        </w:rPr>
      </w:pPr>
    </w:p>
    <w:p w:rsidR="002C0B67" w:rsidRPr="000E22EB" w:rsidRDefault="002C0B67" w:rsidP="008A248D">
      <w:pPr>
        <w:rPr>
          <w:b/>
          <w:sz w:val="22"/>
          <w:szCs w:val="22"/>
        </w:rPr>
      </w:pPr>
    </w:p>
    <w:p w:rsidR="002C0B67" w:rsidRPr="000E22EB" w:rsidRDefault="002C0B67" w:rsidP="008A248D">
      <w:pPr>
        <w:pBdr>
          <w:bottom w:val="single" w:sz="12" w:space="1" w:color="auto"/>
        </w:pBdr>
        <w:jc w:val="center"/>
        <w:rPr>
          <w:b/>
          <w:sz w:val="22"/>
          <w:szCs w:val="22"/>
        </w:rPr>
      </w:pPr>
    </w:p>
    <w:p w:rsidR="00822BC3" w:rsidRPr="005B64FE" w:rsidRDefault="00822BC3" w:rsidP="00822BC3">
      <w:pPr>
        <w:pBdr>
          <w:bottom w:val="single" w:sz="12" w:space="1" w:color="auto"/>
        </w:pBdr>
        <w:jc w:val="center"/>
        <w:rPr>
          <w:b/>
          <w:sz w:val="26"/>
          <w:szCs w:val="26"/>
        </w:rPr>
      </w:pPr>
    </w:p>
    <w:p w:rsidR="00822BC3" w:rsidRPr="005B64FE" w:rsidRDefault="00822BC3" w:rsidP="00822BC3">
      <w:pPr>
        <w:pBdr>
          <w:bottom w:val="single" w:sz="12" w:space="1" w:color="auto"/>
        </w:pBdr>
        <w:jc w:val="center"/>
        <w:rPr>
          <w:b/>
          <w:sz w:val="26"/>
          <w:szCs w:val="26"/>
        </w:rPr>
      </w:pPr>
      <w:r w:rsidRPr="005B64FE">
        <w:rPr>
          <w:b/>
          <w:sz w:val="26"/>
          <w:szCs w:val="26"/>
        </w:rPr>
        <w:t>SOHO DEVELOPMENT S.A.</w:t>
      </w:r>
    </w:p>
    <w:p w:rsidR="00864E8C" w:rsidRPr="000E22EB" w:rsidRDefault="00CB46F0" w:rsidP="008A248D">
      <w:pPr>
        <w:pStyle w:val="Nagwek7"/>
        <w:jc w:val="center"/>
        <w:rPr>
          <w:rFonts w:ascii="Times New Roman" w:eastAsia="Times New Roman" w:hAnsi="Times New Roman" w:cs="Times New Roman"/>
          <w:b/>
          <w:bCs/>
          <w:i w:val="0"/>
          <w:color w:val="auto"/>
          <w:sz w:val="22"/>
          <w:szCs w:val="22"/>
        </w:rPr>
      </w:pPr>
      <w:r>
        <w:rPr>
          <w:rFonts w:ascii="Times New Roman" w:eastAsia="Times New Roman" w:hAnsi="Times New Roman" w:cs="Times New Roman"/>
          <w:b/>
          <w:bCs/>
          <w:i w:val="0"/>
          <w:noProof/>
          <w:color w:val="auto"/>
          <w:sz w:val="22"/>
          <w:szCs w:val="22"/>
          <w:lang w:eastAsia="pl-PL"/>
        </w:rPr>
        <w:drawing>
          <wp:inline distT="0" distB="0" distL="0" distR="0" wp14:anchorId="7FBB026B" wp14:editId="4458BBF5">
            <wp:extent cx="5760720" cy="2865422"/>
            <wp:effectExtent l="0" t="0" r="0" b="0"/>
            <wp:docPr id="3" name="Obraz 3" descr="C:\Users\tomasz.naprawa\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masz.naprawa\Desktop\Bez tytuł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65422"/>
                    </a:xfrm>
                    <a:prstGeom prst="rect">
                      <a:avLst/>
                    </a:prstGeom>
                    <a:noFill/>
                    <a:ln>
                      <a:noFill/>
                    </a:ln>
                  </pic:spPr>
                </pic:pic>
              </a:graphicData>
            </a:graphic>
          </wp:inline>
        </w:drawing>
      </w:r>
    </w:p>
    <w:p w:rsidR="00CB46F0" w:rsidRDefault="00CB46F0" w:rsidP="00CB46F0">
      <w:pPr>
        <w:pStyle w:val="Nagwek7"/>
        <w:spacing w:before="0"/>
        <w:rPr>
          <w:rFonts w:ascii="Times New Roman" w:eastAsia="Times New Roman" w:hAnsi="Times New Roman" w:cs="Times New Roman"/>
          <w:b/>
          <w:bCs/>
          <w:i w:val="0"/>
          <w:color w:val="auto"/>
          <w:sz w:val="22"/>
          <w:szCs w:val="22"/>
        </w:rPr>
      </w:pPr>
    </w:p>
    <w:p w:rsidR="00730AE9" w:rsidRPr="000E22EB" w:rsidRDefault="00864E8C" w:rsidP="008A248D">
      <w:pPr>
        <w:pStyle w:val="Nagwek7"/>
        <w:spacing w:before="0"/>
        <w:jc w:val="center"/>
        <w:rPr>
          <w:rFonts w:ascii="Times New Roman" w:eastAsia="Times New Roman" w:hAnsi="Times New Roman" w:cs="Times New Roman"/>
          <w:b/>
          <w:bCs/>
          <w:i w:val="0"/>
          <w:color w:val="auto"/>
          <w:sz w:val="22"/>
          <w:szCs w:val="22"/>
        </w:rPr>
      </w:pPr>
      <w:r w:rsidRPr="000E22EB">
        <w:rPr>
          <w:rFonts w:ascii="Times New Roman" w:eastAsia="Times New Roman" w:hAnsi="Times New Roman" w:cs="Times New Roman"/>
          <w:b/>
          <w:bCs/>
          <w:i w:val="0"/>
          <w:color w:val="auto"/>
          <w:sz w:val="22"/>
          <w:szCs w:val="22"/>
        </w:rPr>
        <w:t xml:space="preserve">SPRAWOZDANIE ZARZĄDU JEDNOSTKI DOMINUJĄCEJ – </w:t>
      </w:r>
      <w:r w:rsidR="00822BC3">
        <w:rPr>
          <w:rFonts w:ascii="Times New Roman" w:eastAsia="Times New Roman" w:hAnsi="Times New Roman" w:cs="Times New Roman"/>
          <w:b/>
          <w:bCs/>
          <w:i w:val="0"/>
          <w:color w:val="auto"/>
          <w:sz w:val="22"/>
          <w:szCs w:val="22"/>
        </w:rPr>
        <w:t>SOHO DEVELOPMENT S.</w:t>
      </w:r>
      <w:r w:rsidRPr="000E22EB">
        <w:rPr>
          <w:rFonts w:ascii="Times New Roman" w:eastAsia="Times New Roman" w:hAnsi="Times New Roman" w:cs="Times New Roman"/>
          <w:b/>
          <w:bCs/>
          <w:i w:val="0"/>
          <w:color w:val="auto"/>
          <w:sz w:val="22"/>
          <w:szCs w:val="22"/>
        </w:rPr>
        <w:t>A. OBEJMUJĄCE INFORMACJE DOTYCZĄCE DZIAŁALNOŚCI JEDNOSTKI DOMINUJĄCEJ I GRUPY KAPITAŁOWEJ</w:t>
      </w:r>
      <w:r w:rsidR="00730AE9" w:rsidRPr="000E22EB">
        <w:rPr>
          <w:rFonts w:ascii="Times New Roman" w:eastAsia="Times New Roman" w:hAnsi="Times New Roman" w:cs="Times New Roman"/>
          <w:b/>
          <w:bCs/>
          <w:i w:val="0"/>
          <w:color w:val="auto"/>
          <w:sz w:val="22"/>
          <w:szCs w:val="22"/>
        </w:rPr>
        <w:t xml:space="preserve"> </w:t>
      </w:r>
    </w:p>
    <w:p w:rsidR="00864E8C" w:rsidRPr="000E22EB" w:rsidRDefault="00730AE9" w:rsidP="008A248D">
      <w:pPr>
        <w:pStyle w:val="Nagwek7"/>
        <w:spacing w:before="0"/>
        <w:jc w:val="center"/>
        <w:rPr>
          <w:rFonts w:ascii="Times New Roman" w:eastAsia="Times New Roman" w:hAnsi="Times New Roman" w:cs="Times New Roman"/>
          <w:b/>
          <w:bCs/>
          <w:i w:val="0"/>
          <w:color w:val="auto"/>
          <w:sz w:val="22"/>
          <w:szCs w:val="22"/>
        </w:rPr>
      </w:pPr>
      <w:r w:rsidRPr="000E22EB">
        <w:rPr>
          <w:rFonts w:ascii="Times New Roman" w:eastAsia="Times New Roman" w:hAnsi="Times New Roman" w:cs="Times New Roman"/>
          <w:b/>
          <w:bCs/>
          <w:i w:val="0"/>
          <w:color w:val="auto"/>
          <w:sz w:val="22"/>
          <w:szCs w:val="22"/>
        </w:rPr>
        <w:t xml:space="preserve"> </w:t>
      </w:r>
      <w:r w:rsidR="007D0D29" w:rsidRPr="000E22EB">
        <w:rPr>
          <w:rFonts w:ascii="Times New Roman" w:eastAsia="Times New Roman" w:hAnsi="Times New Roman" w:cs="Times New Roman"/>
          <w:b/>
          <w:bCs/>
          <w:i w:val="0"/>
          <w:color w:val="auto"/>
          <w:sz w:val="22"/>
          <w:szCs w:val="22"/>
        </w:rPr>
        <w:t xml:space="preserve">ZA OKRES OD 1 </w:t>
      </w:r>
      <w:r w:rsidR="00822BC3">
        <w:rPr>
          <w:rFonts w:ascii="Times New Roman" w:eastAsia="Times New Roman" w:hAnsi="Times New Roman" w:cs="Times New Roman"/>
          <w:b/>
          <w:bCs/>
          <w:i w:val="0"/>
          <w:color w:val="auto"/>
          <w:sz w:val="22"/>
          <w:szCs w:val="22"/>
        </w:rPr>
        <w:t>PAŹDZIERNIKA</w:t>
      </w:r>
      <w:r w:rsidR="007D0D29" w:rsidRPr="000E22EB">
        <w:rPr>
          <w:rFonts w:ascii="Times New Roman" w:eastAsia="Times New Roman" w:hAnsi="Times New Roman" w:cs="Times New Roman"/>
          <w:b/>
          <w:bCs/>
          <w:i w:val="0"/>
          <w:color w:val="auto"/>
          <w:sz w:val="22"/>
          <w:szCs w:val="22"/>
        </w:rPr>
        <w:t xml:space="preserve"> 201</w:t>
      </w:r>
      <w:r w:rsidR="0067619F">
        <w:rPr>
          <w:rFonts w:ascii="Times New Roman" w:eastAsia="Times New Roman" w:hAnsi="Times New Roman" w:cs="Times New Roman"/>
          <w:b/>
          <w:bCs/>
          <w:i w:val="0"/>
          <w:color w:val="auto"/>
          <w:sz w:val="22"/>
          <w:szCs w:val="22"/>
        </w:rPr>
        <w:t>5</w:t>
      </w:r>
      <w:r w:rsidR="007D0D29" w:rsidRPr="000E22EB">
        <w:rPr>
          <w:rFonts w:ascii="Times New Roman" w:eastAsia="Times New Roman" w:hAnsi="Times New Roman" w:cs="Times New Roman"/>
          <w:b/>
          <w:bCs/>
          <w:i w:val="0"/>
          <w:color w:val="auto"/>
          <w:sz w:val="22"/>
          <w:szCs w:val="22"/>
        </w:rPr>
        <w:t xml:space="preserve"> R. DO 3</w:t>
      </w:r>
      <w:r w:rsidR="0067619F">
        <w:rPr>
          <w:rFonts w:ascii="Times New Roman" w:eastAsia="Times New Roman" w:hAnsi="Times New Roman" w:cs="Times New Roman"/>
          <w:b/>
          <w:bCs/>
          <w:i w:val="0"/>
          <w:color w:val="auto"/>
          <w:sz w:val="22"/>
          <w:szCs w:val="22"/>
        </w:rPr>
        <w:t>1</w:t>
      </w:r>
      <w:r w:rsidR="007D0D29" w:rsidRPr="000E22EB">
        <w:rPr>
          <w:rFonts w:ascii="Times New Roman" w:eastAsia="Times New Roman" w:hAnsi="Times New Roman" w:cs="Times New Roman"/>
          <w:b/>
          <w:bCs/>
          <w:i w:val="0"/>
          <w:color w:val="auto"/>
          <w:sz w:val="22"/>
          <w:szCs w:val="22"/>
        </w:rPr>
        <w:t xml:space="preserve"> </w:t>
      </w:r>
      <w:r w:rsidR="0067619F">
        <w:rPr>
          <w:rFonts w:ascii="Times New Roman" w:eastAsia="Times New Roman" w:hAnsi="Times New Roman" w:cs="Times New Roman"/>
          <w:b/>
          <w:bCs/>
          <w:i w:val="0"/>
          <w:color w:val="auto"/>
          <w:sz w:val="22"/>
          <w:szCs w:val="22"/>
        </w:rPr>
        <w:t>MARCA</w:t>
      </w:r>
      <w:r w:rsidR="00822BC3">
        <w:rPr>
          <w:rFonts w:ascii="Times New Roman" w:eastAsia="Times New Roman" w:hAnsi="Times New Roman" w:cs="Times New Roman"/>
          <w:b/>
          <w:bCs/>
          <w:i w:val="0"/>
          <w:color w:val="auto"/>
          <w:sz w:val="22"/>
          <w:szCs w:val="22"/>
        </w:rPr>
        <w:t xml:space="preserve"> 201</w:t>
      </w:r>
      <w:r w:rsidR="0067619F">
        <w:rPr>
          <w:rFonts w:ascii="Times New Roman" w:eastAsia="Times New Roman" w:hAnsi="Times New Roman" w:cs="Times New Roman"/>
          <w:b/>
          <w:bCs/>
          <w:i w:val="0"/>
          <w:color w:val="auto"/>
          <w:sz w:val="22"/>
          <w:szCs w:val="22"/>
        </w:rPr>
        <w:t>6</w:t>
      </w:r>
      <w:r w:rsidR="00864E8C" w:rsidRPr="000E22EB">
        <w:rPr>
          <w:rFonts w:ascii="Times New Roman" w:eastAsia="Times New Roman" w:hAnsi="Times New Roman" w:cs="Times New Roman"/>
          <w:b/>
          <w:bCs/>
          <w:i w:val="0"/>
          <w:color w:val="auto"/>
          <w:sz w:val="22"/>
          <w:szCs w:val="22"/>
        </w:rPr>
        <w:t xml:space="preserve"> R.</w:t>
      </w:r>
    </w:p>
    <w:p w:rsidR="002C0B67" w:rsidRPr="000E22EB" w:rsidRDefault="002C0B67" w:rsidP="00846E79">
      <w:pPr>
        <w:pStyle w:val="Nagwek7"/>
        <w:rPr>
          <w:rFonts w:ascii="Times New Roman" w:eastAsia="Times New Roman" w:hAnsi="Times New Roman" w:cs="Times New Roman"/>
          <w:b/>
          <w:bCs/>
          <w:i w:val="0"/>
          <w:color w:val="auto"/>
          <w:sz w:val="22"/>
          <w:szCs w:val="22"/>
        </w:rPr>
      </w:pPr>
    </w:p>
    <w:p w:rsidR="002C0B67" w:rsidRPr="000E22EB" w:rsidRDefault="002C0B67" w:rsidP="008A248D">
      <w:pPr>
        <w:pStyle w:val="Nagwek7"/>
        <w:jc w:val="center"/>
        <w:rPr>
          <w:rFonts w:ascii="Times New Roman" w:eastAsia="Times New Roman" w:hAnsi="Times New Roman" w:cs="Times New Roman"/>
          <w:b/>
          <w:bCs/>
          <w:i w:val="0"/>
          <w:color w:val="auto"/>
          <w:sz w:val="22"/>
          <w:szCs w:val="22"/>
        </w:rPr>
      </w:pPr>
    </w:p>
    <w:p w:rsidR="002C0B67" w:rsidRPr="000E22EB" w:rsidRDefault="002C0B67" w:rsidP="008A248D">
      <w:pPr>
        <w:pStyle w:val="Nagwek7"/>
        <w:jc w:val="center"/>
        <w:rPr>
          <w:rFonts w:ascii="Times New Roman" w:eastAsia="Times New Roman" w:hAnsi="Times New Roman" w:cs="Times New Roman"/>
          <w:b/>
          <w:bCs/>
          <w:i w:val="0"/>
          <w:color w:val="auto"/>
          <w:sz w:val="22"/>
          <w:szCs w:val="22"/>
        </w:rPr>
      </w:pPr>
    </w:p>
    <w:p w:rsidR="002C0B67" w:rsidRDefault="002C0B67" w:rsidP="008A248D">
      <w:pPr>
        <w:pStyle w:val="Nagwek7"/>
        <w:jc w:val="center"/>
        <w:rPr>
          <w:rFonts w:ascii="Times New Roman" w:eastAsia="Times New Roman" w:hAnsi="Times New Roman" w:cs="Times New Roman"/>
          <w:b/>
          <w:bCs/>
          <w:i w:val="0"/>
          <w:color w:val="auto"/>
          <w:sz w:val="22"/>
          <w:szCs w:val="22"/>
        </w:rPr>
      </w:pPr>
    </w:p>
    <w:p w:rsidR="0015164B" w:rsidRDefault="0015164B" w:rsidP="0015164B"/>
    <w:p w:rsidR="0015164B" w:rsidRDefault="0015164B" w:rsidP="0015164B"/>
    <w:p w:rsidR="002C0B67" w:rsidRPr="000E22EB" w:rsidRDefault="00C97D2C" w:rsidP="008A248D">
      <w:pPr>
        <w:pStyle w:val="Nagwek7"/>
        <w:jc w:val="center"/>
        <w:rPr>
          <w:rFonts w:ascii="Times New Roman" w:eastAsia="Times New Roman" w:hAnsi="Times New Roman" w:cs="Times New Roman"/>
          <w:b/>
          <w:bCs/>
          <w:i w:val="0"/>
          <w:color w:val="auto"/>
          <w:sz w:val="22"/>
          <w:szCs w:val="22"/>
        </w:rPr>
      </w:pPr>
      <w:r w:rsidRPr="000E22EB">
        <w:rPr>
          <w:rFonts w:ascii="Times New Roman" w:eastAsia="Times New Roman" w:hAnsi="Times New Roman" w:cs="Times New Roman"/>
          <w:b/>
          <w:bCs/>
          <w:i w:val="0"/>
          <w:color w:val="auto"/>
          <w:sz w:val="22"/>
          <w:szCs w:val="22"/>
        </w:rPr>
        <w:t xml:space="preserve">Warszawa, </w:t>
      </w:r>
      <w:r w:rsidR="0067619F">
        <w:rPr>
          <w:rFonts w:ascii="Times New Roman" w:eastAsia="Times New Roman" w:hAnsi="Times New Roman" w:cs="Times New Roman"/>
          <w:b/>
          <w:bCs/>
          <w:i w:val="0"/>
          <w:color w:val="auto"/>
          <w:sz w:val="22"/>
          <w:szCs w:val="22"/>
        </w:rPr>
        <w:t>30</w:t>
      </w:r>
      <w:r w:rsidR="0067619F" w:rsidRPr="000E22EB">
        <w:rPr>
          <w:rFonts w:ascii="Times New Roman" w:eastAsia="Times New Roman" w:hAnsi="Times New Roman" w:cs="Times New Roman"/>
          <w:b/>
          <w:bCs/>
          <w:i w:val="0"/>
          <w:color w:val="auto"/>
          <w:sz w:val="22"/>
          <w:szCs w:val="22"/>
        </w:rPr>
        <w:t xml:space="preserve"> </w:t>
      </w:r>
      <w:r w:rsidR="0067619F">
        <w:rPr>
          <w:rFonts w:ascii="Times New Roman" w:eastAsia="Times New Roman" w:hAnsi="Times New Roman" w:cs="Times New Roman"/>
          <w:b/>
          <w:bCs/>
          <w:i w:val="0"/>
          <w:color w:val="auto"/>
          <w:sz w:val="22"/>
          <w:szCs w:val="22"/>
        </w:rPr>
        <w:t>maja</w:t>
      </w:r>
      <w:r w:rsidR="002C0B67" w:rsidRPr="000E22EB">
        <w:rPr>
          <w:rFonts w:ascii="Times New Roman" w:eastAsia="Times New Roman" w:hAnsi="Times New Roman" w:cs="Times New Roman"/>
          <w:b/>
          <w:bCs/>
          <w:i w:val="0"/>
          <w:color w:val="auto"/>
          <w:sz w:val="22"/>
          <w:szCs w:val="22"/>
        </w:rPr>
        <w:t xml:space="preserve"> 201</w:t>
      </w:r>
      <w:r w:rsidR="0067619F">
        <w:rPr>
          <w:rFonts w:ascii="Times New Roman" w:eastAsia="Times New Roman" w:hAnsi="Times New Roman" w:cs="Times New Roman"/>
          <w:b/>
          <w:bCs/>
          <w:i w:val="0"/>
          <w:color w:val="auto"/>
          <w:sz w:val="22"/>
          <w:szCs w:val="22"/>
        </w:rPr>
        <w:t>6</w:t>
      </w:r>
      <w:r w:rsidR="002C0B67" w:rsidRPr="000E22EB">
        <w:rPr>
          <w:rFonts w:ascii="Times New Roman" w:eastAsia="Times New Roman" w:hAnsi="Times New Roman" w:cs="Times New Roman"/>
          <w:b/>
          <w:bCs/>
          <w:i w:val="0"/>
          <w:color w:val="auto"/>
          <w:sz w:val="22"/>
          <w:szCs w:val="22"/>
        </w:rPr>
        <w:t xml:space="preserve"> r.</w:t>
      </w:r>
    </w:p>
    <w:p w:rsidR="002C0B67" w:rsidRPr="000E22EB" w:rsidRDefault="002C0B67" w:rsidP="008A248D">
      <w:pPr>
        <w:pStyle w:val="Nagwek7"/>
        <w:jc w:val="center"/>
        <w:rPr>
          <w:rFonts w:ascii="Times New Roman" w:eastAsia="Times New Roman" w:hAnsi="Times New Roman" w:cs="Times New Roman"/>
          <w:b/>
          <w:bCs/>
          <w:i w:val="0"/>
          <w:color w:val="auto"/>
          <w:sz w:val="22"/>
          <w:szCs w:val="22"/>
        </w:rPr>
      </w:pPr>
      <w:r w:rsidRPr="000E22EB">
        <w:rPr>
          <w:rFonts w:ascii="Times New Roman" w:eastAsia="Times New Roman" w:hAnsi="Times New Roman" w:cs="Times New Roman"/>
          <w:b/>
          <w:bCs/>
          <w:i w:val="0"/>
          <w:color w:val="auto"/>
          <w:sz w:val="22"/>
          <w:szCs w:val="22"/>
        </w:rPr>
        <w:br w:type="page"/>
      </w:r>
    </w:p>
    <w:sdt>
      <w:sdtPr>
        <w:rPr>
          <w:rFonts w:ascii="Times New Roman" w:eastAsia="Times New Roman" w:hAnsi="Times New Roman" w:cs="Times New Roman"/>
          <w:b w:val="0"/>
          <w:bCs w:val="0"/>
          <w:color w:val="auto"/>
          <w:sz w:val="24"/>
          <w:szCs w:val="24"/>
          <w:lang w:val="en-US" w:eastAsia="en-US"/>
        </w:rPr>
        <w:id w:val="-595410529"/>
        <w:docPartObj>
          <w:docPartGallery w:val="Table of Contents"/>
          <w:docPartUnique/>
        </w:docPartObj>
      </w:sdtPr>
      <w:sdtEndPr>
        <w:rPr>
          <w:sz w:val="22"/>
          <w:szCs w:val="22"/>
          <w:lang w:val="pl-PL"/>
        </w:rPr>
      </w:sdtEndPr>
      <w:sdtContent>
        <w:p w:rsidR="00B00E43" w:rsidRPr="00097EFF" w:rsidRDefault="00B00E43" w:rsidP="008A248D">
          <w:pPr>
            <w:pStyle w:val="Nagwekspisutreci"/>
            <w:spacing w:line="240" w:lineRule="auto"/>
            <w:rPr>
              <w:rFonts w:ascii="Times New Roman" w:hAnsi="Times New Roman" w:cs="Times New Roman"/>
              <w:i/>
              <w:color w:val="000000" w:themeColor="text1"/>
              <w:sz w:val="22"/>
              <w:szCs w:val="22"/>
            </w:rPr>
          </w:pPr>
          <w:r w:rsidRPr="00097EFF">
            <w:rPr>
              <w:rFonts w:ascii="Times New Roman" w:hAnsi="Times New Roman" w:cs="Times New Roman"/>
              <w:i/>
              <w:color w:val="000000" w:themeColor="text1"/>
              <w:sz w:val="22"/>
              <w:szCs w:val="22"/>
            </w:rPr>
            <w:t>Spis treści</w:t>
          </w:r>
        </w:p>
        <w:p w:rsidR="00097EFF" w:rsidRPr="00097EFF" w:rsidRDefault="00B00E43">
          <w:pPr>
            <w:pStyle w:val="Spistreci2"/>
            <w:tabs>
              <w:tab w:val="left" w:pos="660"/>
              <w:tab w:val="right" w:leader="dot" w:pos="9062"/>
            </w:tabs>
            <w:rPr>
              <w:rFonts w:asciiTheme="minorHAnsi" w:eastAsiaTheme="minorEastAsia" w:hAnsiTheme="minorHAnsi" w:cstheme="minorBidi"/>
              <w:noProof/>
              <w:sz w:val="22"/>
              <w:szCs w:val="22"/>
              <w:lang w:eastAsia="pl-PL"/>
            </w:rPr>
          </w:pPr>
          <w:r w:rsidRPr="00097EFF">
            <w:rPr>
              <w:i/>
              <w:sz w:val="22"/>
              <w:szCs w:val="22"/>
            </w:rPr>
            <w:fldChar w:fldCharType="begin"/>
          </w:r>
          <w:r w:rsidRPr="00097EFF">
            <w:rPr>
              <w:i/>
              <w:sz w:val="22"/>
              <w:szCs w:val="22"/>
            </w:rPr>
            <w:instrText xml:space="preserve"> TOC \o "1-3" \h \z \u </w:instrText>
          </w:r>
          <w:r w:rsidRPr="00097EFF">
            <w:rPr>
              <w:i/>
              <w:sz w:val="22"/>
              <w:szCs w:val="22"/>
            </w:rPr>
            <w:fldChar w:fldCharType="separate"/>
          </w:r>
          <w:hyperlink w:anchor="_Toc452388428" w:history="1">
            <w:r w:rsidR="00097EFF" w:rsidRPr="00097EFF">
              <w:rPr>
                <w:rStyle w:val="Hipercze"/>
                <w:noProof/>
                <w:sz w:val="22"/>
                <w:szCs w:val="22"/>
              </w:rPr>
              <w:t>1.</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Informacje podstawowe dotyczące jednostki dominującej</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_Toc452388428 \h </w:instrText>
            </w:r>
            <w:r w:rsidR="00097EFF" w:rsidRPr="00097EFF">
              <w:rPr>
                <w:noProof/>
                <w:webHidden/>
                <w:sz w:val="22"/>
                <w:szCs w:val="22"/>
              </w:rPr>
            </w:r>
            <w:r w:rsidR="00097EFF" w:rsidRPr="00097EFF">
              <w:rPr>
                <w:noProof/>
                <w:webHidden/>
                <w:sz w:val="22"/>
                <w:szCs w:val="22"/>
              </w:rPr>
              <w:fldChar w:fldCharType="separate"/>
            </w:r>
            <w:r w:rsidR="00B66CBA">
              <w:rPr>
                <w:noProof/>
                <w:webHidden/>
                <w:sz w:val="22"/>
                <w:szCs w:val="22"/>
              </w:rPr>
              <w:t>3</w:t>
            </w:r>
            <w:r w:rsidR="00097EFF" w:rsidRPr="00097EFF">
              <w:rPr>
                <w:noProof/>
                <w:webHidden/>
                <w:sz w:val="22"/>
                <w:szCs w:val="22"/>
              </w:rPr>
              <w:fldChar w:fldCharType="end"/>
            </w:r>
          </w:hyperlink>
        </w:p>
        <w:p w:rsidR="00097EFF" w:rsidRPr="00097EFF" w:rsidRDefault="00B66CBA">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52388429" w:history="1">
            <w:r w:rsidR="00097EFF" w:rsidRPr="00097EFF">
              <w:rPr>
                <w:rStyle w:val="Hipercze"/>
                <w:noProof/>
                <w:sz w:val="22"/>
                <w:szCs w:val="22"/>
              </w:rPr>
              <w:t>2.</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Akcjonariusze jednostki dominującej</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_Toc452388429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3</w:t>
            </w:r>
            <w:r w:rsidR="00097EFF" w:rsidRPr="00097EFF">
              <w:rPr>
                <w:noProof/>
                <w:webHidden/>
                <w:sz w:val="22"/>
                <w:szCs w:val="22"/>
              </w:rPr>
              <w:fldChar w:fldCharType="end"/>
            </w:r>
          </w:hyperlink>
        </w:p>
        <w:p w:rsidR="00097EFF" w:rsidRPr="00097EFF" w:rsidRDefault="00B66CBA">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52388430" w:history="1">
            <w:r w:rsidR="00097EFF" w:rsidRPr="00097EFF">
              <w:rPr>
                <w:rStyle w:val="Hipercze"/>
                <w:noProof/>
                <w:sz w:val="22"/>
                <w:szCs w:val="22"/>
              </w:rPr>
              <w:t>3.</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Rada Nadzorcza i Zarząd</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_Toc452388430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5</w:t>
            </w:r>
            <w:r w:rsidR="00097EFF" w:rsidRPr="00097EFF">
              <w:rPr>
                <w:noProof/>
                <w:webHidden/>
                <w:sz w:val="22"/>
                <w:szCs w:val="22"/>
              </w:rPr>
              <w:fldChar w:fldCharType="end"/>
            </w:r>
          </w:hyperlink>
        </w:p>
        <w:p w:rsidR="00097EFF" w:rsidRPr="00097EFF" w:rsidRDefault="00B66CBA">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52388431" w:history="1">
            <w:r w:rsidR="00097EFF" w:rsidRPr="00097EFF">
              <w:rPr>
                <w:rStyle w:val="Hipercze"/>
                <w:noProof/>
                <w:sz w:val="22"/>
                <w:szCs w:val="22"/>
              </w:rPr>
              <w:t>4.</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Opis głównych rynków</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_Toc452388431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6</w:t>
            </w:r>
            <w:r w:rsidR="00097EFF" w:rsidRPr="00097EFF">
              <w:rPr>
                <w:noProof/>
                <w:webHidden/>
                <w:sz w:val="22"/>
                <w:szCs w:val="22"/>
              </w:rPr>
              <w:fldChar w:fldCharType="end"/>
            </w:r>
          </w:hyperlink>
        </w:p>
        <w:p w:rsidR="00097EFF" w:rsidRPr="00097EFF" w:rsidRDefault="00B66CBA">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52388432" w:history="1">
            <w:r w:rsidR="00097EFF" w:rsidRPr="00097EFF">
              <w:rPr>
                <w:rStyle w:val="Hipercze"/>
                <w:noProof/>
                <w:sz w:val="22"/>
                <w:szCs w:val="22"/>
              </w:rPr>
              <w:t>5.</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Opis organizacji Grupy Kapitałowej Emitenta wraz z opisem zmian  w organizacji Grupy Kapitałowej Emitenta oraz ich przyczyn.</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_Toc452388432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9</w:t>
            </w:r>
            <w:r w:rsidR="00097EFF" w:rsidRPr="00097EFF">
              <w:rPr>
                <w:noProof/>
                <w:webHidden/>
                <w:sz w:val="22"/>
                <w:szCs w:val="22"/>
              </w:rPr>
              <w:fldChar w:fldCharType="end"/>
            </w:r>
          </w:hyperlink>
        </w:p>
        <w:p w:rsidR="00097EFF" w:rsidRPr="00097EFF" w:rsidRDefault="00B66CBA">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52388433" w:history="1">
            <w:r w:rsidR="00097EFF" w:rsidRPr="00097EFF">
              <w:rPr>
                <w:rStyle w:val="Hipercze"/>
                <w:noProof/>
                <w:sz w:val="22"/>
                <w:szCs w:val="22"/>
              </w:rPr>
              <w:t>6.</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Ważniejsze zdarzenia mające znaczący wpływ na działalność oraz wyniki finansowe Grupy Kapitałowej i Emitenta w roku obrotowym lub w okresie do przekazania raportu finansowego oraz pod dacie bilansu</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_Toc452388433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15</w:t>
            </w:r>
            <w:r w:rsidR="00097EFF" w:rsidRPr="00097EFF">
              <w:rPr>
                <w:noProof/>
                <w:webHidden/>
                <w:sz w:val="22"/>
                <w:szCs w:val="22"/>
              </w:rPr>
              <w:fldChar w:fldCharType="end"/>
            </w:r>
          </w:hyperlink>
        </w:p>
        <w:p w:rsidR="00097EFF" w:rsidRPr="00097EFF" w:rsidRDefault="00B66CBA">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52388434" w:history="1">
            <w:r w:rsidR="00097EFF" w:rsidRPr="00097EFF">
              <w:rPr>
                <w:rStyle w:val="Hipercze"/>
                <w:noProof/>
                <w:sz w:val="22"/>
                <w:szCs w:val="22"/>
              </w:rPr>
              <w:t>7.</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Wybrane dane finansowe</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_Toc452388434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19</w:t>
            </w:r>
            <w:r w:rsidR="00097EFF" w:rsidRPr="00097EFF">
              <w:rPr>
                <w:noProof/>
                <w:webHidden/>
                <w:sz w:val="22"/>
                <w:szCs w:val="22"/>
              </w:rPr>
              <w:fldChar w:fldCharType="end"/>
            </w:r>
          </w:hyperlink>
        </w:p>
        <w:p w:rsidR="00097EFF" w:rsidRPr="00097EFF" w:rsidRDefault="00B66CBA">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52388435" w:history="1">
            <w:r w:rsidR="00097EFF" w:rsidRPr="00097EFF">
              <w:rPr>
                <w:rStyle w:val="Hipercze"/>
                <w:noProof/>
                <w:sz w:val="22"/>
                <w:szCs w:val="22"/>
              </w:rPr>
              <w:t>8.</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Przewidywany rozwój Grupy Kapitałowej Emitenta</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_Toc452388435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21</w:t>
            </w:r>
            <w:r w:rsidR="00097EFF" w:rsidRPr="00097EFF">
              <w:rPr>
                <w:noProof/>
                <w:webHidden/>
                <w:sz w:val="22"/>
                <w:szCs w:val="22"/>
              </w:rPr>
              <w:fldChar w:fldCharType="end"/>
            </w:r>
          </w:hyperlink>
        </w:p>
        <w:p w:rsidR="00097EFF" w:rsidRPr="00097EFF" w:rsidRDefault="00B66CBA">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52388436" w:history="1">
            <w:r w:rsidR="00097EFF" w:rsidRPr="00097EFF">
              <w:rPr>
                <w:rStyle w:val="Hipercze"/>
                <w:noProof/>
                <w:sz w:val="22"/>
                <w:szCs w:val="22"/>
              </w:rPr>
              <w:t>9.</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Uproszczona prezentacja głównych aktywów i zobowiązań Soho Development i FIZAN</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_Toc452388436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21</w:t>
            </w:r>
            <w:r w:rsidR="00097EFF" w:rsidRPr="00097EFF">
              <w:rPr>
                <w:noProof/>
                <w:webHidden/>
                <w:sz w:val="22"/>
                <w:szCs w:val="22"/>
              </w:rPr>
              <w:fldChar w:fldCharType="end"/>
            </w:r>
          </w:hyperlink>
        </w:p>
        <w:p w:rsidR="00097EFF" w:rsidRPr="00097EFF" w:rsidRDefault="00B66CBA">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52388437" w:history="1">
            <w:r w:rsidR="00097EFF" w:rsidRPr="00097EFF">
              <w:rPr>
                <w:rStyle w:val="Hipercze"/>
                <w:noProof/>
                <w:sz w:val="22"/>
                <w:szCs w:val="22"/>
              </w:rPr>
              <w:t>10.</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Informacje o udzielonych w danym półroczu obrotowym pożyczkach, ze szczególnym uwzględnieniem pożyczek udzielonych jednostkom powiązanym emitenta, z podaniem co najmniej ich kwoty, rodzaju i wysokości stopy procentowej, waluty i terminu wymagalności;</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_Toc452388437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23</w:t>
            </w:r>
            <w:r w:rsidR="00097EFF" w:rsidRPr="00097EFF">
              <w:rPr>
                <w:noProof/>
                <w:webHidden/>
                <w:sz w:val="22"/>
                <w:szCs w:val="22"/>
              </w:rPr>
              <w:fldChar w:fldCharType="end"/>
            </w:r>
          </w:hyperlink>
        </w:p>
        <w:p w:rsidR="00097EFF" w:rsidRPr="00097EFF" w:rsidRDefault="00B66CBA">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52388438" w:history="1">
            <w:r w:rsidR="00097EFF" w:rsidRPr="00097EFF">
              <w:rPr>
                <w:rStyle w:val="Hipercze"/>
                <w:noProof/>
                <w:sz w:val="22"/>
                <w:szCs w:val="22"/>
              </w:rPr>
              <w:t>11.</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Informacje o zaciągniętych i wypowiedzianych w danym okresie sprawozdawczym umowach dotyczących kredytów i pożyczek, z podaniem co najmniej ich kwoty, rodzaju i wysokości stopy procentowej, waluty i terminu wymagalności</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_Toc452388438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23</w:t>
            </w:r>
            <w:r w:rsidR="00097EFF" w:rsidRPr="00097EFF">
              <w:rPr>
                <w:noProof/>
                <w:webHidden/>
                <w:sz w:val="22"/>
                <w:szCs w:val="22"/>
              </w:rPr>
              <w:fldChar w:fldCharType="end"/>
            </w:r>
          </w:hyperlink>
        </w:p>
        <w:p w:rsidR="00097EFF" w:rsidRPr="00097EFF" w:rsidRDefault="00B66CBA">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52388439" w:history="1">
            <w:r w:rsidR="00097EFF" w:rsidRPr="00097EFF">
              <w:rPr>
                <w:rStyle w:val="Hipercze"/>
                <w:noProof/>
                <w:sz w:val="22"/>
                <w:szCs w:val="22"/>
              </w:rPr>
              <w:t>12.</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Objaśnienie różnic pomiędzy wynikami finansowymi wykazanymi w raporcie a wcześniej publikowanymi prognozami wyników na dany okres</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_Toc452388439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23</w:t>
            </w:r>
            <w:r w:rsidR="00097EFF" w:rsidRPr="00097EFF">
              <w:rPr>
                <w:noProof/>
                <w:webHidden/>
                <w:sz w:val="22"/>
                <w:szCs w:val="22"/>
              </w:rPr>
              <w:fldChar w:fldCharType="end"/>
            </w:r>
          </w:hyperlink>
        </w:p>
        <w:p w:rsidR="00097EFF" w:rsidRPr="00097EFF" w:rsidRDefault="00B66CBA">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52388440" w:history="1">
            <w:r w:rsidR="00097EFF" w:rsidRPr="00097EFF">
              <w:rPr>
                <w:rStyle w:val="Hipercze"/>
                <w:noProof/>
                <w:sz w:val="22"/>
                <w:szCs w:val="22"/>
              </w:rPr>
              <w:t>13.</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Instrumenty finansowe</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_Toc452388440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23</w:t>
            </w:r>
            <w:r w:rsidR="00097EFF" w:rsidRPr="00097EFF">
              <w:rPr>
                <w:noProof/>
                <w:webHidden/>
                <w:sz w:val="22"/>
                <w:szCs w:val="22"/>
              </w:rPr>
              <w:fldChar w:fldCharType="end"/>
            </w:r>
          </w:hyperlink>
        </w:p>
        <w:p w:rsidR="00097EFF" w:rsidRPr="00097EFF" w:rsidRDefault="00B66CBA">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52388441" w:history="1">
            <w:r w:rsidR="00097EFF" w:rsidRPr="00097EFF">
              <w:rPr>
                <w:rStyle w:val="Hipercze"/>
                <w:noProof/>
                <w:sz w:val="22"/>
                <w:szCs w:val="22"/>
              </w:rPr>
              <w:t>14.</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Stan pozostałych zobowiązań z tytułu gwarancji lub poręczeń na dzień bilansowy:</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_Toc452388441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23</w:t>
            </w:r>
            <w:r w:rsidR="00097EFF" w:rsidRPr="00097EFF">
              <w:rPr>
                <w:noProof/>
                <w:webHidden/>
                <w:sz w:val="22"/>
                <w:szCs w:val="22"/>
              </w:rPr>
              <w:fldChar w:fldCharType="end"/>
            </w:r>
          </w:hyperlink>
        </w:p>
        <w:p w:rsidR="00097EFF" w:rsidRPr="00097EFF" w:rsidRDefault="00B66CBA">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52388442" w:history="1">
            <w:r w:rsidR="00097EFF" w:rsidRPr="00097EFF">
              <w:rPr>
                <w:rStyle w:val="Hipercze"/>
                <w:noProof/>
                <w:sz w:val="22"/>
                <w:szCs w:val="22"/>
              </w:rPr>
              <w:t>15.</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Transakcje z podmiotami powiązanymi</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_Toc452388442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24</w:t>
            </w:r>
            <w:r w:rsidR="00097EFF" w:rsidRPr="00097EFF">
              <w:rPr>
                <w:noProof/>
                <w:webHidden/>
                <w:sz w:val="22"/>
                <w:szCs w:val="22"/>
              </w:rPr>
              <w:fldChar w:fldCharType="end"/>
            </w:r>
          </w:hyperlink>
        </w:p>
        <w:p w:rsidR="00097EFF" w:rsidRPr="00097EFF" w:rsidRDefault="00B66CBA">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52388443" w:history="1">
            <w:r w:rsidR="00097EFF" w:rsidRPr="00097EFF">
              <w:rPr>
                <w:rStyle w:val="Hipercze"/>
                <w:noProof/>
                <w:sz w:val="22"/>
                <w:szCs w:val="22"/>
              </w:rPr>
              <w:t>16.</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Sprawy sądowe</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_Toc452388443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24</w:t>
            </w:r>
            <w:r w:rsidR="00097EFF" w:rsidRPr="00097EFF">
              <w:rPr>
                <w:noProof/>
                <w:webHidden/>
                <w:sz w:val="22"/>
                <w:szCs w:val="22"/>
              </w:rPr>
              <w:fldChar w:fldCharType="end"/>
            </w:r>
          </w:hyperlink>
        </w:p>
        <w:p w:rsidR="00097EFF" w:rsidRPr="00097EFF" w:rsidRDefault="00B66CBA">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52388444" w:history="1">
            <w:r w:rsidR="00097EFF" w:rsidRPr="00097EFF">
              <w:rPr>
                <w:rStyle w:val="Hipercze"/>
                <w:noProof/>
                <w:sz w:val="22"/>
                <w:szCs w:val="22"/>
                <w:lang w:eastAsia="pl-PL"/>
              </w:rPr>
              <w:t>17.</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lang w:eastAsia="pl-PL"/>
              </w:rPr>
              <w:t>Wynagrodzenie biegłego rewidenta</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_Toc452388444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24</w:t>
            </w:r>
            <w:r w:rsidR="00097EFF" w:rsidRPr="00097EFF">
              <w:rPr>
                <w:noProof/>
                <w:webHidden/>
                <w:sz w:val="22"/>
                <w:szCs w:val="22"/>
              </w:rPr>
              <w:fldChar w:fldCharType="end"/>
            </w:r>
          </w:hyperlink>
        </w:p>
        <w:p w:rsidR="00097EFF" w:rsidRPr="00097EFF" w:rsidRDefault="00B66CBA">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52388445" w:history="1">
            <w:r w:rsidR="00097EFF" w:rsidRPr="00097EFF">
              <w:rPr>
                <w:rStyle w:val="Hipercze"/>
                <w:noProof/>
                <w:sz w:val="22"/>
                <w:szCs w:val="22"/>
              </w:rPr>
              <w:t>18.</w:t>
            </w:r>
            <w:r w:rsidR="00097EFF" w:rsidRPr="00097EFF">
              <w:rPr>
                <w:rFonts w:asciiTheme="minorHAnsi" w:eastAsiaTheme="minorEastAsia" w:hAnsiTheme="minorHAnsi" w:cstheme="minorBidi"/>
                <w:noProof/>
                <w:sz w:val="22"/>
                <w:szCs w:val="22"/>
                <w:lang w:eastAsia="pl-PL"/>
              </w:rPr>
              <w:tab/>
            </w:r>
            <w:r w:rsidR="00097EFF" w:rsidRPr="00097EFF">
              <w:rPr>
                <w:rStyle w:val="Hipercze"/>
                <w:noProof/>
                <w:sz w:val="22"/>
                <w:szCs w:val="22"/>
              </w:rPr>
              <w:t>Oświadczenia Zarządu</w:t>
            </w:r>
            <w:r w:rsidR="00097EFF" w:rsidRPr="00097EFF">
              <w:rPr>
                <w:noProof/>
                <w:webHidden/>
                <w:sz w:val="22"/>
                <w:szCs w:val="22"/>
              </w:rPr>
              <w:tab/>
            </w:r>
            <w:r w:rsidR="00097EFF" w:rsidRPr="00097EFF">
              <w:rPr>
                <w:noProof/>
                <w:webHidden/>
                <w:sz w:val="22"/>
                <w:szCs w:val="22"/>
              </w:rPr>
              <w:fldChar w:fldCharType="begin"/>
            </w:r>
            <w:r w:rsidR="00097EFF" w:rsidRPr="00097EFF">
              <w:rPr>
                <w:noProof/>
                <w:webHidden/>
                <w:sz w:val="22"/>
                <w:szCs w:val="22"/>
              </w:rPr>
              <w:instrText xml:space="preserve"> PAGEREF _Toc452388445 \h </w:instrText>
            </w:r>
            <w:r w:rsidR="00097EFF" w:rsidRPr="00097EFF">
              <w:rPr>
                <w:noProof/>
                <w:webHidden/>
                <w:sz w:val="22"/>
                <w:szCs w:val="22"/>
              </w:rPr>
            </w:r>
            <w:r w:rsidR="00097EFF" w:rsidRPr="00097EFF">
              <w:rPr>
                <w:noProof/>
                <w:webHidden/>
                <w:sz w:val="22"/>
                <w:szCs w:val="22"/>
              </w:rPr>
              <w:fldChar w:fldCharType="separate"/>
            </w:r>
            <w:r>
              <w:rPr>
                <w:noProof/>
                <w:webHidden/>
                <w:sz w:val="22"/>
                <w:szCs w:val="22"/>
              </w:rPr>
              <w:t>25</w:t>
            </w:r>
            <w:r w:rsidR="00097EFF" w:rsidRPr="00097EFF">
              <w:rPr>
                <w:noProof/>
                <w:webHidden/>
                <w:sz w:val="22"/>
                <w:szCs w:val="22"/>
              </w:rPr>
              <w:fldChar w:fldCharType="end"/>
            </w:r>
          </w:hyperlink>
        </w:p>
        <w:p w:rsidR="00B00E43" w:rsidRPr="004E486E" w:rsidRDefault="00B00E43" w:rsidP="008A248D">
          <w:pPr>
            <w:rPr>
              <w:sz w:val="22"/>
              <w:szCs w:val="22"/>
            </w:rPr>
          </w:pPr>
          <w:r w:rsidRPr="00097EFF">
            <w:rPr>
              <w:b/>
              <w:bCs/>
              <w:i/>
              <w:sz w:val="22"/>
              <w:szCs w:val="22"/>
            </w:rPr>
            <w:fldChar w:fldCharType="end"/>
          </w:r>
        </w:p>
      </w:sdtContent>
    </w:sdt>
    <w:p w:rsidR="004100A3" w:rsidRDefault="004100A3">
      <w:pPr>
        <w:rPr>
          <w:rFonts w:eastAsiaTheme="majorEastAsia"/>
          <w:b/>
          <w:bCs/>
          <w:sz w:val="28"/>
          <w:szCs w:val="26"/>
        </w:rPr>
      </w:pPr>
      <w:bookmarkStart w:id="1" w:name="_Toc201466303"/>
      <w:r>
        <w:br w:type="page"/>
      </w:r>
    </w:p>
    <w:p w:rsidR="00B00E43" w:rsidRPr="008A248D" w:rsidRDefault="00B00E43" w:rsidP="004F35C2">
      <w:pPr>
        <w:pStyle w:val="Nagwek2"/>
        <w:numPr>
          <w:ilvl w:val="0"/>
          <w:numId w:val="5"/>
        </w:numPr>
        <w:rPr>
          <w:rFonts w:cs="Times New Roman"/>
        </w:rPr>
      </w:pPr>
      <w:bookmarkStart w:id="2" w:name="_Toc452388428"/>
      <w:r w:rsidRPr="000E22EB">
        <w:rPr>
          <w:rFonts w:cs="Times New Roman"/>
        </w:rPr>
        <w:lastRenderedPageBreak/>
        <w:t>Informacje podstawowe dotyczące jednostki dominującej</w:t>
      </w:r>
      <w:bookmarkEnd w:id="2"/>
    </w:p>
    <w:p w:rsidR="00B00E43" w:rsidRPr="000E22EB" w:rsidRDefault="00B00E43" w:rsidP="008A248D">
      <w:pPr>
        <w:rPr>
          <w:lang w:eastAsia="pl-PL"/>
        </w:rPr>
      </w:pPr>
    </w:p>
    <w:bookmarkEnd w:id="1"/>
    <w:p w:rsidR="00FC1D2E" w:rsidRDefault="00270210" w:rsidP="00FC1D2E">
      <w:pPr>
        <w:pStyle w:val="StylTekstpodstawowyWyjustowany"/>
        <w:rPr>
          <w:lang w:eastAsia="en-US"/>
        </w:rPr>
      </w:pPr>
      <w:r>
        <w:rPr>
          <w:b/>
        </w:rPr>
        <w:t>Soho Development S.A. (</w:t>
      </w:r>
      <w:r w:rsidR="00FC1D2E" w:rsidRPr="00DC3970">
        <w:rPr>
          <w:b/>
        </w:rPr>
        <w:t>dalej „</w:t>
      </w:r>
      <w:r>
        <w:rPr>
          <w:b/>
        </w:rPr>
        <w:t>Emitent</w:t>
      </w:r>
      <w:r w:rsidR="00FC1D2E" w:rsidRPr="00DC3970">
        <w:rPr>
          <w:b/>
        </w:rPr>
        <w:t>” lub „</w:t>
      </w:r>
      <w:r>
        <w:rPr>
          <w:b/>
        </w:rPr>
        <w:t xml:space="preserve">Soho </w:t>
      </w:r>
      <w:r w:rsidR="008D2D3A">
        <w:rPr>
          <w:b/>
        </w:rPr>
        <w:t>Development</w:t>
      </w:r>
      <w:r w:rsidR="008D2D3A" w:rsidRPr="00DC3970">
        <w:rPr>
          <w:b/>
        </w:rPr>
        <w:t>”</w:t>
      </w:r>
      <w:r w:rsidR="008D2D3A">
        <w:rPr>
          <w:b/>
        </w:rPr>
        <w:t xml:space="preserve">) </w:t>
      </w:r>
      <w:r w:rsidR="00FC1D2E" w:rsidRPr="00DC3970">
        <w:rPr>
          <w:lang w:eastAsia="en-US"/>
        </w:rPr>
        <w:t xml:space="preserve">prowadzi działalność </w:t>
      </w:r>
      <w:r w:rsidR="00F27133">
        <w:rPr>
          <w:lang w:eastAsia="en-US"/>
        </w:rPr>
        <w:br/>
      </w:r>
      <w:r w:rsidR="00FC1D2E" w:rsidRPr="00DC3970">
        <w:rPr>
          <w:lang w:eastAsia="en-US"/>
        </w:rPr>
        <w:t xml:space="preserve">na terytorium Rzeczypospolitej Polskiej i na dzień </w:t>
      </w:r>
      <w:r w:rsidR="0067619F">
        <w:rPr>
          <w:lang w:eastAsia="en-US"/>
        </w:rPr>
        <w:t>31 marca 2016</w:t>
      </w:r>
      <w:r w:rsidR="00FC1D2E" w:rsidRPr="00DC3970">
        <w:rPr>
          <w:lang w:eastAsia="en-US"/>
        </w:rPr>
        <w:t xml:space="preserve"> r. miał swoją siedzibę przy </w:t>
      </w:r>
      <w:r w:rsidR="00F27133">
        <w:rPr>
          <w:lang w:eastAsia="en-US"/>
        </w:rPr>
        <w:br/>
      </w:r>
      <w:r w:rsidR="00FC1D2E" w:rsidRPr="00DC3970">
        <w:rPr>
          <w:lang w:eastAsia="en-US"/>
        </w:rPr>
        <w:t xml:space="preserve">ul. Mińskiej 25, kod </w:t>
      </w:r>
      <w:r w:rsidR="00FC1D2E">
        <w:rPr>
          <w:lang w:eastAsia="en-US"/>
        </w:rPr>
        <w:t xml:space="preserve">pocztowy </w:t>
      </w:r>
      <w:r w:rsidR="00FC1D2E" w:rsidRPr="00DC3970">
        <w:rPr>
          <w:lang w:eastAsia="en-US"/>
        </w:rPr>
        <w:t>03-808, Warszawa.</w:t>
      </w:r>
    </w:p>
    <w:p w:rsidR="004F7681" w:rsidRDefault="004F7681" w:rsidP="00FC1D2E">
      <w:pPr>
        <w:pStyle w:val="StylTekstpodstawowyWyjustowany"/>
      </w:pPr>
    </w:p>
    <w:p w:rsidR="004100A3" w:rsidRPr="00DC3970" w:rsidRDefault="004100A3" w:rsidP="00FC1D2E">
      <w:pPr>
        <w:pStyle w:val="StylTekstpodstawowyWyjustowany"/>
        <w:rPr>
          <w:lang w:eastAsia="en-US"/>
        </w:rPr>
      </w:pPr>
    </w:p>
    <w:p w:rsidR="004100A3" w:rsidRDefault="004100A3" w:rsidP="004100A3">
      <w:pPr>
        <w:pStyle w:val="StylTekstpodstawowyWyjustowany"/>
      </w:pPr>
      <w:r>
        <w:t xml:space="preserve">Na </w:t>
      </w:r>
      <w:r w:rsidR="008D2D3A">
        <w:t>dzień 31 marca</w:t>
      </w:r>
      <w:r w:rsidR="0067619F">
        <w:rPr>
          <w:lang w:eastAsia="en-US"/>
        </w:rPr>
        <w:t xml:space="preserve"> 2016</w:t>
      </w:r>
      <w:r w:rsidR="0067619F" w:rsidRPr="00DC3970">
        <w:rPr>
          <w:lang w:eastAsia="en-US"/>
        </w:rPr>
        <w:t xml:space="preserve"> </w:t>
      </w:r>
      <w:r>
        <w:t>roku kapitał zakładowy Emitenta wynosił 11 133 365,00 zł. i dzielił się na:</w:t>
      </w:r>
    </w:p>
    <w:p w:rsidR="004100A3" w:rsidRDefault="004100A3" w:rsidP="004100A3">
      <w:pPr>
        <w:pStyle w:val="StylTekstpodstawowyWyjustowany"/>
      </w:pPr>
      <w:r>
        <w:t xml:space="preserve"> - 2 134 307 akcji zwykłych na okaziciela serii A od numeru 00.000.001 do numeru 02.134.307 </w:t>
      </w:r>
      <w:r w:rsidR="00F27133">
        <w:br/>
      </w:r>
      <w:r>
        <w:t>o wartości nominalnej po 0,10 każda</w:t>
      </w:r>
      <w:r w:rsidR="00F27133">
        <w:t>,</w:t>
      </w:r>
      <w:r>
        <w:t xml:space="preserve"> </w:t>
      </w:r>
    </w:p>
    <w:p w:rsidR="004100A3" w:rsidRDefault="004100A3" w:rsidP="004100A3">
      <w:pPr>
        <w:pStyle w:val="StylTekstpodstawowyWyjustowany"/>
      </w:pPr>
      <w:r>
        <w:t xml:space="preserve">- 31 323 050 akcji zwykłych na okaziciela serii B od numeru 00.000.001 do numeru 31.323.050 </w:t>
      </w:r>
      <w:r w:rsidR="00F27133">
        <w:br/>
      </w:r>
      <w:r>
        <w:t>o wartości nominalnej po 0,10 każda</w:t>
      </w:r>
      <w:r w:rsidR="00F27133">
        <w:t>,</w:t>
      </w:r>
      <w:r>
        <w:t xml:space="preserve"> </w:t>
      </w:r>
    </w:p>
    <w:p w:rsidR="004100A3" w:rsidRDefault="004100A3" w:rsidP="004100A3">
      <w:pPr>
        <w:pStyle w:val="StylTekstpodstawowyWyjustowany"/>
      </w:pPr>
      <w:r>
        <w:t xml:space="preserve">- 30 651 748 akcji zwykłych na okaziciela serii C od numeru 00.000.001 do numeru 30.651.748 </w:t>
      </w:r>
      <w:r w:rsidR="00F27133">
        <w:br/>
      </w:r>
      <w:r>
        <w:t>o wartości nominalnej po 0,10 każda</w:t>
      </w:r>
      <w:r w:rsidR="00F27133">
        <w:t>,</w:t>
      </w:r>
      <w:r>
        <w:t xml:space="preserve"> </w:t>
      </w:r>
    </w:p>
    <w:p w:rsidR="004100A3" w:rsidRDefault="004100A3" w:rsidP="004100A3">
      <w:pPr>
        <w:pStyle w:val="StylTekstpodstawowyWyjustowany"/>
      </w:pPr>
      <w:r>
        <w:t>- 6 047 121 akcji zwykłych na okaziciela serii D od</w:t>
      </w:r>
      <w:r w:rsidR="00F27133">
        <w:t xml:space="preserve"> numeru 00.000.001 do numeru 06.047.</w:t>
      </w:r>
      <w:r>
        <w:t xml:space="preserve">121 </w:t>
      </w:r>
      <w:r w:rsidR="00F27133">
        <w:br/>
      </w:r>
      <w:r>
        <w:t>o wartości nominalnej po 0</w:t>
      </w:r>
      <w:r w:rsidR="00F27133">
        <w:t>,10 każda,</w:t>
      </w:r>
    </w:p>
    <w:p w:rsidR="009460C0" w:rsidRDefault="004100A3" w:rsidP="004100A3">
      <w:pPr>
        <w:pStyle w:val="StylTekstpodstawowyWyjustowany"/>
      </w:pPr>
      <w:r>
        <w:t>- 41 177 424 akcji zwykłych na okaziciela serii E od numeru 00.000.001 do numeru 41.177.424 wartości nominalnej po 0,10 zł.</w:t>
      </w:r>
    </w:p>
    <w:p w:rsidR="004100A3" w:rsidRPr="004100A3" w:rsidRDefault="004100A3" w:rsidP="004100A3">
      <w:pPr>
        <w:pStyle w:val="StylTekstpodstawowyWyjustowany"/>
      </w:pPr>
    </w:p>
    <w:p w:rsidR="00FC1D2E" w:rsidRDefault="00CE1BFB" w:rsidP="00FC1D2E">
      <w:pPr>
        <w:pStyle w:val="StylTekstpodstawowyWyjustowany"/>
        <w:rPr>
          <w:b/>
        </w:rPr>
      </w:pPr>
      <w:r>
        <w:rPr>
          <w:b/>
        </w:rPr>
        <w:t>Przedmiot działalności Emitenta</w:t>
      </w:r>
      <w:r w:rsidR="00FC1D2E" w:rsidRPr="00677DEB">
        <w:rPr>
          <w:b/>
        </w:rPr>
        <w:t>:</w:t>
      </w:r>
    </w:p>
    <w:p w:rsidR="00DD7D49" w:rsidRDefault="00DD7D49" w:rsidP="00FC1D2E">
      <w:pPr>
        <w:pStyle w:val="StylTekstpodstawowyWyjustowany"/>
        <w:rPr>
          <w:b/>
        </w:rPr>
      </w:pPr>
    </w:p>
    <w:p w:rsidR="000B087D" w:rsidRPr="00DF5947" w:rsidRDefault="000B087D" w:rsidP="000B087D">
      <w:pPr>
        <w:pStyle w:val="StylTekstpodstawowyWyjustowany"/>
        <w:numPr>
          <w:ilvl w:val="0"/>
          <w:numId w:val="37"/>
        </w:numPr>
        <w:shd w:val="clear" w:color="auto" w:fill="FFFFFF"/>
      </w:pPr>
      <w:r w:rsidRPr="00DF5947">
        <w:t xml:space="preserve">realizacja projektów budowlanych w segmencie mieszkaniowym i komercyjnym; </w:t>
      </w:r>
    </w:p>
    <w:p w:rsidR="000B087D" w:rsidRPr="00DF5947" w:rsidRDefault="000B087D" w:rsidP="000B087D">
      <w:pPr>
        <w:pStyle w:val="StylTekstpodstawowyWyjustowany"/>
        <w:numPr>
          <w:ilvl w:val="0"/>
          <w:numId w:val="37"/>
        </w:numPr>
        <w:shd w:val="clear" w:color="auto" w:fill="FFFFFF"/>
      </w:pPr>
      <w:r w:rsidRPr="00DF5947">
        <w:t xml:space="preserve">zarządzanie realizacją projektów deweloperskich; </w:t>
      </w:r>
      <w:r w:rsidRPr="00DF5947">
        <w:tab/>
      </w:r>
    </w:p>
    <w:p w:rsidR="000B087D" w:rsidRPr="00DF5947" w:rsidRDefault="000B087D" w:rsidP="000B087D">
      <w:pPr>
        <w:pStyle w:val="StylTekstpodstawowyWyjustowany"/>
        <w:numPr>
          <w:ilvl w:val="0"/>
          <w:numId w:val="37"/>
        </w:numPr>
        <w:shd w:val="clear" w:color="auto" w:fill="FFFFFF"/>
      </w:pPr>
      <w:r w:rsidRPr="00DF5947">
        <w:t xml:space="preserve">kupno i sprzedaż nieruchomości na własny rachunek; </w:t>
      </w:r>
      <w:r w:rsidRPr="00DF5947">
        <w:tab/>
      </w:r>
    </w:p>
    <w:p w:rsidR="000B087D" w:rsidRPr="000D3C5F" w:rsidRDefault="000B087D" w:rsidP="000B087D">
      <w:pPr>
        <w:pStyle w:val="StylTekstpodstawowyWyjustowany"/>
        <w:numPr>
          <w:ilvl w:val="0"/>
          <w:numId w:val="37"/>
        </w:numPr>
        <w:shd w:val="clear" w:color="auto" w:fill="FFFFFF"/>
        <w:ind w:left="426" w:hanging="76"/>
      </w:pPr>
      <w:r w:rsidRPr="00DF5947">
        <w:t>wynajem i zarządzanie nieruchomościami własnymi lub dzierżawion</w:t>
      </w:r>
      <w:r>
        <w:t>ymi</w:t>
      </w:r>
      <w:r w:rsidRPr="000D3C5F">
        <w:t>.</w:t>
      </w:r>
    </w:p>
    <w:p w:rsidR="000B087D" w:rsidRDefault="000B087D" w:rsidP="000B087D">
      <w:pPr>
        <w:pStyle w:val="StylTekstpodstawowyWyjustowany"/>
        <w:shd w:val="clear" w:color="auto" w:fill="FFFFFF"/>
        <w:ind w:left="207"/>
      </w:pPr>
    </w:p>
    <w:p w:rsidR="000B087D" w:rsidRDefault="000B087D" w:rsidP="000B087D">
      <w:pPr>
        <w:pStyle w:val="StylTekstpodstawowyWyjustowany"/>
        <w:shd w:val="clear" w:color="auto" w:fill="FFFFFF"/>
        <w:ind w:left="207"/>
      </w:pPr>
      <w:r>
        <w:t>Jako działalność uboczną Emitent prowadzi działalność w obszarach:</w:t>
      </w:r>
    </w:p>
    <w:p w:rsidR="000B087D" w:rsidRPr="000B1C8E" w:rsidRDefault="000B087D" w:rsidP="000B087D">
      <w:pPr>
        <w:pStyle w:val="StylTekstpodstawowyWyjustowany"/>
        <w:numPr>
          <w:ilvl w:val="0"/>
          <w:numId w:val="37"/>
        </w:numPr>
        <w:shd w:val="clear" w:color="auto" w:fill="FFFFFF"/>
      </w:pPr>
      <w:r w:rsidRPr="000B1C8E">
        <w:t xml:space="preserve">nabywanie bądź obejmowanie udziałów, akcji oraz innych papierów wartościowych podmiotów zarejestrowanych i działających w Polsce, </w:t>
      </w:r>
      <w:r w:rsidRPr="000B1C8E">
        <w:tab/>
      </w:r>
    </w:p>
    <w:p w:rsidR="000B087D" w:rsidRPr="000B1C8E" w:rsidRDefault="000B087D" w:rsidP="000B087D">
      <w:pPr>
        <w:pStyle w:val="StylTekstpodstawowyWyjustowany"/>
        <w:numPr>
          <w:ilvl w:val="0"/>
          <w:numId w:val="37"/>
        </w:numPr>
        <w:shd w:val="clear" w:color="auto" w:fill="FFFFFF"/>
      </w:pPr>
      <w:r w:rsidRPr="000B1C8E">
        <w:t xml:space="preserve">wykonywanie praw z akcji, udziałów i innych papierów wartościowych, </w:t>
      </w:r>
      <w:r w:rsidRPr="000B1C8E">
        <w:tab/>
      </w:r>
    </w:p>
    <w:p w:rsidR="000B087D" w:rsidRPr="000B1C8E" w:rsidRDefault="000B087D" w:rsidP="000B087D">
      <w:pPr>
        <w:pStyle w:val="StylTekstpodstawowyWyjustowany"/>
        <w:numPr>
          <w:ilvl w:val="0"/>
          <w:numId w:val="37"/>
        </w:numPr>
        <w:shd w:val="clear" w:color="auto" w:fill="FFFFFF"/>
      </w:pPr>
      <w:r w:rsidRPr="000B1C8E">
        <w:t>rozporządzanie nabytymi akcjami, udziałami i innymi papierami wartościowymi,</w:t>
      </w:r>
    </w:p>
    <w:p w:rsidR="000B087D" w:rsidRPr="00DF5947" w:rsidRDefault="000B087D" w:rsidP="000B087D">
      <w:pPr>
        <w:pStyle w:val="StylTekstpodstawowyWyjustowany"/>
        <w:numPr>
          <w:ilvl w:val="0"/>
          <w:numId w:val="37"/>
        </w:numPr>
        <w:shd w:val="clear" w:color="auto" w:fill="FFFFFF"/>
        <w:rPr>
          <w:bCs/>
        </w:rPr>
      </w:pPr>
      <w:r w:rsidRPr="000B1C8E">
        <w:t>udzielenie pożyczek spółkom i innym podmiotom zarejestrowanym i działającym w Polsce,</w:t>
      </w:r>
      <w:r w:rsidRPr="00DF5947">
        <w:rPr>
          <w:bCs/>
        </w:rPr>
        <w:t xml:space="preserve"> </w:t>
      </w:r>
    </w:p>
    <w:p w:rsidR="000B087D" w:rsidRPr="000B087D" w:rsidRDefault="000B087D" w:rsidP="000B087D">
      <w:pPr>
        <w:pStyle w:val="StylTekstpodstawowyWyjustowany"/>
        <w:shd w:val="clear" w:color="auto" w:fill="FFFFFF"/>
        <w:tabs>
          <w:tab w:val="left" w:pos="709"/>
        </w:tabs>
        <w:ind w:left="709" w:hanging="425"/>
      </w:pPr>
      <w:r>
        <w:rPr>
          <w:bCs/>
        </w:rPr>
        <w:tab/>
      </w:r>
      <w:r w:rsidRPr="00DF5947">
        <w:rPr>
          <w:bCs/>
        </w:rPr>
        <w:t>zaciąganie pożyczek i kredytów dla celów Spółki</w:t>
      </w:r>
      <w:r>
        <w:rPr>
          <w:bCs/>
        </w:rPr>
        <w:t>.</w:t>
      </w:r>
    </w:p>
    <w:p w:rsidR="00DD7D49" w:rsidRPr="00677DEB" w:rsidRDefault="00DD7D49" w:rsidP="000B087D">
      <w:pPr>
        <w:pStyle w:val="StylTekstpodstawowyWyjustowany"/>
        <w:shd w:val="clear" w:color="auto" w:fill="FFFFFF"/>
        <w:tabs>
          <w:tab w:val="left" w:pos="709"/>
        </w:tabs>
        <w:ind w:left="709" w:hanging="425"/>
        <w:rPr>
          <w:b/>
        </w:rPr>
      </w:pPr>
    </w:p>
    <w:p w:rsidR="00337B6F" w:rsidRDefault="00215AA4" w:rsidP="004F35C2">
      <w:pPr>
        <w:pStyle w:val="Nagwek2"/>
        <w:numPr>
          <w:ilvl w:val="0"/>
          <w:numId w:val="5"/>
        </w:numPr>
        <w:rPr>
          <w:rFonts w:cs="Times New Roman"/>
        </w:rPr>
      </w:pPr>
      <w:bookmarkStart w:id="3" w:name="_Toc452388429"/>
      <w:r w:rsidRPr="000E22EB">
        <w:rPr>
          <w:rFonts w:cs="Times New Roman"/>
        </w:rPr>
        <w:t>Akcjonariusze jednostki dominującej</w:t>
      </w:r>
      <w:bookmarkEnd w:id="3"/>
    </w:p>
    <w:p w:rsidR="00A77B46" w:rsidRDefault="00A77B46" w:rsidP="00A77B46"/>
    <w:p w:rsidR="006F0D6D" w:rsidRPr="006F0D6D" w:rsidRDefault="006F0D6D" w:rsidP="006F0D6D">
      <w:pPr>
        <w:spacing w:line="276" w:lineRule="auto"/>
        <w:jc w:val="both"/>
        <w:rPr>
          <w:b/>
          <w:bCs/>
          <w:i/>
          <w:iCs/>
          <w:sz w:val="22"/>
          <w:szCs w:val="22"/>
        </w:rPr>
      </w:pPr>
      <w:r w:rsidRPr="006F0D6D">
        <w:rPr>
          <w:b/>
          <w:bCs/>
          <w:i/>
          <w:iCs/>
          <w:sz w:val="22"/>
          <w:szCs w:val="22"/>
        </w:rPr>
        <w:t xml:space="preserve">Wykaz akcjonariuszy posiadających co najmniej 5% na WZ </w:t>
      </w:r>
      <w:r w:rsidR="00A77B46">
        <w:rPr>
          <w:b/>
          <w:bCs/>
          <w:i/>
          <w:iCs/>
          <w:sz w:val="22"/>
          <w:szCs w:val="22"/>
        </w:rPr>
        <w:t>Soho Developm</w:t>
      </w:r>
      <w:r w:rsidR="00DD7D49">
        <w:rPr>
          <w:b/>
          <w:bCs/>
          <w:i/>
          <w:iCs/>
          <w:sz w:val="22"/>
          <w:szCs w:val="22"/>
        </w:rPr>
        <w:t>e</w:t>
      </w:r>
      <w:r w:rsidR="00A77B46">
        <w:rPr>
          <w:b/>
          <w:bCs/>
          <w:i/>
          <w:iCs/>
          <w:sz w:val="22"/>
          <w:szCs w:val="22"/>
        </w:rPr>
        <w:t>nt</w:t>
      </w:r>
      <w:r w:rsidRPr="006F0D6D">
        <w:rPr>
          <w:b/>
          <w:bCs/>
          <w:i/>
          <w:iCs/>
          <w:sz w:val="22"/>
          <w:szCs w:val="22"/>
        </w:rPr>
        <w:t xml:space="preserve"> na dzień przekaz</w:t>
      </w:r>
      <w:r w:rsidR="00A77B46">
        <w:rPr>
          <w:b/>
          <w:bCs/>
          <w:i/>
          <w:iCs/>
          <w:sz w:val="22"/>
          <w:szCs w:val="22"/>
        </w:rPr>
        <w:t xml:space="preserve">ania sprawozdania finansowego </w:t>
      </w:r>
    </w:p>
    <w:p w:rsidR="006F0D6D" w:rsidRPr="006F0D6D" w:rsidRDefault="006F0D6D" w:rsidP="006F0D6D">
      <w:pPr>
        <w:rPr>
          <w:i/>
          <w:iCs/>
          <w:sz w:val="22"/>
          <w:szCs w:val="22"/>
        </w:rPr>
      </w:pPr>
    </w:p>
    <w:p w:rsidR="006F0D6D" w:rsidRDefault="006F0D6D" w:rsidP="006F0D6D">
      <w:pPr>
        <w:pBdr>
          <w:left w:val="single" w:sz="4" w:space="0" w:color="FFFFFF"/>
        </w:pBdr>
        <w:jc w:val="both"/>
        <w:rPr>
          <w:sz w:val="22"/>
          <w:szCs w:val="22"/>
        </w:rPr>
      </w:pPr>
      <w:r w:rsidRPr="006F0D6D">
        <w:rPr>
          <w:sz w:val="22"/>
          <w:szCs w:val="22"/>
        </w:rPr>
        <w:t xml:space="preserve">Zgodnie z zawiadomieniami otrzymanymi przez </w:t>
      </w:r>
      <w:r w:rsidR="00C602DA">
        <w:rPr>
          <w:sz w:val="22"/>
          <w:szCs w:val="22"/>
        </w:rPr>
        <w:t>Soho Development</w:t>
      </w:r>
      <w:r w:rsidRPr="006F0D6D">
        <w:rPr>
          <w:sz w:val="22"/>
          <w:szCs w:val="22"/>
        </w:rPr>
        <w:t xml:space="preserve"> S.A. w trybie ustawy o ofercie publicznej</w:t>
      </w:r>
      <w:r w:rsidRPr="006F0D6D">
        <w:rPr>
          <w:vanish/>
          <w:sz w:val="22"/>
          <w:szCs w:val="22"/>
        </w:rPr>
        <w:t xml:space="preserve"> </w:t>
      </w:r>
      <w:r w:rsidRPr="006F0D6D">
        <w:rPr>
          <w:sz w:val="22"/>
          <w:szCs w:val="22"/>
        </w:rPr>
        <w:t xml:space="preserve"> akcjonariuszami posiadającymi </w:t>
      </w:r>
      <w:r w:rsidRPr="00F27133">
        <w:rPr>
          <w:sz w:val="22"/>
          <w:szCs w:val="22"/>
        </w:rPr>
        <w:t>ponad 5%</w:t>
      </w:r>
      <w:r w:rsidRPr="006F0D6D">
        <w:rPr>
          <w:sz w:val="22"/>
          <w:szCs w:val="22"/>
        </w:rPr>
        <w:t xml:space="preserve"> głosów na Walnym Zgromadzeniu </w:t>
      </w:r>
      <w:r w:rsidR="00C602DA">
        <w:rPr>
          <w:sz w:val="22"/>
          <w:szCs w:val="22"/>
        </w:rPr>
        <w:t>Soho Development S</w:t>
      </w:r>
      <w:r w:rsidRPr="006F0D6D">
        <w:rPr>
          <w:sz w:val="22"/>
          <w:szCs w:val="22"/>
        </w:rPr>
        <w:t>.</w:t>
      </w:r>
      <w:r w:rsidR="00C602DA">
        <w:rPr>
          <w:sz w:val="22"/>
          <w:szCs w:val="22"/>
        </w:rPr>
        <w:t>A.</w:t>
      </w:r>
      <w:r w:rsidRPr="006F0D6D">
        <w:rPr>
          <w:sz w:val="22"/>
          <w:szCs w:val="22"/>
        </w:rPr>
        <w:t xml:space="preserve"> były następujące podmioty: </w:t>
      </w:r>
    </w:p>
    <w:p w:rsidR="008E714A" w:rsidRDefault="008E714A">
      <w:pPr>
        <w:rPr>
          <w:sz w:val="22"/>
          <w:szCs w:val="22"/>
        </w:rPr>
      </w:pPr>
      <w:r>
        <w:rPr>
          <w:sz w:val="22"/>
          <w:szCs w:val="22"/>
        </w:rPr>
        <w:br w:type="page"/>
      </w:r>
    </w:p>
    <w:p w:rsidR="0067619F" w:rsidRPr="0062702D" w:rsidRDefault="0067619F" w:rsidP="0067619F">
      <w:pPr>
        <w:pBdr>
          <w:left w:val="single" w:sz="4" w:space="0" w:color="FFFFFF"/>
        </w:pBdr>
        <w:jc w:val="both"/>
        <w:rPr>
          <w:sz w:val="22"/>
          <w:szCs w:val="22"/>
          <w:highlight w:val="cyan"/>
        </w:rPr>
      </w:pPr>
    </w:p>
    <w:tbl>
      <w:tblPr>
        <w:tblW w:w="9371" w:type="dxa"/>
        <w:tblInd w:w="55" w:type="dxa"/>
        <w:tblCellMar>
          <w:left w:w="70" w:type="dxa"/>
          <w:right w:w="70" w:type="dxa"/>
        </w:tblCellMar>
        <w:tblLook w:val="04A0" w:firstRow="1" w:lastRow="0" w:firstColumn="1" w:lastColumn="0" w:noHBand="0" w:noVBand="1"/>
      </w:tblPr>
      <w:tblGrid>
        <w:gridCol w:w="724"/>
        <w:gridCol w:w="2126"/>
        <w:gridCol w:w="1701"/>
        <w:gridCol w:w="1560"/>
        <w:gridCol w:w="1559"/>
        <w:gridCol w:w="1701"/>
      </w:tblGrid>
      <w:tr w:rsidR="0067619F" w:rsidRPr="00865710" w:rsidTr="0067619F">
        <w:trPr>
          <w:trHeight w:val="435"/>
          <w:tblHeader/>
        </w:trPr>
        <w:tc>
          <w:tcPr>
            <w:tcW w:w="724"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7619F" w:rsidRPr="00865710" w:rsidRDefault="0067619F" w:rsidP="0067619F">
            <w:pPr>
              <w:jc w:val="center"/>
              <w:rPr>
                <w:b/>
                <w:bCs/>
                <w:sz w:val="16"/>
                <w:szCs w:val="16"/>
              </w:rPr>
            </w:pPr>
            <w:r w:rsidRPr="00865710">
              <w:rPr>
                <w:b/>
                <w:bCs/>
                <w:sz w:val="16"/>
                <w:szCs w:val="16"/>
              </w:rPr>
              <w:t>Lp.</w:t>
            </w:r>
          </w:p>
        </w:tc>
        <w:tc>
          <w:tcPr>
            <w:tcW w:w="2126" w:type="dxa"/>
            <w:tcBorders>
              <w:top w:val="single" w:sz="8" w:space="0" w:color="auto"/>
              <w:left w:val="nil"/>
              <w:bottom w:val="single" w:sz="8" w:space="0" w:color="auto"/>
              <w:right w:val="single" w:sz="8" w:space="0" w:color="auto"/>
            </w:tcBorders>
            <w:shd w:val="clear" w:color="000000" w:fill="D8D8D8"/>
            <w:vAlign w:val="center"/>
            <w:hideMark/>
          </w:tcPr>
          <w:p w:rsidR="0067619F" w:rsidRPr="00865710" w:rsidRDefault="0067619F" w:rsidP="0067619F">
            <w:pPr>
              <w:jc w:val="center"/>
              <w:rPr>
                <w:b/>
                <w:bCs/>
                <w:sz w:val="16"/>
                <w:szCs w:val="16"/>
              </w:rPr>
            </w:pPr>
            <w:r w:rsidRPr="00865710">
              <w:rPr>
                <w:b/>
                <w:bCs/>
                <w:sz w:val="16"/>
                <w:szCs w:val="16"/>
              </w:rPr>
              <w:t>AKCJONARIUSZ</w:t>
            </w:r>
          </w:p>
        </w:tc>
        <w:tc>
          <w:tcPr>
            <w:tcW w:w="1701" w:type="dxa"/>
            <w:tcBorders>
              <w:top w:val="single" w:sz="8" w:space="0" w:color="auto"/>
              <w:left w:val="nil"/>
              <w:bottom w:val="single" w:sz="8" w:space="0" w:color="auto"/>
              <w:right w:val="single" w:sz="8" w:space="0" w:color="auto"/>
            </w:tcBorders>
            <w:shd w:val="clear" w:color="000000" w:fill="D8D8D8"/>
            <w:vAlign w:val="center"/>
            <w:hideMark/>
          </w:tcPr>
          <w:p w:rsidR="0067619F" w:rsidRPr="00865710" w:rsidRDefault="0067619F" w:rsidP="0067619F">
            <w:pPr>
              <w:jc w:val="center"/>
              <w:rPr>
                <w:b/>
                <w:bCs/>
                <w:sz w:val="16"/>
                <w:szCs w:val="16"/>
              </w:rPr>
            </w:pPr>
            <w:r w:rsidRPr="00865710">
              <w:rPr>
                <w:b/>
                <w:bCs/>
                <w:sz w:val="16"/>
                <w:szCs w:val="16"/>
              </w:rPr>
              <w:t>L. AKCJI</w:t>
            </w:r>
          </w:p>
        </w:tc>
        <w:tc>
          <w:tcPr>
            <w:tcW w:w="1560" w:type="dxa"/>
            <w:tcBorders>
              <w:top w:val="single" w:sz="8" w:space="0" w:color="auto"/>
              <w:left w:val="nil"/>
              <w:bottom w:val="single" w:sz="8" w:space="0" w:color="auto"/>
              <w:right w:val="single" w:sz="8" w:space="0" w:color="auto"/>
            </w:tcBorders>
            <w:shd w:val="clear" w:color="000000" w:fill="D8D8D8"/>
            <w:vAlign w:val="center"/>
            <w:hideMark/>
          </w:tcPr>
          <w:p w:rsidR="0067619F" w:rsidRPr="00865710" w:rsidRDefault="0067619F" w:rsidP="0067619F">
            <w:pPr>
              <w:jc w:val="center"/>
              <w:rPr>
                <w:b/>
                <w:bCs/>
                <w:sz w:val="16"/>
                <w:szCs w:val="16"/>
              </w:rPr>
            </w:pPr>
            <w:r w:rsidRPr="00865710">
              <w:rPr>
                <w:b/>
                <w:bCs/>
                <w:sz w:val="16"/>
                <w:szCs w:val="16"/>
              </w:rPr>
              <w:t>% AKCJI</w:t>
            </w:r>
          </w:p>
        </w:tc>
        <w:tc>
          <w:tcPr>
            <w:tcW w:w="1559" w:type="dxa"/>
            <w:tcBorders>
              <w:top w:val="single" w:sz="8" w:space="0" w:color="auto"/>
              <w:left w:val="nil"/>
              <w:bottom w:val="single" w:sz="8" w:space="0" w:color="auto"/>
              <w:right w:val="single" w:sz="8" w:space="0" w:color="auto"/>
            </w:tcBorders>
            <w:shd w:val="clear" w:color="000000" w:fill="D8D8D8"/>
            <w:vAlign w:val="center"/>
            <w:hideMark/>
          </w:tcPr>
          <w:p w:rsidR="0067619F" w:rsidRPr="00865710" w:rsidRDefault="0067619F" w:rsidP="0067619F">
            <w:pPr>
              <w:jc w:val="center"/>
              <w:rPr>
                <w:b/>
                <w:bCs/>
                <w:sz w:val="16"/>
                <w:szCs w:val="16"/>
              </w:rPr>
            </w:pPr>
            <w:r w:rsidRPr="00865710">
              <w:rPr>
                <w:b/>
                <w:bCs/>
                <w:sz w:val="16"/>
                <w:szCs w:val="16"/>
              </w:rPr>
              <w:t xml:space="preserve">L. GŁOSÓW </w:t>
            </w:r>
          </w:p>
        </w:tc>
        <w:tc>
          <w:tcPr>
            <w:tcW w:w="1701" w:type="dxa"/>
            <w:tcBorders>
              <w:top w:val="single" w:sz="8" w:space="0" w:color="auto"/>
              <w:left w:val="nil"/>
              <w:bottom w:val="single" w:sz="8" w:space="0" w:color="auto"/>
              <w:right w:val="single" w:sz="8" w:space="0" w:color="auto"/>
            </w:tcBorders>
            <w:shd w:val="clear" w:color="000000" w:fill="D8D8D8"/>
            <w:vAlign w:val="center"/>
            <w:hideMark/>
          </w:tcPr>
          <w:p w:rsidR="0067619F" w:rsidRPr="00865710" w:rsidRDefault="0067619F" w:rsidP="0067619F">
            <w:pPr>
              <w:jc w:val="center"/>
              <w:rPr>
                <w:b/>
                <w:bCs/>
                <w:sz w:val="16"/>
                <w:szCs w:val="16"/>
              </w:rPr>
            </w:pPr>
            <w:r w:rsidRPr="00865710">
              <w:rPr>
                <w:b/>
                <w:bCs/>
                <w:sz w:val="16"/>
                <w:szCs w:val="16"/>
              </w:rPr>
              <w:t>% głosów</w:t>
            </w:r>
          </w:p>
        </w:tc>
      </w:tr>
      <w:tr w:rsidR="0067619F" w:rsidRPr="00865710" w:rsidTr="0067619F">
        <w:trPr>
          <w:trHeight w:val="188"/>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67619F" w:rsidRPr="00865710" w:rsidRDefault="0067619F" w:rsidP="0067619F">
            <w:pPr>
              <w:jc w:val="center"/>
              <w:rPr>
                <w:sz w:val="16"/>
                <w:szCs w:val="16"/>
              </w:rPr>
            </w:pPr>
            <w:r w:rsidRPr="00865710">
              <w:rPr>
                <w:sz w:val="16"/>
                <w:szCs w:val="16"/>
              </w:rPr>
              <w:t> 1</w:t>
            </w:r>
          </w:p>
        </w:tc>
        <w:tc>
          <w:tcPr>
            <w:tcW w:w="2126"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rPr>
                <w:color w:val="000000"/>
                <w:sz w:val="16"/>
                <w:szCs w:val="16"/>
              </w:rPr>
            </w:pPr>
            <w:proofErr w:type="spellStart"/>
            <w:r w:rsidRPr="00865710">
              <w:rPr>
                <w:color w:val="000000"/>
                <w:sz w:val="16"/>
                <w:szCs w:val="16"/>
              </w:rPr>
              <w:t>Superkonstelacja</w:t>
            </w:r>
            <w:proofErr w:type="spellEnd"/>
            <w:r w:rsidRPr="00865710">
              <w:rPr>
                <w:color w:val="000000"/>
                <w:sz w:val="16"/>
                <w:szCs w:val="16"/>
              </w:rPr>
              <w:t xml:space="preserve"> Limited (Nikozja)</w:t>
            </w:r>
          </w:p>
        </w:tc>
        <w:tc>
          <w:tcPr>
            <w:tcW w:w="1701"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F27133">
            <w:pPr>
              <w:jc w:val="right"/>
              <w:rPr>
                <w:color w:val="000000"/>
                <w:sz w:val="16"/>
                <w:szCs w:val="16"/>
              </w:rPr>
            </w:pPr>
            <w:r w:rsidRPr="00865710">
              <w:rPr>
                <w:color w:val="000000"/>
                <w:sz w:val="16"/>
                <w:szCs w:val="16"/>
              </w:rPr>
              <w:t>22 691 169</w:t>
            </w:r>
          </w:p>
        </w:tc>
        <w:tc>
          <w:tcPr>
            <w:tcW w:w="1560"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20,38%</w:t>
            </w:r>
          </w:p>
        </w:tc>
        <w:tc>
          <w:tcPr>
            <w:tcW w:w="1559"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F27133">
            <w:pPr>
              <w:jc w:val="right"/>
              <w:rPr>
                <w:color w:val="000000"/>
                <w:sz w:val="16"/>
                <w:szCs w:val="16"/>
              </w:rPr>
            </w:pPr>
            <w:r w:rsidRPr="00865710">
              <w:rPr>
                <w:color w:val="000000"/>
                <w:sz w:val="16"/>
                <w:szCs w:val="16"/>
              </w:rPr>
              <w:t>22 691 169</w:t>
            </w:r>
          </w:p>
        </w:tc>
        <w:tc>
          <w:tcPr>
            <w:tcW w:w="1701"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20,38%</w:t>
            </w:r>
          </w:p>
        </w:tc>
      </w:tr>
      <w:tr w:rsidR="0067619F" w:rsidRPr="00865710" w:rsidTr="0067619F">
        <w:trPr>
          <w:trHeight w:val="42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67619F" w:rsidRPr="00865710" w:rsidRDefault="0067619F" w:rsidP="0067619F">
            <w:pPr>
              <w:jc w:val="center"/>
              <w:rPr>
                <w:sz w:val="16"/>
                <w:szCs w:val="16"/>
              </w:rPr>
            </w:pPr>
            <w:r w:rsidRPr="00865710">
              <w:rPr>
                <w:sz w:val="16"/>
                <w:szCs w:val="16"/>
              </w:rPr>
              <w:t> 2</w:t>
            </w:r>
          </w:p>
        </w:tc>
        <w:tc>
          <w:tcPr>
            <w:tcW w:w="2126" w:type="dxa"/>
            <w:tcBorders>
              <w:top w:val="nil"/>
              <w:left w:val="nil"/>
              <w:bottom w:val="single" w:sz="8" w:space="0" w:color="auto"/>
              <w:right w:val="single" w:sz="8" w:space="0" w:color="auto"/>
            </w:tcBorders>
            <w:shd w:val="clear" w:color="auto" w:fill="auto"/>
            <w:vAlign w:val="center"/>
            <w:hideMark/>
          </w:tcPr>
          <w:p w:rsidR="0067619F" w:rsidRPr="00865710" w:rsidRDefault="0067619F" w:rsidP="0067619F">
            <w:pPr>
              <w:rPr>
                <w:color w:val="000000"/>
                <w:sz w:val="16"/>
                <w:szCs w:val="16"/>
              </w:rPr>
            </w:pPr>
            <w:r w:rsidRPr="00865710">
              <w:rPr>
                <w:color w:val="000000"/>
                <w:sz w:val="16"/>
                <w:szCs w:val="16"/>
              </w:rPr>
              <w:t>Aulos 1 Sp. z o.o.* (spółka zależna Pana Macieja Wandzla)</w:t>
            </w:r>
          </w:p>
        </w:tc>
        <w:tc>
          <w:tcPr>
            <w:tcW w:w="1701"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20 911 720</w:t>
            </w:r>
          </w:p>
        </w:tc>
        <w:tc>
          <w:tcPr>
            <w:tcW w:w="1560"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18,78%</w:t>
            </w:r>
          </w:p>
        </w:tc>
        <w:tc>
          <w:tcPr>
            <w:tcW w:w="1559"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20 911 720</w:t>
            </w:r>
          </w:p>
        </w:tc>
        <w:tc>
          <w:tcPr>
            <w:tcW w:w="1701"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18,78%</w:t>
            </w:r>
          </w:p>
        </w:tc>
      </w:tr>
      <w:tr w:rsidR="0067619F" w:rsidRPr="00865710" w:rsidTr="0067619F">
        <w:trPr>
          <w:trHeight w:val="342"/>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67619F" w:rsidRPr="00865710" w:rsidRDefault="0067619F" w:rsidP="0067619F">
            <w:pPr>
              <w:jc w:val="center"/>
              <w:rPr>
                <w:sz w:val="16"/>
                <w:szCs w:val="16"/>
              </w:rPr>
            </w:pPr>
            <w:r w:rsidRPr="00865710">
              <w:rPr>
                <w:sz w:val="16"/>
                <w:szCs w:val="16"/>
              </w:rPr>
              <w:t> 3</w:t>
            </w:r>
          </w:p>
        </w:tc>
        <w:tc>
          <w:tcPr>
            <w:tcW w:w="2126" w:type="dxa"/>
            <w:tcBorders>
              <w:top w:val="nil"/>
              <w:left w:val="nil"/>
              <w:bottom w:val="single" w:sz="8" w:space="0" w:color="auto"/>
              <w:right w:val="single" w:sz="8" w:space="0" w:color="auto"/>
            </w:tcBorders>
            <w:shd w:val="clear" w:color="auto" w:fill="auto"/>
            <w:vAlign w:val="center"/>
            <w:hideMark/>
          </w:tcPr>
          <w:p w:rsidR="0067619F" w:rsidRPr="00865710" w:rsidRDefault="0067619F" w:rsidP="0067619F">
            <w:pPr>
              <w:rPr>
                <w:color w:val="000000"/>
                <w:sz w:val="16"/>
                <w:szCs w:val="16"/>
              </w:rPr>
            </w:pPr>
            <w:proofErr w:type="spellStart"/>
            <w:r w:rsidRPr="00865710">
              <w:rPr>
                <w:color w:val="000000"/>
                <w:sz w:val="16"/>
                <w:szCs w:val="16"/>
              </w:rPr>
              <w:t>Altus</w:t>
            </w:r>
            <w:proofErr w:type="spellEnd"/>
            <w:r w:rsidRPr="00865710">
              <w:rPr>
                <w:color w:val="000000"/>
                <w:sz w:val="16"/>
                <w:szCs w:val="16"/>
              </w:rPr>
              <w:t xml:space="preserve"> Towarzystwo Funduszy Inwestycyjnych Spółka Akcyjna**</w:t>
            </w:r>
          </w:p>
        </w:tc>
        <w:tc>
          <w:tcPr>
            <w:tcW w:w="1701" w:type="dxa"/>
            <w:tcBorders>
              <w:top w:val="nil"/>
              <w:left w:val="nil"/>
              <w:bottom w:val="single" w:sz="8" w:space="0" w:color="auto"/>
              <w:right w:val="single" w:sz="8" w:space="0" w:color="auto"/>
            </w:tcBorders>
            <w:shd w:val="clear" w:color="auto" w:fill="auto"/>
            <w:vAlign w:val="center"/>
            <w:hideMark/>
          </w:tcPr>
          <w:p w:rsidR="0067619F" w:rsidRPr="00865710" w:rsidRDefault="0067619F" w:rsidP="0067619F">
            <w:pPr>
              <w:jc w:val="right"/>
              <w:rPr>
                <w:color w:val="000000"/>
                <w:sz w:val="16"/>
                <w:szCs w:val="16"/>
              </w:rPr>
            </w:pPr>
            <w:r w:rsidRPr="00865710">
              <w:rPr>
                <w:color w:val="000000"/>
                <w:sz w:val="16"/>
                <w:szCs w:val="16"/>
              </w:rPr>
              <w:t>11 900 000</w:t>
            </w:r>
          </w:p>
        </w:tc>
        <w:tc>
          <w:tcPr>
            <w:tcW w:w="1560"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10,69%</w:t>
            </w:r>
          </w:p>
        </w:tc>
        <w:tc>
          <w:tcPr>
            <w:tcW w:w="1559"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11 900 000</w:t>
            </w:r>
          </w:p>
        </w:tc>
        <w:tc>
          <w:tcPr>
            <w:tcW w:w="1701"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10,69%</w:t>
            </w:r>
          </w:p>
        </w:tc>
      </w:tr>
      <w:tr w:rsidR="0067619F" w:rsidRPr="00865710" w:rsidTr="0067619F">
        <w:trPr>
          <w:trHeight w:val="352"/>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67619F" w:rsidRPr="00865710" w:rsidRDefault="0067619F" w:rsidP="0067619F">
            <w:pPr>
              <w:jc w:val="center"/>
              <w:rPr>
                <w:sz w:val="16"/>
                <w:szCs w:val="16"/>
              </w:rPr>
            </w:pPr>
            <w:r w:rsidRPr="00865710">
              <w:rPr>
                <w:sz w:val="16"/>
                <w:szCs w:val="16"/>
              </w:rPr>
              <w:t>4</w:t>
            </w:r>
          </w:p>
        </w:tc>
        <w:tc>
          <w:tcPr>
            <w:tcW w:w="2126" w:type="dxa"/>
            <w:tcBorders>
              <w:top w:val="nil"/>
              <w:left w:val="nil"/>
              <w:bottom w:val="single" w:sz="8" w:space="0" w:color="auto"/>
              <w:right w:val="single" w:sz="8" w:space="0" w:color="auto"/>
            </w:tcBorders>
            <w:shd w:val="clear" w:color="auto" w:fill="auto"/>
            <w:vAlign w:val="center"/>
            <w:hideMark/>
          </w:tcPr>
          <w:p w:rsidR="0067619F" w:rsidRPr="00865710" w:rsidRDefault="0067619F" w:rsidP="0067619F">
            <w:pPr>
              <w:rPr>
                <w:color w:val="000000"/>
                <w:sz w:val="16"/>
                <w:szCs w:val="16"/>
              </w:rPr>
            </w:pPr>
            <w:r w:rsidRPr="00865710">
              <w:rPr>
                <w:color w:val="000000"/>
                <w:sz w:val="16"/>
                <w:szCs w:val="16"/>
              </w:rPr>
              <w:t>Rafał Bauer  (wraz z podmiotami zależnymi)*</w:t>
            </w:r>
          </w:p>
        </w:tc>
        <w:tc>
          <w:tcPr>
            <w:tcW w:w="1701" w:type="dxa"/>
            <w:tcBorders>
              <w:top w:val="nil"/>
              <w:left w:val="nil"/>
              <w:bottom w:val="single" w:sz="8" w:space="0" w:color="auto"/>
              <w:right w:val="single" w:sz="8" w:space="0" w:color="auto"/>
            </w:tcBorders>
            <w:shd w:val="clear" w:color="auto" w:fill="auto"/>
            <w:vAlign w:val="center"/>
            <w:hideMark/>
          </w:tcPr>
          <w:p w:rsidR="0067619F" w:rsidRPr="00865710" w:rsidRDefault="0067619F" w:rsidP="0067619F">
            <w:pPr>
              <w:jc w:val="right"/>
              <w:rPr>
                <w:color w:val="000000"/>
                <w:sz w:val="16"/>
                <w:szCs w:val="16"/>
              </w:rPr>
            </w:pPr>
            <w:r w:rsidRPr="00865710">
              <w:rPr>
                <w:color w:val="000000"/>
                <w:sz w:val="16"/>
                <w:szCs w:val="16"/>
              </w:rPr>
              <w:t>6 503 920</w:t>
            </w:r>
          </w:p>
        </w:tc>
        <w:tc>
          <w:tcPr>
            <w:tcW w:w="1560"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5,84%</w:t>
            </w:r>
          </w:p>
        </w:tc>
        <w:tc>
          <w:tcPr>
            <w:tcW w:w="1559"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6 503 920</w:t>
            </w:r>
          </w:p>
        </w:tc>
        <w:tc>
          <w:tcPr>
            <w:tcW w:w="1701"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5,84%</w:t>
            </w:r>
          </w:p>
        </w:tc>
      </w:tr>
      <w:tr w:rsidR="0067619F" w:rsidRPr="00865710" w:rsidTr="0067619F">
        <w:trPr>
          <w:trHeight w:val="20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67619F" w:rsidRPr="00865710" w:rsidRDefault="0067619F" w:rsidP="0067619F">
            <w:pPr>
              <w:jc w:val="center"/>
              <w:rPr>
                <w:sz w:val="16"/>
                <w:szCs w:val="16"/>
              </w:rPr>
            </w:pPr>
            <w:r w:rsidRPr="00865710">
              <w:rPr>
                <w:sz w:val="16"/>
                <w:szCs w:val="16"/>
              </w:rPr>
              <w:t>5</w:t>
            </w:r>
          </w:p>
        </w:tc>
        <w:tc>
          <w:tcPr>
            <w:tcW w:w="2126" w:type="dxa"/>
            <w:tcBorders>
              <w:top w:val="nil"/>
              <w:left w:val="nil"/>
              <w:bottom w:val="single" w:sz="8" w:space="0" w:color="auto"/>
              <w:right w:val="single" w:sz="8" w:space="0" w:color="auto"/>
            </w:tcBorders>
            <w:shd w:val="clear" w:color="auto" w:fill="auto"/>
            <w:vAlign w:val="center"/>
            <w:hideMark/>
          </w:tcPr>
          <w:p w:rsidR="0067619F" w:rsidRPr="00865710" w:rsidRDefault="0067619F" w:rsidP="0067619F">
            <w:pPr>
              <w:rPr>
                <w:color w:val="000000"/>
                <w:sz w:val="16"/>
                <w:szCs w:val="16"/>
              </w:rPr>
            </w:pPr>
            <w:r w:rsidRPr="00865710">
              <w:rPr>
                <w:color w:val="000000"/>
                <w:sz w:val="16"/>
                <w:szCs w:val="16"/>
              </w:rPr>
              <w:t>AKTIVIST Fundusz Inwestycyjny Zamknięty</w:t>
            </w:r>
          </w:p>
        </w:tc>
        <w:tc>
          <w:tcPr>
            <w:tcW w:w="1701"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6 199 800</w:t>
            </w:r>
          </w:p>
        </w:tc>
        <w:tc>
          <w:tcPr>
            <w:tcW w:w="1560"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5,57%</w:t>
            </w:r>
          </w:p>
        </w:tc>
        <w:tc>
          <w:tcPr>
            <w:tcW w:w="1559"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6 199 800</w:t>
            </w:r>
          </w:p>
        </w:tc>
        <w:tc>
          <w:tcPr>
            <w:tcW w:w="1701"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5,57%</w:t>
            </w:r>
          </w:p>
        </w:tc>
      </w:tr>
      <w:tr w:rsidR="0067619F" w:rsidRPr="00865710" w:rsidTr="0067619F">
        <w:trPr>
          <w:trHeight w:val="6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67619F" w:rsidRPr="00865710" w:rsidRDefault="0067619F" w:rsidP="0067619F">
            <w:pPr>
              <w:jc w:val="center"/>
              <w:rPr>
                <w:sz w:val="16"/>
                <w:szCs w:val="16"/>
              </w:rPr>
            </w:pPr>
            <w:r w:rsidRPr="00865710">
              <w:rPr>
                <w:sz w:val="16"/>
                <w:szCs w:val="16"/>
              </w:rPr>
              <w:t>6</w:t>
            </w:r>
          </w:p>
        </w:tc>
        <w:tc>
          <w:tcPr>
            <w:tcW w:w="2126" w:type="dxa"/>
            <w:tcBorders>
              <w:top w:val="nil"/>
              <w:left w:val="nil"/>
              <w:bottom w:val="single" w:sz="8" w:space="0" w:color="auto"/>
              <w:right w:val="single" w:sz="8" w:space="0" w:color="auto"/>
            </w:tcBorders>
            <w:shd w:val="clear" w:color="auto" w:fill="auto"/>
            <w:vAlign w:val="center"/>
            <w:hideMark/>
          </w:tcPr>
          <w:p w:rsidR="0067619F" w:rsidRPr="00865710" w:rsidRDefault="0067619F" w:rsidP="0067619F">
            <w:pPr>
              <w:rPr>
                <w:color w:val="000000"/>
                <w:sz w:val="16"/>
                <w:szCs w:val="16"/>
              </w:rPr>
            </w:pPr>
            <w:r w:rsidRPr="00865710">
              <w:rPr>
                <w:color w:val="000000"/>
                <w:sz w:val="16"/>
                <w:szCs w:val="16"/>
              </w:rPr>
              <w:t xml:space="preserve">Danuta i Witold </w:t>
            </w:r>
            <w:proofErr w:type="spellStart"/>
            <w:r w:rsidRPr="00865710">
              <w:rPr>
                <w:color w:val="000000"/>
                <w:sz w:val="16"/>
                <w:szCs w:val="16"/>
              </w:rPr>
              <w:t>Knabe</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5 654 162</w:t>
            </w:r>
          </w:p>
        </w:tc>
        <w:tc>
          <w:tcPr>
            <w:tcW w:w="1560"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5,08%</w:t>
            </w:r>
          </w:p>
        </w:tc>
        <w:tc>
          <w:tcPr>
            <w:tcW w:w="1559"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5 654 162</w:t>
            </w:r>
          </w:p>
        </w:tc>
        <w:tc>
          <w:tcPr>
            <w:tcW w:w="1701" w:type="dxa"/>
            <w:tcBorders>
              <w:top w:val="nil"/>
              <w:left w:val="nil"/>
              <w:bottom w:val="single" w:sz="8" w:space="0" w:color="auto"/>
              <w:right w:val="single" w:sz="8" w:space="0" w:color="auto"/>
            </w:tcBorders>
            <w:shd w:val="clear" w:color="auto" w:fill="auto"/>
            <w:noWrap/>
            <w:vAlign w:val="center"/>
            <w:hideMark/>
          </w:tcPr>
          <w:p w:rsidR="0067619F" w:rsidRPr="00865710" w:rsidRDefault="0067619F" w:rsidP="0067619F">
            <w:pPr>
              <w:jc w:val="right"/>
              <w:rPr>
                <w:color w:val="000000"/>
                <w:sz w:val="16"/>
                <w:szCs w:val="16"/>
              </w:rPr>
            </w:pPr>
            <w:r w:rsidRPr="00865710">
              <w:rPr>
                <w:color w:val="000000"/>
                <w:sz w:val="16"/>
                <w:szCs w:val="16"/>
              </w:rPr>
              <w:t>5,08%</w:t>
            </w:r>
          </w:p>
        </w:tc>
      </w:tr>
      <w:tr w:rsidR="0067619F" w:rsidRPr="00865710" w:rsidTr="0067619F">
        <w:trPr>
          <w:trHeight w:val="406"/>
        </w:trPr>
        <w:tc>
          <w:tcPr>
            <w:tcW w:w="724" w:type="dxa"/>
            <w:tcBorders>
              <w:top w:val="nil"/>
              <w:left w:val="single" w:sz="8" w:space="0" w:color="auto"/>
              <w:bottom w:val="single" w:sz="8" w:space="0" w:color="auto"/>
              <w:right w:val="single" w:sz="8" w:space="0" w:color="auto"/>
            </w:tcBorders>
            <w:shd w:val="clear" w:color="000000" w:fill="D9D9D9"/>
            <w:vAlign w:val="center"/>
            <w:hideMark/>
          </w:tcPr>
          <w:p w:rsidR="0067619F" w:rsidRPr="00865710" w:rsidRDefault="0067619F" w:rsidP="0067619F">
            <w:pPr>
              <w:jc w:val="center"/>
              <w:rPr>
                <w:b/>
                <w:bCs/>
                <w:sz w:val="16"/>
                <w:szCs w:val="16"/>
              </w:rPr>
            </w:pPr>
            <w:r w:rsidRPr="00865710">
              <w:rPr>
                <w:b/>
                <w:bCs/>
                <w:sz w:val="16"/>
                <w:szCs w:val="16"/>
              </w:rPr>
              <w:t> </w:t>
            </w:r>
          </w:p>
        </w:tc>
        <w:tc>
          <w:tcPr>
            <w:tcW w:w="2126" w:type="dxa"/>
            <w:tcBorders>
              <w:top w:val="nil"/>
              <w:left w:val="nil"/>
              <w:bottom w:val="single" w:sz="8" w:space="0" w:color="auto"/>
              <w:right w:val="single" w:sz="8" w:space="0" w:color="auto"/>
            </w:tcBorders>
            <w:shd w:val="clear" w:color="000000" w:fill="D9D9D9"/>
            <w:vAlign w:val="center"/>
            <w:hideMark/>
          </w:tcPr>
          <w:p w:rsidR="0067619F" w:rsidRPr="00865710" w:rsidRDefault="0067619F" w:rsidP="0067619F">
            <w:pPr>
              <w:rPr>
                <w:b/>
                <w:bCs/>
                <w:color w:val="000000"/>
                <w:sz w:val="16"/>
                <w:szCs w:val="16"/>
              </w:rPr>
            </w:pPr>
            <w:r w:rsidRPr="00865710">
              <w:rPr>
                <w:b/>
                <w:bCs/>
                <w:color w:val="000000"/>
                <w:sz w:val="16"/>
                <w:szCs w:val="16"/>
              </w:rPr>
              <w:t>Razem Akcjonariusze powyżej 5%</w:t>
            </w:r>
          </w:p>
        </w:tc>
        <w:tc>
          <w:tcPr>
            <w:tcW w:w="1701" w:type="dxa"/>
            <w:tcBorders>
              <w:top w:val="nil"/>
              <w:left w:val="nil"/>
              <w:bottom w:val="single" w:sz="8" w:space="0" w:color="auto"/>
              <w:right w:val="single" w:sz="8" w:space="0" w:color="auto"/>
            </w:tcBorders>
            <w:shd w:val="clear" w:color="000000" w:fill="D9D9D9"/>
            <w:noWrap/>
            <w:vAlign w:val="center"/>
            <w:hideMark/>
          </w:tcPr>
          <w:p w:rsidR="0067619F" w:rsidRPr="00865710" w:rsidRDefault="0067619F" w:rsidP="0067619F">
            <w:pPr>
              <w:jc w:val="right"/>
              <w:rPr>
                <w:b/>
                <w:bCs/>
                <w:color w:val="000000"/>
                <w:sz w:val="16"/>
                <w:szCs w:val="16"/>
              </w:rPr>
            </w:pPr>
            <w:r w:rsidRPr="00865710">
              <w:rPr>
                <w:b/>
                <w:bCs/>
                <w:color w:val="000000"/>
                <w:sz w:val="16"/>
                <w:szCs w:val="16"/>
              </w:rPr>
              <w:t>51 169 602</w:t>
            </w:r>
          </w:p>
        </w:tc>
        <w:tc>
          <w:tcPr>
            <w:tcW w:w="1560" w:type="dxa"/>
            <w:tcBorders>
              <w:top w:val="nil"/>
              <w:left w:val="nil"/>
              <w:bottom w:val="single" w:sz="8" w:space="0" w:color="auto"/>
              <w:right w:val="single" w:sz="8" w:space="0" w:color="auto"/>
            </w:tcBorders>
            <w:shd w:val="clear" w:color="000000" w:fill="D9D9D9"/>
            <w:noWrap/>
            <w:vAlign w:val="center"/>
            <w:hideMark/>
          </w:tcPr>
          <w:p w:rsidR="0067619F" w:rsidRPr="00865710" w:rsidRDefault="0067619F" w:rsidP="0067619F">
            <w:pPr>
              <w:jc w:val="right"/>
              <w:rPr>
                <w:b/>
                <w:bCs/>
                <w:color w:val="000000"/>
                <w:sz w:val="16"/>
                <w:szCs w:val="16"/>
              </w:rPr>
            </w:pPr>
            <w:r w:rsidRPr="00865710">
              <w:rPr>
                <w:b/>
                <w:bCs/>
                <w:color w:val="000000"/>
                <w:sz w:val="16"/>
                <w:szCs w:val="16"/>
              </w:rPr>
              <w:t>66,34%</w:t>
            </w:r>
          </w:p>
        </w:tc>
        <w:tc>
          <w:tcPr>
            <w:tcW w:w="1559" w:type="dxa"/>
            <w:tcBorders>
              <w:top w:val="nil"/>
              <w:left w:val="nil"/>
              <w:bottom w:val="single" w:sz="8" w:space="0" w:color="auto"/>
              <w:right w:val="single" w:sz="8" w:space="0" w:color="auto"/>
            </w:tcBorders>
            <w:shd w:val="clear" w:color="000000" w:fill="D9D9D9"/>
            <w:noWrap/>
            <w:vAlign w:val="center"/>
            <w:hideMark/>
          </w:tcPr>
          <w:p w:rsidR="0067619F" w:rsidRPr="00865710" w:rsidRDefault="0067619F" w:rsidP="0067619F">
            <w:pPr>
              <w:jc w:val="right"/>
              <w:rPr>
                <w:b/>
                <w:bCs/>
                <w:color w:val="000000"/>
                <w:sz w:val="16"/>
                <w:szCs w:val="16"/>
              </w:rPr>
            </w:pPr>
            <w:r w:rsidRPr="00865710">
              <w:rPr>
                <w:b/>
                <w:bCs/>
                <w:color w:val="000000"/>
                <w:sz w:val="16"/>
                <w:szCs w:val="16"/>
              </w:rPr>
              <w:t>51 169 602</w:t>
            </w:r>
          </w:p>
        </w:tc>
        <w:tc>
          <w:tcPr>
            <w:tcW w:w="1701" w:type="dxa"/>
            <w:tcBorders>
              <w:top w:val="nil"/>
              <w:left w:val="nil"/>
              <w:bottom w:val="single" w:sz="8" w:space="0" w:color="auto"/>
              <w:right w:val="single" w:sz="8" w:space="0" w:color="auto"/>
            </w:tcBorders>
            <w:shd w:val="clear" w:color="000000" w:fill="D9D9D9"/>
            <w:noWrap/>
            <w:vAlign w:val="center"/>
            <w:hideMark/>
          </w:tcPr>
          <w:p w:rsidR="0067619F" w:rsidRPr="00865710" w:rsidRDefault="0067619F" w:rsidP="0067619F">
            <w:pPr>
              <w:jc w:val="right"/>
              <w:rPr>
                <w:b/>
                <w:bCs/>
                <w:color w:val="000000"/>
                <w:sz w:val="16"/>
                <w:szCs w:val="16"/>
              </w:rPr>
            </w:pPr>
            <w:r w:rsidRPr="00865710">
              <w:rPr>
                <w:b/>
                <w:bCs/>
                <w:color w:val="000000"/>
                <w:sz w:val="16"/>
                <w:szCs w:val="16"/>
              </w:rPr>
              <w:t>66,34%</w:t>
            </w:r>
          </w:p>
        </w:tc>
      </w:tr>
    </w:tbl>
    <w:p w:rsidR="00C602DA" w:rsidRDefault="0067619F" w:rsidP="004C5BEB">
      <w:pPr>
        <w:spacing w:after="200"/>
        <w:contextualSpacing/>
        <w:jc w:val="both"/>
        <w:rPr>
          <w:rFonts w:eastAsia="Calibri"/>
          <w:i/>
          <w:sz w:val="18"/>
          <w:szCs w:val="18"/>
        </w:rPr>
      </w:pPr>
      <w:r w:rsidRPr="00865710">
        <w:rPr>
          <w:rFonts w:eastAsia="Calibri"/>
          <w:i/>
          <w:sz w:val="18"/>
          <w:szCs w:val="18"/>
        </w:rPr>
        <w:t>* Aulos 1 sp. z o.o. oraz Rafał Bauer wraz z podmiotami zależnymi pozostają w porozumieniu akcjonariuszy</w:t>
      </w:r>
      <w:r w:rsidR="008842CF">
        <w:rPr>
          <w:rFonts w:eastAsia="Calibri"/>
          <w:i/>
          <w:sz w:val="18"/>
          <w:szCs w:val="18"/>
        </w:rPr>
        <w:t>.</w:t>
      </w:r>
    </w:p>
    <w:p w:rsidR="0067619F" w:rsidRPr="00865710" w:rsidRDefault="0067619F" w:rsidP="0067619F">
      <w:pPr>
        <w:pBdr>
          <w:left w:val="single" w:sz="4" w:space="0" w:color="FFFFFF"/>
        </w:pBdr>
        <w:jc w:val="both"/>
        <w:rPr>
          <w:sz w:val="22"/>
          <w:szCs w:val="22"/>
        </w:rPr>
      </w:pPr>
      <w:r w:rsidRPr="00865710">
        <w:rPr>
          <w:rFonts w:eastAsia="Calibri"/>
          <w:i/>
          <w:sz w:val="18"/>
          <w:szCs w:val="18"/>
        </w:rPr>
        <w:t>**11 900 000 akcji jest w posiadaniu Progress FIZAN. 100% Certyfikatów Inwestycyjnych Progress FIZAN jest własnością Soho Development S.A.</w:t>
      </w:r>
    </w:p>
    <w:p w:rsidR="0067619F" w:rsidRPr="0062702D" w:rsidRDefault="0067619F" w:rsidP="0067619F">
      <w:pPr>
        <w:pBdr>
          <w:left w:val="single" w:sz="4" w:space="0" w:color="FFFFFF"/>
        </w:pBdr>
        <w:jc w:val="both"/>
        <w:rPr>
          <w:sz w:val="22"/>
          <w:szCs w:val="22"/>
          <w:highlight w:val="cyan"/>
        </w:rPr>
      </w:pPr>
    </w:p>
    <w:p w:rsidR="0067619F" w:rsidRPr="00174851" w:rsidRDefault="0067619F" w:rsidP="00174851">
      <w:pPr>
        <w:jc w:val="both"/>
        <w:rPr>
          <w:bCs/>
          <w:iCs/>
          <w:sz w:val="22"/>
          <w:szCs w:val="22"/>
        </w:rPr>
      </w:pPr>
      <w:r w:rsidRPr="00174851">
        <w:rPr>
          <w:bCs/>
          <w:iCs/>
          <w:sz w:val="22"/>
          <w:szCs w:val="22"/>
        </w:rPr>
        <w:t>Na dzień publikacji sprawozdania finansowego następujące osoby zarządzające posiadały akcje Emitenta:</w:t>
      </w:r>
    </w:p>
    <w:p w:rsidR="0067619F" w:rsidRPr="00174851" w:rsidRDefault="0067619F" w:rsidP="00174851">
      <w:pPr>
        <w:pStyle w:val="Akapitzlist"/>
        <w:numPr>
          <w:ilvl w:val="0"/>
          <w:numId w:val="33"/>
        </w:numPr>
        <w:jc w:val="both"/>
        <w:rPr>
          <w:rFonts w:ascii="Times New Roman" w:hAnsi="Times New Roman"/>
          <w:bCs/>
          <w:iCs/>
        </w:rPr>
      </w:pPr>
      <w:r w:rsidRPr="00174851">
        <w:rPr>
          <w:rFonts w:ascii="Times New Roman" w:hAnsi="Times New Roman"/>
          <w:bCs/>
          <w:iCs/>
        </w:rPr>
        <w:t xml:space="preserve">Pan Maciej Wandzel przez spółkę zależną Aulos 1 </w:t>
      </w:r>
      <w:r w:rsidR="00F27133">
        <w:rPr>
          <w:rFonts w:ascii="Times New Roman" w:hAnsi="Times New Roman"/>
          <w:bCs/>
          <w:iCs/>
        </w:rPr>
        <w:t>S</w:t>
      </w:r>
      <w:r w:rsidRPr="00174851">
        <w:rPr>
          <w:rFonts w:ascii="Times New Roman" w:hAnsi="Times New Roman"/>
          <w:bCs/>
          <w:iCs/>
        </w:rPr>
        <w:t>p. z o.o. 20.911.720</w:t>
      </w:r>
      <w:r w:rsidRPr="00174851" w:rsidDel="00FB0E55">
        <w:rPr>
          <w:rFonts w:ascii="Times New Roman" w:hAnsi="Times New Roman"/>
          <w:bCs/>
          <w:iCs/>
        </w:rPr>
        <w:t xml:space="preserve"> </w:t>
      </w:r>
      <w:r w:rsidRPr="00174851">
        <w:rPr>
          <w:rFonts w:ascii="Times New Roman" w:hAnsi="Times New Roman"/>
          <w:bCs/>
          <w:iCs/>
        </w:rPr>
        <w:t>(wartość nominalna 2.091.172,0 zł).</w:t>
      </w:r>
    </w:p>
    <w:p w:rsidR="0067619F" w:rsidRPr="00174851" w:rsidRDefault="0067619F" w:rsidP="00174851">
      <w:pPr>
        <w:jc w:val="both"/>
        <w:rPr>
          <w:bCs/>
          <w:iCs/>
          <w:sz w:val="22"/>
          <w:szCs w:val="22"/>
        </w:rPr>
      </w:pPr>
    </w:p>
    <w:p w:rsidR="0067619F" w:rsidRPr="00174851" w:rsidRDefault="0067619F" w:rsidP="00174851">
      <w:pPr>
        <w:jc w:val="both"/>
        <w:rPr>
          <w:bCs/>
          <w:iCs/>
          <w:sz w:val="22"/>
          <w:szCs w:val="22"/>
        </w:rPr>
      </w:pPr>
      <w:r w:rsidRPr="00174851">
        <w:rPr>
          <w:bCs/>
          <w:iCs/>
          <w:sz w:val="22"/>
          <w:szCs w:val="22"/>
        </w:rPr>
        <w:t>Na dzień przekazania sprawozdania finansowego, osoby nadzorujące nie posiadały akcji Emitenta</w:t>
      </w:r>
      <w:r w:rsidR="00F27133">
        <w:rPr>
          <w:bCs/>
          <w:iCs/>
          <w:sz w:val="22"/>
          <w:szCs w:val="22"/>
        </w:rPr>
        <w:t>.</w:t>
      </w:r>
    </w:p>
    <w:p w:rsidR="00C602DA" w:rsidRPr="00174851" w:rsidRDefault="00C602DA" w:rsidP="00174851">
      <w:pPr>
        <w:jc w:val="both"/>
        <w:rPr>
          <w:bCs/>
          <w:iCs/>
          <w:sz w:val="22"/>
          <w:szCs w:val="22"/>
        </w:rPr>
      </w:pPr>
    </w:p>
    <w:p w:rsidR="006F0D6D" w:rsidRPr="006F0D6D" w:rsidRDefault="006F0D6D" w:rsidP="006F0D6D">
      <w:pPr>
        <w:ind w:left="360"/>
        <w:jc w:val="both"/>
        <w:rPr>
          <w:sz w:val="22"/>
          <w:szCs w:val="22"/>
        </w:rPr>
      </w:pPr>
    </w:p>
    <w:p w:rsidR="006F0D6D" w:rsidRPr="006F0D6D" w:rsidRDefault="006F0D6D" w:rsidP="006F0D6D">
      <w:pPr>
        <w:jc w:val="both"/>
        <w:rPr>
          <w:b/>
          <w:bCs/>
          <w:i/>
          <w:iCs/>
          <w:sz w:val="22"/>
          <w:szCs w:val="22"/>
        </w:rPr>
      </w:pPr>
      <w:r w:rsidRPr="006F0D6D">
        <w:rPr>
          <w:b/>
          <w:bCs/>
          <w:i/>
          <w:iCs/>
          <w:sz w:val="22"/>
          <w:szCs w:val="22"/>
        </w:rPr>
        <w:t>Zmiany struktury własności z</w:t>
      </w:r>
      <w:r w:rsidR="00CE1BFB">
        <w:rPr>
          <w:b/>
          <w:bCs/>
          <w:i/>
          <w:iCs/>
          <w:sz w:val="22"/>
          <w:szCs w:val="22"/>
        </w:rPr>
        <w:t>naczących pakietów akcji Emitenta</w:t>
      </w:r>
      <w:r w:rsidRPr="006F0D6D">
        <w:rPr>
          <w:b/>
          <w:bCs/>
          <w:i/>
          <w:iCs/>
          <w:sz w:val="22"/>
          <w:szCs w:val="22"/>
        </w:rPr>
        <w:t xml:space="preserve"> w okresie obję</w:t>
      </w:r>
      <w:r w:rsidR="004E49AF">
        <w:rPr>
          <w:b/>
          <w:bCs/>
          <w:i/>
          <w:iCs/>
          <w:sz w:val="22"/>
          <w:szCs w:val="22"/>
        </w:rPr>
        <w:t>tym sprawozdaniem finansowym /</w:t>
      </w:r>
      <w:r w:rsidRPr="006F0D6D">
        <w:rPr>
          <w:b/>
          <w:bCs/>
          <w:i/>
          <w:iCs/>
          <w:sz w:val="22"/>
          <w:szCs w:val="22"/>
        </w:rPr>
        <w:t xml:space="preserve"> do dnia przekazania sprawozdania do publikacji</w:t>
      </w:r>
    </w:p>
    <w:p w:rsidR="006F0D6D" w:rsidRPr="006F0D6D" w:rsidRDefault="006F0D6D" w:rsidP="006F0D6D">
      <w:pPr>
        <w:keepNext/>
        <w:ind w:right="-108"/>
        <w:jc w:val="both"/>
        <w:outlineLvl w:val="4"/>
        <w:rPr>
          <w:rFonts w:eastAsia="Arial Unicode MS"/>
          <w:sz w:val="22"/>
          <w:szCs w:val="22"/>
        </w:rPr>
      </w:pPr>
    </w:p>
    <w:p w:rsidR="006F0D6D" w:rsidRPr="006F0D6D" w:rsidRDefault="006F0D6D" w:rsidP="006F0D6D">
      <w:pPr>
        <w:jc w:val="both"/>
        <w:rPr>
          <w:sz w:val="22"/>
          <w:szCs w:val="22"/>
        </w:rPr>
      </w:pPr>
    </w:p>
    <w:p w:rsidR="00C602DA" w:rsidRPr="006F0D6D" w:rsidRDefault="00CB46F0" w:rsidP="00C602DA">
      <w:pPr>
        <w:jc w:val="both"/>
        <w:rPr>
          <w:b/>
          <w:sz w:val="22"/>
          <w:szCs w:val="22"/>
        </w:rPr>
      </w:pPr>
      <w:r>
        <w:rPr>
          <w:b/>
          <w:sz w:val="22"/>
          <w:szCs w:val="22"/>
        </w:rPr>
        <w:t>IV</w:t>
      </w:r>
      <w:r w:rsidR="00C602DA" w:rsidRPr="006F0D6D">
        <w:rPr>
          <w:b/>
          <w:sz w:val="22"/>
          <w:szCs w:val="22"/>
        </w:rPr>
        <w:t xml:space="preserve"> </w:t>
      </w:r>
      <w:r w:rsidR="00C602DA">
        <w:rPr>
          <w:b/>
          <w:sz w:val="22"/>
          <w:szCs w:val="22"/>
        </w:rPr>
        <w:t>Kwartał 2015</w:t>
      </w:r>
      <w:r w:rsidR="00C602DA" w:rsidRPr="006F0D6D">
        <w:rPr>
          <w:b/>
          <w:sz w:val="22"/>
          <w:szCs w:val="22"/>
        </w:rPr>
        <w:t xml:space="preserve"> r.</w:t>
      </w:r>
      <w:r w:rsidR="009D0440">
        <w:rPr>
          <w:b/>
          <w:sz w:val="22"/>
          <w:szCs w:val="22"/>
        </w:rPr>
        <w:t xml:space="preserve"> </w:t>
      </w:r>
    </w:p>
    <w:p w:rsidR="009D0440" w:rsidRDefault="009D0440" w:rsidP="006F0D6D">
      <w:pPr>
        <w:spacing w:line="276" w:lineRule="auto"/>
        <w:jc w:val="both"/>
        <w:rPr>
          <w:b/>
          <w:bCs/>
          <w:i/>
          <w:iCs/>
          <w:sz w:val="22"/>
          <w:szCs w:val="22"/>
        </w:rPr>
      </w:pPr>
    </w:p>
    <w:p w:rsidR="00D75149" w:rsidRPr="00D75149" w:rsidRDefault="00D75149" w:rsidP="00D75149">
      <w:pPr>
        <w:jc w:val="both"/>
        <w:rPr>
          <w:bCs/>
          <w:iCs/>
          <w:sz w:val="22"/>
          <w:szCs w:val="22"/>
        </w:rPr>
      </w:pPr>
      <w:r w:rsidRPr="00D75149">
        <w:rPr>
          <w:bCs/>
          <w:iCs/>
          <w:sz w:val="22"/>
          <w:szCs w:val="22"/>
        </w:rPr>
        <w:t xml:space="preserve">W dniu 23 listopada 2015 r. Soho Development S.A. otrzymało zawiadomienie zgodnie z którym aktem poświadczenia dziedziczenia z dnia 17 listopada 2015 roku notariusz poświadczył, że spadek </w:t>
      </w:r>
      <w:r w:rsidR="00D7752A">
        <w:rPr>
          <w:bCs/>
          <w:iCs/>
          <w:sz w:val="22"/>
          <w:szCs w:val="22"/>
        </w:rPr>
        <w:br/>
      </w:r>
      <w:r w:rsidRPr="00D75149">
        <w:rPr>
          <w:bCs/>
          <w:iCs/>
          <w:sz w:val="22"/>
          <w:szCs w:val="22"/>
        </w:rPr>
        <w:t xml:space="preserve">po Władysławie </w:t>
      </w:r>
      <w:proofErr w:type="spellStart"/>
      <w:r w:rsidRPr="00D75149">
        <w:rPr>
          <w:bCs/>
          <w:iCs/>
          <w:sz w:val="22"/>
          <w:szCs w:val="22"/>
        </w:rPr>
        <w:t>Knabe</w:t>
      </w:r>
      <w:proofErr w:type="spellEnd"/>
      <w:r w:rsidRPr="00D75149">
        <w:rPr>
          <w:bCs/>
          <w:iCs/>
          <w:sz w:val="22"/>
          <w:szCs w:val="22"/>
        </w:rPr>
        <w:t xml:space="preserve">, zmarłym w dniu 7 listopada 2015 roku, na podstawie ustawy nabyli jego żona - Danuta </w:t>
      </w:r>
      <w:proofErr w:type="spellStart"/>
      <w:r w:rsidRPr="00D75149">
        <w:rPr>
          <w:bCs/>
          <w:iCs/>
          <w:sz w:val="22"/>
          <w:szCs w:val="22"/>
        </w:rPr>
        <w:t>Knabe</w:t>
      </w:r>
      <w:proofErr w:type="spellEnd"/>
      <w:r w:rsidRPr="00D75149">
        <w:rPr>
          <w:bCs/>
          <w:iCs/>
          <w:sz w:val="22"/>
          <w:szCs w:val="22"/>
        </w:rPr>
        <w:t xml:space="preserve"> i jego syn - Witold </w:t>
      </w:r>
      <w:proofErr w:type="spellStart"/>
      <w:r w:rsidRPr="00D75149">
        <w:rPr>
          <w:bCs/>
          <w:iCs/>
          <w:sz w:val="22"/>
          <w:szCs w:val="22"/>
        </w:rPr>
        <w:t>Knabe</w:t>
      </w:r>
      <w:proofErr w:type="spellEnd"/>
      <w:r w:rsidRPr="00D75149">
        <w:rPr>
          <w:bCs/>
          <w:iCs/>
          <w:sz w:val="22"/>
          <w:szCs w:val="22"/>
        </w:rPr>
        <w:t>, każde w 1/2 części. W skład spadku wchodziły m.in. akcje Spółki.</w:t>
      </w:r>
    </w:p>
    <w:p w:rsidR="00D75149" w:rsidRPr="00D75149" w:rsidRDefault="00D75149" w:rsidP="00D75149">
      <w:pPr>
        <w:jc w:val="both"/>
        <w:rPr>
          <w:bCs/>
          <w:iCs/>
          <w:color w:val="FF0000"/>
          <w:sz w:val="22"/>
          <w:szCs w:val="22"/>
        </w:rPr>
      </w:pPr>
    </w:p>
    <w:p w:rsidR="00D75149" w:rsidRPr="00D75149" w:rsidRDefault="00D75149" w:rsidP="00D75149">
      <w:pPr>
        <w:jc w:val="both"/>
        <w:rPr>
          <w:bCs/>
          <w:iCs/>
          <w:sz w:val="22"/>
          <w:szCs w:val="22"/>
        </w:rPr>
      </w:pPr>
      <w:r w:rsidRPr="00D75149">
        <w:rPr>
          <w:bCs/>
          <w:iCs/>
          <w:sz w:val="22"/>
          <w:szCs w:val="22"/>
        </w:rPr>
        <w:t xml:space="preserve">Przed opisanym zdarzeniem - nabyciem spadku po Władysławie </w:t>
      </w:r>
      <w:proofErr w:type="spellStart"/>
      <w:r w:rsidRPr="00D75149">
        <w:rPr>
          <w:bCs/>
          <w:iCs/>
          <w:sz w:val="22"/>
          <w:szCs w:val="22"/>
        </w:rPr>
        <w:t>Knabe</w:t>
      </w:r>
      <w:proofErr w:type="spellEnd"/>
      <w:r w:rsidRPr="00D75149">
        <w:rPr>
          <w:bCs/>
          <w:iCs/>
          <w:sz w:val="22"/>
          <w:szCs w:val="22"/>
        </w:rPr>
        <w:t xml:space="preserve"> - Danuta </w:t>
      </w:r>
      <w:proofErr w:type="spellStart"/>
      <w:r w:rsidRPr="00D75149">
        <w:rPr>
          <w:bCs/>
          <w:iCs/>
          <w:sz w:val="22"/>
          <w:szCs w:val="22"/>
        </w:rPr>
        <w:t>Knabe</w:t>
      </w:r>
      <w:proofErr w:type="spellEnd"/>
      <w:r w:rsidRPr="00D75149">
        <w:rPr>
          <w:bCs/>
          <w:iCs/>
          <w:sz w:val="22"/>
          <w:szCs w:val="22"/>
        </w:rPr>
        <w:t xml:space="preserve"> była współwłaścicielem 5.654.162 Akcji na zasadzie ustawowej wspólności majątkowej małżeńskiej </w:t>
      </w:r>
      <w:r w:rsidR="00D7752A">
        <w:rPr>
          <w:bCs/>
          <w:iCs/>
          <w:sz w:val="22"/>
          <w:szCs w:val="22"/>
        </w:rPr>
        <w:br/>
      </w:r>
      <w:r w:rsidRPr="00D75149">
        <w:rPr>
          <w:bCs/>
          <w:iCs/>
          <w:sz w:val="22"/>
          <w:szCs w:val="22"/>
        </w:rPr>
        <w:t xml:space="preserve">z Władysławem </w:t>
      </w:r>
      <w:proofErr w:type="spellStart"/>
      <w:r w:rsidRPr="00D75149">
        <w:rPr>
          <w:bCs/>
          <w:iCs/>
          <w:sz w:val="22"/>
          <w:szCs w:val="22"/>
        </w:rPr>
        <w:t>Knabe</w:t>
      </w:r>
      <w:proofErr w:type="spellEnd"/>
      <w:r w:rsidRPr="00D75149">
        <w:rPr>
          <w:bCs/>
          <w:iCs/>
          <w:sz w:val="22"/>
          <w:szCs w:val="22"/>
        </w:rPr>
        <w:t xml:space="preserve">. Akcje te stanowiły 5,08% w kapitale zakładowym Spółki. Uprawniały one </w:t>
      </w:r>
      <w:r w:rsidR="00D7752A">
        <w:rPr>
          <w:bCs/>
          <w:iCs/>
          <w:sz w:val="22"/>
          <w:szCs w:val="22"/>
        </w:rPr>
        <w:br/>
      </w:r>
      <w:r w:rsidRPr="00D75149">
        <w:rPr>
          <w:bCs/>
          <w:iCs/>
          <w:sz w:val="22"/>
          <w:szCs w:val="22"/>
        </w:rPr>
        <w:t xml:space="preserve">do wykonywania 5.654.162 głosów (co stanowiło 5,08% ogólnej liczby głosów). Do wykonywania praw z Akcji był jednak uprawniony wyłącznie Władysław </w:t>
      </w:r>
      <w:proofErr w:type="spellStart"/>
      <w:r w:rsidRPr="00D75149">
        <w:rPr>
          <w:bCs/>
          <w:iCs/>
          <w:sz w:val="22"/>
          <w:szCs w:val="22"/>
        </w:rPr>
        <w:t>Knabe</w:t>
      </w:r>
      <w:proofErr w:type="spellEnd"/>
      <w:r w:rsidRPr="00D75149">
        <w:rPr>
          <w:bCs/>
          <w:iCs/>
          <w:sz w:val="22"/>
          <w:szCs w:val="22"/>
        </w:rPr>
        <w:t>.</w:t>
      </w:r>
    </w:p>
    <w:p w:rsidR="00D75149" w:rsidRPr="00D75149" w:rsidRDefault="00D75149" w:rsidP="00D75149">
      <w:pPr>
        <w:jc w:val="both"/>
        <w:rPr>
          <w:bCs/>
          <w:iCs/>
          <w:sz w:val="22"/>
          <w:szCs w:val="22"/>
        </w:rPr>
      </w:pPr>
    </w:p>
    <w:p w:rsidR="00D75149" w:rsidRPr="00D75149" w:rsidRDefault="00D75149" w:rsidP="00D75149">
      <w:pPr>
        <w:jc w:val="both"/>
        <w:rPr>
          <w:bCs/>
          <w:iCs/>
          <w:sz w:val="22"/>
          <w:szCs w:val="22"/>
        </w:rPr>
      </w:pPr>
      <w:r w:rsidRPr="00D75149">
        <w:rPr>
          <w:bCs/>
          <w:iCs/>
          <w:sz w:val="22"/>
          <w:szCs w:val="22"/>
        </w:rPr>
        <w:t xml:space="preserve">Przed opisanym zdarzeniem - nabyciem spadku po Władysławie </w:t>
      </w:r>
      <w:proofErr w:type="spellStart"/>
      <w:r w:rsidRPr="00D75149">
        <w:rPr>
          <w:bCs/>
          <w:iCs/>
          <w:sz w:val="22"/>
          <w:szCs w:val="22"/>
        </w:rPr>
        <w:t>Knabe</w:t>
      </w:r>
      <w:proofErr w:type="spellEnd"/>
      <w:r w:rsidRPr="00D75149">
        <w:rPr>
          <w:bCs/>
          <w:iCs/>
          <w:sz w:val="22"/>
          <w:szCs w:val="22"/>
        </w:rPr>
        <w:t xml:space="preserve"> - Witold </w:t>
      </w:r>
      <w:proofErr w:type="spellStart"/>
      <w:r w:rsidRPr="00D75149">
        <w:rPr>
          <w:bCs/>
          <w:iCs/>
          <w:sz w:val="22"/>
          <w:szCs w:val="22"/>
        </w:rPr>
        <w:t>Knabe</w:t>
      </w:r>
      <w:proofErr w:type="spellEnd"/>
      <w:r w:rsidRPr="00D75149">
        <w:rPr>
          <w:bCs/>
          <w:iCs/>
          <w:sz w:val="22"/>
          <w:szCs w:val="22"/>
        </w:rPr>
        <w:t xml:space="preserve"> posiadał 4.359 Akcji, co stanowiło 0,004% w kapitale zakładowym Spółki. Akcje te uprawniały do wykonywania 4.359 głosów, co stanowiło 0,004% ogólnej liczby głosów. Witolda </w:t>
      </w:r>
      <w:proofErr w:type="spellStart"/>
      <w:r w:rsidRPr="00D75149">
        <w:rPr>
          <w:bCs/>
          <w:iCs/>
          <w:sz w:val="22"/>
          <w:szCs w:val="22"/>
        </w:rPr>
        <w:t>Knabe</w:t>
      </w:r>
      <w:proofErr w:type="spellEnd"/>
      <w:r w:rsidRPr="00D75149">
        <w:rPr>
          <w:bCs/>
          <w:iCs/>
          <w:sz w:val="22"/>
          <w:szCs w:val="22"/>
        </w:rPr>
        <w:t xml:space="preserve"> nie łączyło </w:t>
      </w:r>
      <w:r w:rsidR="00D7752A">
        <w:rPr>
          <w:bCs/>
          <w:iCs/>
          <w:sz w:val="22"/>
          <w:szCs w:val="22"/>
        </w:rPr>
        <w:br/>
      </w:r>
      <w:r w:rsidRPr="00D75149">
        <w:rPr>
          <w:bCs/>
          <w:iCs/>
          <w:sz w:val="22"/>
          <w:szCs w:val="22"/>
        </w:rPr>
        <w:t xml:space="preserve">z Władysławem </w:t>
      </w:r>
      <w:proofErr w:type="spellStart"/>
      <w:r w:rsidRPr="00D75149">
        <w:rPr>
          <w:bCs/>
          <w:iCs/>
          <w:sz w:val="22"/>
          <w:szCs w:val="22"/>
        </w:rPr>
        <w:t>Knabe</w:t>
      </w:r>
      <w:proofErr w:type="spellEnd"/>
      <w:r w:rsidRPr="00D75149">
        <w:rPr>
          <w:bCs/>
          <w:iCs/>
          <w:sz w:val="22"/>
          <w:szCs w:val="22"/>
        </w:rPr>
        <w:t xml:space="preserve"> ani Danutą </w:t>
      </w:r>
      <w:proofErr w:type="spellStart"/>
      <w:r w:rsidRPr="00D75149">
        <w:rPr>
          <w:bCs/>
          <w:iCs/>
          <w:sz w:val="22"/>
          <w:szCs w:val="22"/>
        </w:rPr>
        <w:t>Knabe</w:t>
      </w:r>
      <w:proofErr w:type="spellEnd"/>
      <w:r w:rsidRPr="00D75149">
        <w:rPr>
          <w:bCs/>
          <w:iCs/>
          <w:sz w:val="22"/>
          <w:szCs w:val="22"/>
        </w:rPr>
        <w:t xml:space="preserve"> porozumienie w rozumieniu art. 87 ust. 1 pkt 5) Ustawy.</w:t>
      </w:r>
    </w:p>
    <w:p w:rsidR="00D75149" w:rsidRPr="00D75149" w:rsidRDefault="00D75149" w:rsidP="00D75149">
      <w:pPr>
        <w:jc w:val="both"/>
        <w:rPr>
          <w:bCs/>
          <w:iCs/>
          <w:sz w:val="22"/>
          <w:szCs w:val="22"/>
        </w:rPr>
      </w:pPr>
      <w:r w:rsidRPr="00D75149">
        <w:rPr>
          <w:bCs/>
          <w:iCs/>
          <w:sz w:val="22"/>
          <w:szCs w:val="22"/>
        </w:rPr>
        <w:t xml:space="preserve">Witold </w:t>
      </w:r>
      <w:proofErr w:type="spellStart"/>
      <w:r w:rsidRPr="00D75149">
        <w:rPr>
          <w:bCs/>
          <w:iCs/>
          <w:sz w:val="22"/>
          <w:szCs w:val="22"/>
        </w:rPr>
        <w:t>Knabe</w:t>
      </w:r>
      <w:proofErr w:type="spellEnd"/>
      <w:r w:rsidRPr="00D75149">
        <w:rPr>
          <w:bCs/>
          <w:iCs/>
          <w:sz w:val="22"/>
          <w:szCs w:val="22"/>
        </w:rPr>
        <w:t xml:space="preserve"> i Danuta </w:t>
      </w:r>
      <w:proofErr w:type="spellStart"/>
      <w:r w:rsidRPr="00D75149">
        <w:rPr>
          <w:bCs/>
          <w:iCs/>
          <w:sz w:val="22"/>
          <w:szCs w:val="22"/>
        </w:rPr>
        <w:t>Knabe</w:t>
      </w:r>
      <w:proofErr w:type="spellEnd"/>
      <w:r w:rsidRPr="00D75149">
        <w:rPr>
          <w:bCs/>
          <w:iCs/>
          <w:sz w:val="22"/>
          <w:szCs w:val="22"/>
        </w:rPr>
        <w:t xml:space="preserve"> aktualnie są współwłaścicielami (współwłasność w częściach ułamkowych) 5.654.162 Akcji. W każdej Akcji posiadają udziały odpowiednio 1/4 i 3/4. Akcje te stanowią 5,08% w kapitale zakładowym Spółki i uprawniają do wykonywania 5.654.162 głosów </w:t>
      </w:r>
      <w:r w:rsidR="00D7752A">
        <w:rPr>
          <w:bCs/>
          <w:iCs/>
          <w:sz w:val="22"/>
          <w:szCs w:val="22"/>
        </w:rPr>
        <w:br/>
      </w:r>
      <w:r w:rsidRPr="00D75149">
        <w:rPr>
          <w:bCs/>
          <w:iCs/>
          <w:sz w:val="22"/>
          <w:szCs w:val="22"/>
        </w:rPr>
        <w:t>(co stanowi 5,08% ogólnej liczby głosów).</w:t>
      </w:r>
    </w:p>
    <w:p w:rsidR="00D75149" w:rsidRPr="00D75149" w:rsidRDefault="00D75149" w:rsidP="00D75149">
      <w:pPr>
        <w:jc w:val="both"/>
        <w:rPr>
          <w:bCs/>
          <w:iCs/>
          <w:sz w:val="22"/>
          <w:szCs w:val="22"/>
        </w:rPr>
      </w:pPr>
    </w:p>
    <w:p w:rsidR="00D75149" w:rsidRPr="00D75149" w:rsidRDefault="00D75149" w:rsidP="00D75149">
      <w:pPr>
        <w:jc w:val="both"/>
        <w:rPr>
          <w:bCs/>
          <w:iCs/>
          <w:sz w:val="22"/>
          <w:szCs w:val="22"/>
        </w:rPr>
      </w:pPr>
      <w:r w:rsidRPr="00D75149">
        <w:rPr>
          <w:bCs/>
          <w:iCs/>
          <w:sz w:val="22"/>
          <w:szCs w:val="22"/>
        </w:rPr>
        <w:lastRenderedPageBreak/>
        <w:t xml:space="preserve">Ponadto, Witold </w:t>
      </w:r>
      <w:proofErr w:type="spellStart"/>
      <w:r w:rsidRPr="00D75149">
        <w:rPr>
          <w:bCs/>
          <w:iCs/>
          <w:sz w:val="22"/>
          <w:szCs w:val="22"/>
        </w:rPr>
        <w:t>Knabe</w:t>
      </w:r>
      <w:proofErr w:type="spellEnd"/>
      <w:r w:rsidRPr="00D75149">
        <w:rPr>
          <w:bCs/>
          <w:iCs/>
          <w:sz w:val="22"/>
          <w:szCs w:val="22"/>
        </w:rPr>
        <w:t xml:space="preserve"> posiada samodzielnie 4.359 Akcji, co stanowi 0,004% w kapitale zakładowym Spółki. Akcje te uprawniają do wykonywania 4.359 głosów, co stanowi 0,004% ogólnej liczby głosów.</w:t>
      </w:r>
    </w:p>
    <w:p w:rsidR="00D75149" w:rsidRPr="00D75149" w:rsidRDefault="00D75149" w:rsidP="00D75149">
      <w:pPr>
        <w:jc w:val="both"/>
        <w:rPr>
          <w:bCs/>
          <w:iCs/>
          <w:sz w:val="22"/>
          <w:szCs w:val="22"/>
        </w:rPr>
      </w:pPr>
      <w:r w:rsidRPr="00D75149">
        <w:rPr>
          <w:bCs/>
          <w:iCs/>
          <w:sz w:val="22"/>
          <w:szCs w:val="22"/>
        </w:rPr>
        <w:t xml:space="preserve">Witold </w:t>
      </w:r>
      <w:proofErr w:type="spellStart"/>
      <w:r w:rsidRPr="00D75149">
        <w:rPr>
          <w:bCs/>
          <w:iCs/>
          <w:sz w:val="22"/>
          <w:szCs w:val="22"/>
        </w:rPr>
        <w:t>Knabe</w:t>
      </w:r>
      <w:proofErr w:type="spellEnd"/>
      <w:r w:rsidRPr="00D75149">
        <w:rPr>
          <w:bCs/>
          <w:iCs/>
          <w:sz w:val="22"/>
          <w:szCs w:val="22"/>
        </w:rPr>
        <w:t xml:space="preserve"> i Danuta </w:t>
      </w:r>
      <w:proofErr w:type="spellStart"/>
      <w:r w:rsidRPr="00D75149">
        <w:rPr>
          <w:bCs/>
          <w:iCs/>
          <w:sz w:val="22"/>
          <w:szCs w:val="22"/>
        </w:rPr>
        <w:t>Knabe</w:t>
      </w:r>
      <w:proofErr w:type="spellEnd"/>
      <w:r w:rsidRPr="00D75149">
        <w:rPr>
          <w:bCs/>
          <w:iCs/>
          <w:sz w:val="22"/>
          <w:szCs w:val="22"/>
        </w:rPr>
        <w:t xml:space="preserve"> posiadają łącznie 5.658.521 Akcji, co stanowi 5,08% w kapitale zakładowym Spółki. Akcje te uprawniają do wykonywania 5.658.521 głosów, co stanowi 5,08% ogólnej liczby głosów</w:t>
      </w:r>
      <w:r w:rsidR="005A5D23">
        <w:rPr>
          <w:bCs/>
          <w:iCs/>
          <w:sz w:val="22"/>
          <w:szCs w:val="22"/>
        </w:rPr>
        <w:t>.</w:t>
      </w:r>
    </w:p>
    <w:p w:rsidR="00CB46F0" w:rsidRPr="00713913" w:rsidRDefault="00CB46F0" w:rsidP="006F0D6D">
      <w:pPr>
        <w:spacing w:line="276" w:lineRule="auto"/>
        <w:jc w:val="both"/>
        <w:rPr>
          <w:sz w:val="22"/>
          <w:szCs w:val="22"/>
        </w:rPr>
      </w:pPr>
    </w:p>
    <w:p w:rsidR="00CB46F0" w:rsidRPr="006F0D6D" w:rsidRDefault="00CB46F0" w:rsidP="00CB46F0">
      <w:pPr>
        <w:jc w:val="both"/>
        <w:rPr>
          <w:b/>
          <w:sz w:val="22"/>
          <w:szCs w:val="22"/>
        </w:rPr>
      </w:pPr>
      <w:r>
        <w:rPr>
          <w:b/>
          <w:sz w:val="22"/>
          <w:szCs w:val="22"/>
        </w:rPr>
        <w:t>I</w:t>
      </w:r>
      <w:r w:rsidRPr="006F0D6D">
        <w:rPr>
          <w:b/>
          <w:sz w:val="22"/>
          <w:szCs w:val="22"/>
        </w:rPr>
        <w:t xml:space="preserve"> </w:t>
      </w:r>
      <w:r>
        <w:rPr>
          <w:b/>
          <w:sz w:val="22"/>
          <w:szCs w:val="22"/>
        </w:rPr>
        <w:t>Kwartał 2016</w:t>
      </w:r>
      <w:r w:rsidRPr="006F0D6D">
        <w:rPr>
          <w:b/>
          <w:sz w:val="22"/>
          <w:szCs w:val="22"/>
        </w:rPr>
        <w:t xml:space="preserve"> r.</w:t>
      </w:r>
      <w:r>
        <w:rPr>
          <w:b/>
          <w:sz w:val="22"/>
          <w:szCs w:val="22"/>
        </w:rPr>
        <w:t xml:space="preserve"> wraz z danymi do dnia publikacji</w:t>
      </w:r>
    </w:p>
    <w:p w:rsidR="00860155" w:rsidRDefault="00860155" w:rsidP="006F0D6D">
      <w:pPr>
        <w:spacing w:line="276" w:lineRule="auto"/>
        <w:jc w:val="both"/>
        <w:rPr>
          <w:b/>
          <w:bCs/>
          <w:i/>
          <w:iCs/>
          <w:sz w:val="22"/>
          <w:szCs w:val="22"/>
        </w:rPr>
      </w:pPr>
    </w:p>
    <w:p w:rsidR="00D75149" w:rsidRPr="003869E2" w:rsidRDefault="00D75149" w:rsidP="00D75149">
      <w:pPr>
        <w:jc w:val="both"/>
        <w:rPr>
          <w:bCs/>
          <w:iCs/>
          <w:sz w:val="22"/>
          <w:szCs w:val="22"/>
        </w:rPr>
      </w:pPr>
      <w:r w:rsidRPr="003869E2">
        <w:rPr>
          <w:bCs/>
          <w:iCs/>
          <w:sz w:val="22"/>
          <w:szCs w:val="22"/>
        </w:rPr>
        <w:t xml:space="preserve">W dniu 5 stycznia 2016 r. Soho Development otrzymało zawiadomienie zgodnie z którym Maciej Zientara, działając w imieniu własnym oraz spółki zależnej pod firmą </w:t>
      </w:r>
      <w:proofErr w:type="spellStart"/>
      <w:r w:rsidRPr="003869E2">
        <w:rPr>
          <w:bCs/>
          <w:iCs/>
          <w:sz w:val="22"/>
          <w:szCs w:val="22"/>
        </w:rPr>
        <w:t>Superkonstelacja</w:t>
      </w:r>
      <w:proofErr w:type="spellEnd"/>
      <w:r w:rsidRPr="003869E2">
        <w:rPr>
          <w:bCs/>
          <w:iCs/>
          <w:sz w:val="22"/>
          <w:szCs w:val="22"/>
        </w:rPr>
        <w:t xml:space="preserve"> Limited </w:t>
      </w:r>
      <w:r w:rsidR="00D7752A">
        <w:rPr>
          <w:bCs/>
          <w:iCs/>
          <w:sz w:val="22"/>
          <w:szCs w:val="22"/>
        </w:rPr>
        <w:br/>
      </w:r>
      <w:r w:rsidRPr="003869E2">
        <w:rPr>
          <w:bCs/>
          <w:iCs/>
          <w:sz w:val="22"/>
          <w:szCs w:val="22"/>
        </w:rPr>
        <w:t xml:space="preserve">z siedzibą w </w:t>
      </w:r>
      <w:proofErr w:type="spellStart"/>
      <w:r w:rsidRPr="003869E2">
        <w:rPr>
          <w:bCs/>
          <w:iCs/>
          <w:sz w:val="22"/>
          <w:szCs w:val="22"/>
        </w:rPr>
        <w:t>Limassol</w:t>
      </w:r>
      <w:proofErr w:type="spellEnd"/>
      <w:r w:rsidRPr="003869E2">
        <w:rPr>
          <w:bCs/>
          <w:iCs/>
          <w:sz w:val="22"/>
          <w:szCs w:val="22"/>
        </w:rPr>
        <w:t xml:space="preserve"> (dalej: "</w:t>
      </w:r>
      <w:proofErr w:type="spellStart"/>
      <w:r w:rsidRPr="003869E2">
        <w:rPr>
          <w:bCs/>
          <w:iCs/>
          <w:sz w:val="22"/>
          <w:szCs w:val="22"/>
        </w:rPr>
        <w:t>Superkonstelacja</w:t>
      </w:r>
      <w:proofErr w:type="spellEnd"/>
      <w:r w:rsidRPr="003869E2">
        <w:rPr>
          <w:bCs/>
          <w:iCs/>
          <w:sz w:val="22"/>
          <w:szCs w:val="22"/>
        </w:rPr>
        <w:t xml:space="preserve">") niniejszym na podstawie art. 69 ust. 1 pkt 1 w zw. </w:t>
      </w:r>
      <w:r w:rsidR="00D7752A">
        <w:rPr>
          <w:bCs/>
          <w:iCs/>
          <w:sz w:val="22"/>
          <w:szCs w:val="22"/>
        </w:rPr>
        <w:br/>
      </w:r>
      <w:r w:rsidRPr="003869E2">
        <w:rPr>
          <w:bCs/>
          <w:iCs/>
          <w:sz w:val="22"/>
          <w:szCs w:val="22"/>
        </w:rPr>
        <w:t>z art. 69 ust. 2 pkt 1 ustawy z dnia 29 lipca 2005 roku o ofercie publicznej i warunkach wprowadzania instrumentów finansowych do zorganizowanego systemu obrotu oraz o spółkach publicznych (t</w:t>
      </w:r>
      <w:r w:rsidR="008D2D3A">
        <w:rPr>
          <w:bCs/>
          <w:iCs/>
          <w:sz w:val="22"/>
          <w:szCs w:val="22"/>
        </w:rPr>
        <w:t>j. Dz. U. z 2013 r. poz. 1382</w:t>
      </w:r>
      <w:r w:rsidRPr="003869E2">
        <w:rPr>
          <w:bCs/>
          <w:iCs/>
          <w:sz w:val="22"/>
          <w:szCs w:val="22"/>
        </w:rPr>
        <w:t xml:space="preserve">) poinformował, iż w wyniku zawarcia i rozliczenia w dniu </w:t>
      </w:r>
      <w:r w:rsidR="008201DD">
        <w:rPr>
          <w:bCs/>
          <w:iCs/>
          <w:sz w:val="22"/>
          <w:szCs w:val="22"/>
        </w:rPr>
        <w:br/>
      </w:r>
      <w:r w:rsidRPr="003869E2">
        <w:rPr>
          <w:bCs/>
          <w:iCs/>
          <w:sz w:val="22"/>
          <w:szCs w:val="22"/>
        </w:rPr>
        <w:t xml:space="preserve">29 grudnia 2015 roku transakcji nabycia poza rynkiem regulowanym w rozumieniu ustawy z dnia </w:t>
      </w:r>
      <w:r w:rsidR="008201DD">
        <w:rPr>
          <w:bCs/>
          <w:iCs/>
          <w:sz w:val="22"/>
          <w:szCs w:val="22"/>
        </w:rPr>
        <w:br/>
      </w:r>
      <w:r w:rsidRPr="003869E2">
        <w:rPr>
          <w:bCs/>
          <w:iCs/>
          <w:sz w:val="22"/>
          <w:szCs w:val="22"/>
        </w:rPr>
        <w:t xml:space="preserve">29 lipca 2005 roku o obrocie instrumentami finansowymi (Dz. U. z 2014 r. poz. 94) 2.068.000 akcji spółki pod firmą SOHO Development Spółka Akcyjna zmienił się stan posiadania </w:t>
      </w:r>
      <w:proofErr w:type="spellStart"/>
      <w:r w:rsidRPr="003869E2">
        <w:rPr>
          <w:bCs/>
          <w:iCs/>
          <w:sz w:val="22"/>
          <w:szCs w:val="22"/>
        </w:rPr>
        <w:t>Superkonstelacji</w:t>
      </w:r>
      <w:proofErr w:type="spellEnd"/>
      <w:r w:rsidRPr="003869E2">
        <w:rPr>
          <w:bCs/>
          <w:iCs/>
          <w:sz w:val="22"/>
          <w:szCs w:val="22"/>
        </w:rPr>
        <w:t xml:space="preserve"> w ogólnej liczbie głosów w spółce pod firmą SOHO Development S.A. </w:t>
      </w:r>
    </w:p>
    <w:p w:rsidR="00D75149" w:rsidRPr="003869E2" w:rsidRDefault="00D75149" w:rsidP="00D75149">
      <w:pPr>
        <w:jc w:val="both"/>
        <w:rPr>
          <w:bCs/>
          <w:iCs/>
          <w:sz w:val="22"/>
          <w:szCs w:val="22"/>
        </w:rPr>
      </w:pPr>
    </w:p>
    <w:p w:rsidR="00D75149" w:rsidRPr="003869E2" w:rsidRDefault="00D75149" w:rsidP="00D75149">
      <w:pPr>
        <w:jc w:val="both"/>
        <w:rPr>
          <w:bCs/>
          <w:iCs/>
          <w:sz w:val="22"/>
          <w:szCs w:val="22"/>
        </w:rPr>
      </w:pPr>
      <w:r w:rsidRPr="003869E2">
        <w:rPr>
          <w:bCs/>
          <w:iCs/>
          <w:sz w:val="22"/>
          <w:szCs w:val="22"/>
        </w:rPr>
        <w:t>Przed ww. transakcją, Pan Maciej</w:t>
      </w:r>
      <w:r w:rsidR="00174851">
        <w:rPr>
          <w:bCs/>
          <w:iCs/>
          <w:sz w:val="22"/>
          <w:szCs w:val="22"/>
        </w:rPr>
        <w:t xml:space="preserve"> Zientara posiadał pośrednio 20.623.</w:t>
      </w:r>
      <w:r w:rsidRPr="003869E2">
        <w:rPr>
          <w:bCs/>
          <w:iCs/>
          <w:sz w:val="22"/>
          <w:szCs w:val="22"/>
        </w:rPr>
        <w:t>169 akcji SOHO Development S.A., reprezentujących 18,52% kapitału zakładowego SOHO Develop</w:t>
      </w:r>
      <w:r w:rsidR="00174851">
        <w:rPr>
          <w:bCs/>
          <w:iCs/>
          <w:sz w:val="22"/>
          <w:szCs w:val="22"/>
        </w:rPr>
        <w:t xml:space="preserve">ment S.A., uprawniających </w:t>
      </w:r>
      <w:r w:rsidR="00D7752A">
        <w:rPr>
          <w:bCs/>
          <w:iCs/>
          <w:sz w:val="22"/>
          <w:szCs w:val="22"/>
        </w:rPr>
        <w:br/>
      </w:r>
      <w:r w:rsidR="00174851">
        <w:rPr>
          <w:bCs/>
          <w:iCs/>
          <w:sz w:val="22"/>
          <w:szCs w:val="22"/>
        </w:rPr>
        <w:t>do 20.623.</w:t>
      </w:r>
      <w:r w:rsidRPr="003869E2">
        <w:rPr>
          <w:bCs/>
          <w:iCs/>
          <w:sz w:val="22"/>
          <w:szCs w:val="22"/>
        </w:rPr>
        <w:t xml:space="preserve">169 głosów SOHO Development S.A., reprezentujących 18,62 % w ogólnej liczbie głosów w spółce SOHO Development S.A. </w:t>
      </w:r>
    </w:p>
    <w:p w:rsidR="00D75149" w:rsidRPr="003869E2" w:rsidRDefault="00D75149" w:rsidP="00D75149">
      <w:pPr>
        <w:jc w:val="both"/>
        <w:rPr>
          <w:bCs/>
          <w:iCs/>
          <w:sz w:val="22"/>
          <w:szCs w:val="22"/>
        </w:rPr>
      </w:pPr>
    </w:p>
    <w:p w:rsidR="00D75149" w:rsidRPr="003869E2" w:rsidRDefault="00D75149" w:rsidP="00D75149">
      <w:pPr>
        <w:jc w:val="both"/>
        <w:rPr>
          <w:bCs/>
          <w:iCs/>
          <w:sz w:val="22"/>
          <w:szCs w:val="22"/>
        </w:rPr>
      </w:pPr>
      <w:r w:rsidRPr="003869E2">
        <w:rPr>
          <w:bCs/>
          <w:iCs/>
          <w:sz w:val="22"/>
          <w:szCs w:val="22"/>
        </w:rPr>
        <w:t xml:space="preserve">Wskutek ww. transakcji Pan Maciej Zientara obecnie posiada pośrednio akcji 22.691.169 SOHO Development S.A. reprezentujących 20,38 % kapitału zakładowego SOHO Development S.A., uprawniających do 22.691.169 głosów SOHO Development S.A., reprezentujących 20,48 % </w:t>
      </w:r>
      <w:r w:rsidR="00D7752A">
        <w:rPr>
          <w:bCs/>
          <w:iCs/>
          <w:sz w:val="22"/>
          <w:szCs w:val="22"/>
        </w:rPr>
        <w:br/>
      </w:r>
      <w:r w:rsidRPr="003869E2">
        <w:rPr>
          <w:bCs/>
          <w:iCs/>
          <w:sz w:val="22"/>
          <w:szCs w:val="22"/>
        </w:rPr>
        <w:t>w ogólnej liczbie głosów w spółce SOHO Development S.A.</w:t>
      </w:r>
    </w:p>
    <w:p w:rsidR="00D75149" w:rsidRPr="003869E2" w:rsidRDefault="00D75149" w:rsidP="00D75149">
      <w:pPr>
        <w:rPr>
          <w:i/>
          <w:iCs/>
          <w:sz w:val="22"/>
          <w:szCs w:val="22"/>
        </w:rPr>
      </w:pPr>
    </w:p>
    <w:p w:rsidR="00D75149" w:rsidRPr="003869E2" w:rsidRDefault="00D75149" w:rsidP="00D75149">
      <w:pPr>
        <w:jc w:val="both"/>
        <w:rPr>
          <w:bCs/>
          <w:iCs/>
          <w:sz w:val="22"/>
          <w:szCs w:val="22"/>
        </w:rPr>
      </w:pPr>
      <w:r w:rsidRPr="003869E2">
        <w:rPr>
          <w:bCs/>
          <w:iCs/>
          <w:sz w:val="22"/>
          <w:szCs w:val="22"/>
        </w:rPr>
        <w:t xml:space="preserve">W wyniku transakcji przeprowadzonych w dniu 29 kwietnia 2016 r. bezpośredni udział Wandzel </w:t>
      </w:r>
      <w:proofErr w:type="spellStart"/>
      <w:r w:rsidRPr="003869E2">
        <w:rPr>
          <w:bCs/>
          <w:iCs/>
          <w:sz w:val="22"/>
          <w:szCs w:val="22"/>
        </w:rPr>
        <w:t>Sp.j</w:t>
      </w:r>
      <w:proofErr w:type="spellEnd"/>
      <w:r w:rsidRPr="003869E2">
        <w:rPr>
          <w:bCs/>
          <w:iCs/>
          <w:sz w:val="22"/>
          <w:szCs w:val="22"/>
        </w:rPr>
        <w:t>. w ogólnej liczbie głosów w Spółce zmniejszył się w taki sposób, że spółka ta nie posiada żadnych akcji Spółki, a bezpośredni udział spółki Au</w:t>
      </w:r>
      <w:r w:rsidR="00D7752A">
        <w:rPr>
          <w:bCs/>
          <w:iCs/>
          <w:sz w:val="22"/>
          <w:szCs w:val="22"/>
        </w:rPr>
        <w:t>los 1 Sp.</w:t>
      </w:r>
      <w:r w:rsidRPr="003869E2">
        <w:rPr>
          <w:bCs/>
          <w:iCs/>
          <w:sz w:val="22"/>
          <w:szCs w:val="22"/>
        </w:rPr>
        <w:t xml:space="preserve"> z o</w:t>
      </w:r>
      <w:r w:rsidR="00D7752A">
        <w:rPr>
          <w:bCs/>
          <w:iCs/>
          <w:sz w:val="22"/>
          <w:szCs w:val="22"/>
        </w:rPr>
        <w:t>. o.</w:t>
      </w:r>
      <w:r w:rsidRPr="003869E2">
        <w:rPr>
          <w:bCs/>
          <w:iCs/>
          <w:sz w:val="22"/>
          <w:szCs w:val="22"/>
        </w:rPr>
        <w:t xml:space="preserve"> z siedzibą w Warszawie w ogólnej liczbie głosów w Spółce przekroczył 15% ogólnej liczby głosów w Spółce. Po przeprowadzeniu transakcji, Pan Maciej Wandzel wyłącznie za pośrednictwem kontrolowanej przez niego spółki Aulos 1 Sp. z o.o., natomiast Aulos 1 Sp. z o.o. bezpośrednio posiadają 20.911.720 akcji Spółki reprezentujące 18,78% kapitału zakładowego Spółki, uprawniające do wykonywania 20.911.720 głosów na walnym zgromadzeniu Spółki, co stanowi 18,78% ogólnej liczby głosów w Spółce. </w:t>
      </w:r>
    </w:p>
    <w:p w:rsidR="00D75149" w:rsidRDefault="00D75149" w:rsidP="00D75149">
      <w:pPr>
        <w:rPr>
          <w:bCs/>
          <w:iCs/>
          <w:sz w:val="22"/>
          <w:szCs w:val="22"/>
          <w:highlight w:val="cyan"/>
        </w:rPr>
      </w:pPr>
    </w:p>
    <w:p w:rsidR="007769AD" w:rsidRPr="00C534EA" w:rsidRDefault="00215AA4" w:rsidP="004F35C2">
      <w:pPr>
        <w:pStyle w:val="Nagwek2"/>
        <w:numPr>
          <w:ilvl w:val="0"/>
          <w:numId w:val="5"/>
        </w:numPr>
        <w:rPr>
          <w:rFonts w:cs="Times New Roman"/>
        </w:rPr>
      </w:pPr>
      <w:bookmarkStart w:id="4" w:name="_Toc452388430"/>
      <w:r w:rsidRPr="000E22EB">
        <w:rPr>
          <w:rFonts w:cs="Times New Roman"/>
        </w:rPr>
        <w:t>Rada Nadzorcza i Zarząd</w:t>
      </w:r>
      <w:bookmarkEnd w:id="4"/>
    </w:p>
    <w:p w:rsidR="00EF26A3" w:rsidRDefault="00EF26A3" w:rsidP="008A248D">
      <w:pPr>
        <w:pStyle w:val="StylTekstpodstawowyWyjustowany"/>
        <w:spacing w:line="240" w:lineRule="auto"/>
        <w:ind w:right="-108"/>
        <w:rPr>
          <w:b/>
          <w:i/>
          <w:iCs/>
          <w:lang w:eastAsia="en-US"/>
        </w:rPr>
      </w:pPr>
    </w:p>
    <w:p w:rsidR="006F0D6D" w:rsidRPr="00100A2C" w:rsidRDefault="006F0D6D" w:rsidP="006F0D6D">
      <w:pPr>
        <w:pStyle w:val="StylTekstpodstawowyWyjustowany"/>
        <w:spacing w:before="120" w:line="240" w:lineRule="auto"/>
        <w:ind w:right="-108"/>
        <w:rPr>
          <w:b/>
          <w:i/>
          <w:iCs/>
          <w:lang w:eastAsia="en-US"/>
        </w:rPr>
      </w:pPr>
      <w:r w:rsidRPr="00100A2C">
        <w:rPr>
          <w:b/>
          <w:i/>
          <w:iCs/>
          <w:lang w:eastAsia="en-US"/>
        </w:rPr>
        <w:t>Skład Zarządu na 3</w:t>
      </w:r>
      <w:r w:rsidR="00A83379">
        <w:rPr>
          <w:b/>
          <w:i/>
          <w:iCs/>
          <w:lang w:eastAsia="en-US"/>
        </w:rPr>
        <w:t>1</w:t>
      </w:r>
      <w:r w:rsidRPr="00100A2C">
        <w:rPr>
          <w:b/>
          <w:i/>
          <w:iCs/>
          <w:lang w:eastAsia="en-US"/>
        </w:rPr>
        <w:t xml:space="preserve"> </w:t>
      </w:r>
      <w:r w:rsidR="00A83379">
        <w:rPr>
          <w:b/>
          <w:i/>
          <w:iCs/>
          <w:lang w:eastAsia="en-US"/>
        </w:rPr>
        <w:t>marca 2016</w:t>
      </w:r>
      <w:r w:rsidRPr="00100A2C">
        <w:rPr>
          <w:b/>
          <w:i/>
          <w:iCs/>
          <w:lang w:eastAsia="en-US"/>
        </w:rPr>
        <w:t>r. przedstawiał się następująco:</w:t>
      </w:r>
    </w:p>
    <w:p w:rsidR="006F0D6D" w:rsidRPr="00100A2C" w:rsidRDefault="006F0D6D" w:rsidP="006F0D6D">
      <w:pPr>
        <w:pStyle w:val="StylTekstpodstawowyWyjustowany"/>
        <w:spacing w:line="240" w:lineRule="auto"/>
        <w:ind w:right="-108"/>
      </w:pPr>
    </w:p>
    <w:p w:rsidR="006F0D6D" w:rsidRPr="00100A2C" w:rsidRDefault="006F0D6D" w:rsidP="006F0D6D">
      <w:pPr>
        <w:pStyle w:val="StylTekstpodstawowyWyjustowany"/>
        <w:spacing w:line="240" w:lineRule="auto"/>
        <w:ind w:right="-108"/>
      </w:pPr>
      <w:r w:rsidRPr="00100A2C">
        <w:t>Maciej Wandzel</w:t>
      </w:r>
      <w:r w:rsidRPr="00100A2C">
        <w:tab/>
        <w:t>-</w:t>
      </w:r>
      <w:r w:rsidRPr="00100A2C">
        <w:tab/>
        <w:t>Prezes Zarządu</w:t>
      </w:r>
    </w:p>
    <w:p w:rsidR="006F0D6D" w:rsidRPr="006F0D6D" w:rsidRDefault="006F0D6D" w:rsidP="006F0D6D">
      <w:pPr>
        <w:ind w:right="-108"/>
        <w:jc w:val="both"/>
        <w:rPr>
          <w:sz w:val="22"/>
          <w:szCs w:val="22"/>
        </w:rPr>
      </w:pPr>
      <w:r w:rsidRPr="006F0D6D">
        <w:rPr>
          <w:sz w:val="22"/>
          <w:szCs w:val="22"/>
        </w:rPr>
        <w:t>Mariusz Omieciński</w:t>
      </w:r>
      <w:r w:rsidRPr="006F0D6D">
        <w:rPr>
          <w:sz w:val="22"/>
          <w:szCs w:val="22"/>
        </w:rPr>
        <w:tab/>
        <w:t xml:space="preserve">- </w:t>
      </w:r>
      <w:r w:rsidRPr="006F0D6D">
        <w:rPr>
          <w:sz w:val="22"/>
          <w:szCs w:val="22"/>
        </w:rPr>
        <w:tab/>
        <w:t xml:space="preserve">Członek Zarządu </w:t>
      </w:r>
    </w:p>
    <w:p w:rsidR="006F0D6D" w:rsidRPr="006F0D6D" w:rsidRDefault="006F0D6D" w:rsidP="006F0D6D">
      <w:pPr>
        <w:ind w:right="-108"/>
        <w:jc w:val="both"/>
        <w:rPr>
          <w:sz w:val="22"/>
          <w:szCs w:val="22"/>
        </w:rPr>
      </w:pPr>
    </w:p>
    <w:p w:rsidR="006F0D6D" w:rsidRPr="00100A2C" w:rsidRDefault="006F0D6D" w:rsidP="006F0D6D">
      <w:pPr>
        <w:pStyle w:val="StylTekstpodstawowyWyjustowany"/>
        <w:spacing w:before="120" w:line="240" w:lineRule="auto"/>
        <w:ind w:right="-108"/>
        <w:rPr>
          <w:b/>
          <w:i/>
          <w:iCs/>
          <w:lang w:eastAsia="en-US"/>
        </w:rPr>
      </w:pPr>
      <w:r w:rsidRPr="00100A2C">
        <w:rPr>
          <w:b/>
          <w:i/>
          <w:iCs/>
          <w:lang w:eastAsia="en-US"/>
        </w:rPr>
        <w:t xml:space="preserve">Skład Rady Nadzorczej na </w:t>
      </w:r>
      <w:r w:rsidR="00A83379" w:rsidRPr="00100A2C">
        <w:rPr>
          <w:b/>
          <w:i/>
          <w:iCs/>
          <w:lang w:eastAsia="en-US"/>
        </w:rPr>
        <w:t>3</w:t>
      </w:r>
      <w:r w:rsidR="00A83379">
        <w:rPr>
          <w:b/>
          <w:i/>
          <w:iCs/>
          <w:lang w:eastAsia="en-US"/>
        </w:rPr>
        <w:t>1</w:t>
      </w:r>
      <w:r w:rsidR="00A83379" w:rsidRPr="00100A2C">
        <w:rPr>
          <w:b/>
          <w:i/>
          <w:iCs/>
          <w:lang w:eastAsia="en-US"/>
        </w:rPr>
        <w:t xml:space="preserve"> </w:t>
      </w:r>
      <w:r w:rsidR="00A83379">
        <w:rPr>
          <w:b/>
          <w:i/>
          <w:iCs/>
          <w:lang w:eastAsia="en-US"/>
        </w:rPr>
        <w:t>marca 2016</w:t>
      </w:r>
      <w:r w:rsidRPr="00100A2C">
        <w:rPr>
          <w:b/>
          <w:i/>
          <w:iCs/>
          <w:lang w:eastAsia="en-US"/>
        </w:rPr>
        <w:t>r. przedstawiał się następująco:</w:t>
      </w:r>
    </w:p>
    <w:p w:rsidR="00024D5C" w:rsidRDefault="00024D5C" w:rsidP="006F0D6D">
      <w:pPr>
        <w:pStyle w:val="StylTekstpodstawowyWyjustowany"/>
      </w:pPr>
    </w:p>
    <w:p w:rsidR="006F0D6D" w:rsidRDefault="006F0D6D" w:rsidP="006F0D6D">
      <w:pPr>
        <w:pStyle w:val="StylTekstpodstawowyWyjustowany"/>
        <w:spacing w:line="240" w:lineRule="auto"/>
      </w:pPr>
      <w:r>
        <w:t>Bogusław Leśnodorski</w:t>
      </w:r>
      <w:r>
        <w:tab/>
      </w:r>
      <w:r>
        <w:tab/>
        <w:t>-</w:t>
      </w:r>
      <w:r>
        <w:tab/>
        <w:t>Przewodniczący Rady Nadzorczej</w:t>
      </w:r>
    </w:p>
    <w:p w:rsidR="006F0D6D" w:rsidRDefault="00024D5C" w:rsidP="006F0D6D">
      <w:pPr>
        <w:pStyle w:val="StylTekstpodstawowyWyjustowany"/>
      </w:pPr>
      <w:r>
        <w:t>Andrzej</w:t>
      </w:r>
      <w:r w:rsidR="00B4118A">
        <w:t xml:space="preserve"> Zientara</w:t>
      </w:r>
      <w:r w:rsidR="006F0D6D">
        <w:tab/>
      </w:r>
      <w:r w:rsidR="006F0D6D">
        <w:tab/>
        <w:t>-</w:t>
      </w:r>
      <w:r w:rsidR="006F0D6D">
        <w:tab/>
      </w:r>
      <w:r w:rsidR="0048305A">
        <w:t>Członek Rady Nadzorczej</w:t>
      </w:r>
    </w:p>
    <w:p w:rsidR="006F0D6D" w:rsidRDefault="00024D5C" w:rsidP="006F0D6D">
      <w:pPr>
        <w:pStyle w:val="StylTekstpodstawowyWyjustowany"/>
        <w:spacing w:line="240" w:lineRule="auto"/>
      </w:pPr>
      <w:r>
        <w:t>Katarzyna Szwarc</w:t>
      </w:r>
      <w:r w:rsidR="006F0D6D">
        <w:tab/>
      </w:r>
      <w:r w:rsidR="006F0D6D">
        <w:tab/>
        <w:t>-</w:t>
      </w:r>
      <w:r w:rsidR="006F0D6D">
        <w:tab/>
        <w:t>Członek Rady Nadzorczej</w:t>
      </w:r>
    </w:p>
    <w:p w:rsidR="006F0D6D" w:rsidRDefault="00024D5C" w:rsidP="006F0D6D">
      <w:pPr>
        <w:pStyle w:val="StylTekstpodstawowyWyjustowany"/>
        <w:spacing w:line="240" w:lineRule="auto"/>
      </w:pPr>
      <w:r>
        <w:t>Mariusz Kaczmarek</w:t>
      </w:r>
      <w:r>
        <w:tab/>
      </w:r>
      <w:r>
        <w:tab/>
      </w:r>
      <w:r w:rsidR="006F0D6D">
        <w:t>-</w:t>
      </w:r>
      <w:r w:rsidR="006F0D6D">
        <w:tab/>
        <w:t>Członek Rady Nadzorczej</w:t>
      </w:r>
    </w:p>
    <w:p w:rsidR="006F0D6D" w:rsidRDefault="006F0D6D" w:rsidP="006F0D6D">
      <w:pPr>
        <w:pStyle w:val="StylTekstpodstawowyWyjustowany"/>
        <w:spacing w:line="240" w:lineRule="auto"/>
      </w:pPr>
      <w:r>
        <w:lastRenderedPageBreak/>
        <w:t xml:space="preserve">Monika </w:t>
      </w:r>
      <w:proofErr w:type="spellStart"/>
      <w:r>
        <w:t>Hałupczak</w:t>
      </w:r>
      <w:proofErr w:type="spellEnd"/>
      <w:r>
        <w:tab/>
      </w:r>
      <w:r>
        <w:tab/>
        <w:t>-</w:t>
      </w:r>
      <w:r>
        <w:tab/>
        <w:t>Członek Rady Nadzorczej</w:t>
      </w:r>
    </w:p>
    <w:p w:rsidR="006F0D6D" w:rsidRDefault="00024D5C" w:rsidP="006F0D6D">
      <w:pPr>
        <w:pStyle w:val="StylTekstpodstawowyWyjustowany"/>
      </w:pPr>
      <w:proofErr w:type="spellStart"/>
      <w:r>
        <w:t>Petre</w:t>
      </w:r>
      <w:proofErr w:type="spellEnd"/>
      <w:r>
        <w:t xml:space="preserve"> </w:t>
      </w:r>
      <w:proofErr w:type="spellStart"/>
      <w:r>
        <w:t>Manzelov</w:t>
      </w:r>
      <w:proofErr w:type="spellEnd"/>
      <w:r>
        <w:tab/>
      </w:r>
      <w:r w:rsidR="006F0D6D">
        <w:rPr>
          <w:bCs/>
        </w:rPr>
        <w:tab/>
      </w:r>
      <w:r w:rsidR="006F0D6D">
        <w:rPr>
          <w:bCs/>
        </w:rPr>
        <w:tab/>
      </w:r>
      <w:r w:rsidR="006F0D6D">
        <w:t>-</w:t>
      </w:r>
      <w:r w:rsidR="006F0D6D">
        <w:tab/>
        <w:t>Członek Rady Nadzorczej</w:t>
      </w:r>
    </w:p>
    <w:p w:rsidR="006F0D6D" w:rsidRDefault="006F0D6D" w:rsidP="006F0D6D">
      <w:pPr>
        <w:pStyle w:val="StylTekstpodstawowyWyjustowany"/>
        <w:spacing w:line="240" w:lineRule="auto"/>
      </w:pPr>
      <w:r>
        <w:t>Wojciech Napiórkowski</w:t>
      </w:r>
      <w:r>
        <w:tab/>
        <w:t>-</w:t>
      </w:r>
      <w:r>
        <w:tab/>
        <w:t>Członek Rady Nadzorczej</w:t>
      </w:r>
    </w:p>
    <w:p w:rsidR="006F0D6D" w:rsidRDefault="006F0D6D" w:rsidP="006F0D6D">
      <w:pPr>
        <w:pStyle w:val="StylTekstpodstawowyWyjustowany"/>
        <w:spacing w:line="240" w:lineRule="auto"/>
      </w:pPr>
    </w:p>
    <w:p w:rsidR="00A83379" w:rsidRPr="00865710" w:rsidRDefault="00A83379" w:rsidP="00A83379">
      <w:pPr>
        <w:jc w:val="both"/>
        <w:rPr>
          <w:sz w:val="22"/>
          <w:szCs w:val="20"/>
          <w:lang w:eastAsia="x-none"/>
        </w:rPr>
      </w:pPr>
      <w:r w:rsidRPr="00865710">
        <w:rPr>
          <w:sz w:val="22"/>
          <w:szCs w:val="20"/>
          <w:lang w:eastAsia="x-none"/>
        </w:rPr>
        <w:t>W okresie sprawozdawczym miały miejsce następujące zmiany w składzie Rady Nadzorczej:</w:t>
      </w:r>
    </w:p>
    <w:p w:rsidR="00A83379" w:rsidRPr="00865710" w:rsidRDefault="00A83379" w:rsidP="00A83379">
      <w:pPr>
        <w:jc w:val="both"/>
        <w:rPr>
          <w:sz w:val="22"/>
          <w:szCs w:val="20"/>
          <w:lang w:eastAsia="x-none"/>
        </w:rPr>
      </w:pPr>
      <w:r w:rsidRPr="00865710">
        <w:rPr>
          <w:sz w:val="22"/>
          <w:szCs w:val="20"/>
          <w:lang w:eastAsia="x-none"/>
        </w:rPr>
        <w:t xml:space="preserve">W dniu 04 marca 2016 r. Rada Nadzorcza Spółki ponownie dokooptowała do składu Rady Nadzorczej Pana Andrzeja Zientarę. Kooptacja odbyła się w trybie przewidzianym w art. 17 ust. 3 Statutu Spółki. Wcześniejsza kooptacja Pana Andrzeja Zientary, dokonana 13 maja 2015 r. wygasła wskutek upływu terminu przewidzianego w Statucie Spółki. </w:t>
      </w:r>
    </w:p>
    <w:p w:rsidR="0030519E" w:rsidRPr="00024D5C" w:rsidRDefault="00A83379" w:rsidP="00024D5C">
      <w:pPr>
        <w:jc w:val="both"/>
        <w:rPr>
          <w:sz w:val="22"/>
          <w:szCs w:val="22"/>
        </w:rPr>
      </w:pPr>
      <w:r w:rsidRPr="00865710">
        <w:rPr>
          <w:szCs w:val="20"/>
          <w:lang w:eastAsia="x-none"/>
        </w:rPr>
        <w:t>Kooptacja Pana Andrzeja Zientary zastała zatwierdzona na Walnym Zgromadzeniu Spółki, zwołanym na dzień 31 marca 2016 r.</w:t>
      </w:r>
    </w:p>
    <w:p w:rsidR="00EC54D1" w:rsidRDefault="004011CD" w:rsidP="004011CD">
      <w:pPr>
        <w:pStyle w:val="Nagwek2"/>
        <w:numPr>
          <w:ilvl w:val="0"/>
          <w:numId w:val="5"/>
        </w:numPr>
        <w:jc w:val="both"/>
      </w:pPr>
      <w:bookmarkStart w:id="5" w:name="_Toc452388431"/>
      <w:bookmarkStart w:id="6" w:name="_Ref139279076"/>
      <w:r>
        <w:rPr>
          <w:rFonts w:cs="Times New Roman"/>
        </w:rPr>
        <w:t>O</w:t>
      </w:r>
      <w:r w:rsidR="00B7565E">
        <w:rPr>
          <w:rFonts w:cs="Times New Roman"/>
        </w:rPr>
        <w:t>pis głównych rynków</w:t>
      </w:r>
      <w:bookmarkEnd w:id="5"/>
    </w:p>
    <w:p w:rsidR="00EC54D1" w:rsidRDefault="00EC54D1" w:rsidP="00846E79">
      <w:pPr>
        <w:pStyle w:val="StylTekstpodstawowyWyjustowany"/>
      </w:pPr>
    </w:p>
    <w:p w:rsidR="00EC54D1" w:rsidRDefault="00421BBD" w:rsidP="004011CD">
      <w:pPr>
        <w:pStyle w:val="StylTekstpodstawowyWyjustowany"/>
      </w:pPr>
      <w:r>
        <w:t>Wiodącym obszarem aktywności Grupy jest działalność deweloperska, prowadzona na dwóch głównych rynkach: warszawskim (Praga Południe) oraz w Krakowie.</w:t>
      </w:r>
    </w:p>
    <w:p w:rsidR="00206346" w:rsidRDefault="00206346" w:rsidP="004011CD">
      <w:pPr>
        <w:pStyle w:val="StylTekstpodstawowyWyjustowany"/>
      </w:pPr>
    </w:p>
    <w:p w:rsidR="00206346" w:rsidRPr="00846E79" w:rsidRDefault="00206346" w:rsidP="00846E79">
      <w:pPr>
        <w:jc w:val="both"/>
        <w:rPr>
          <w:b/>
          <w:sz w:val="22"/>
          <w:szCs w:val="22"/>
        </w:rPr>
      </w:pPr>
      <w:r w:rsidRPr="00846E79">
        <w:rPr>
          <w:b/>
          <w:sz w:val="22"/>
          <w:szCs w:val="22"/>
        </w:rPr>
        <w:t xml:space="preserve">Rynek </w:t>
      </w:r>
      <w:r w:rsidR="00FE4137">
        <w:rPr>
          <w:b/>
          <w:sz w:val="22"/>
          <w:szCs w:val="22"/>
        </w:rPr>
        <w:t xml:space="preserve">mieszkań </w:t>
      </w:r>
      <w:r w:rsidRPr="00846E79">
        <w:rPr>
          <w:b/>
          <w:sz w:val="22"/>
          <w:szCs w:val="22"/>
        </w:rPr>
        <w:t>w Warszawie</w:t>
      </w:r>
    </w:p>
    <w:p w:rsidR="0001066F" w:rsidRDefault="0001066F" w:rsidP="004011CD">
      <w:pPr>
        <w:pStyle w:val="StylTekstpodstawowyWyjustowany"/>
      </w:pPr>
    </w:p>
    <w:p w:rsidR="00846E79" w:rsidRDefault="001D7DD2" w:rsidP="00846E79">
      <w:pPr>
        <w:pStyle w:val="StylTekstpodstawowyWyjustowany"/>
        <w:jc w:val="center"/>
      </w:pPr>
      <w:r>
        <w:t xml:space="preserve">Rynek </w:t>
      </w:r>
      <w:r w:rsidR="00846E79">
        <w:t>w Warszawie</w:t>
      </w:r>
    </w:p>
    <w:p w:rsidR="001D7DD2" w:rsidRDefault="001D7DD2" w:rsidP="001D7DD2">
      <w:pPr>
        <w:pStyle w:val="StylTekstpodstawowyWyjustowany"/>
        <w:ind w:left="-426" w:hanging="567"/>
        <w:jc w:val="center"/>
      </w:pPr>
      <w:r>
        <w:rPr>
          <w:noProof/>
        </w:rPr>
        <w:drawing>
          <wp:inline distT="0" distB="0" distL="0" distR="0" wp14:anchorId="1B2F6DDD" wp14:editId="0596722F">
            <wp:extent cx="6943060" cy="27432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9132" cy="2749550"/>
                    </a:xfrm>
                    <a:prstGeom prst="rect">
                      <a:avLst/>
                    </a:prstGeom>
                    <a:noFill/>
                  </pic:spPr>
                </pic:pic>
              </a:graphicData>
            </a:graphic>
          </wp:inline>
        </w:drawing>
      </w:r>
    </w:p>
    <w:p w:rsidR="009676F3" w:rsidRPr="009676F3" w:rsidRDefault="009676F3" w:rsidP="009676F3">
      <w:pPr>
        <w:jc w:val="right"/>
        <w:rPr>
          <w:i/>
          <w:sz w:val="18"/>
        </w:rPr>
      </w:pPr>
      <w:r w:rsidRPr="009676F3">
        <w:rPr>
          <w:i/>
          <w:sz w:val="18"/>
        </w:rPr>
        <w:t xml:space="preserve">Źródło: </w:t>
      </w:r>
      <w:proofErr w:type="spellStart"/>
      <w:r w:rsidRPr="009676F3">
        <w:rPr>
          <w:i/>
          <w:sz w:val="18"/>
        </w:rPr>
        <w:t>Reas</w:t>
      </w:r>
      <w:proofErr w:type="spellEnd"/>
      <w:r>
        <w:rPr>
          <w:i/>
          <w:sz w:val="18"/>
        </w:rPr>
        <w:tab/>
      </w:r>
    </w:p>
    <w:p w:rsidR="009676F3" w:rsidRDefault="009676F3" w:rsidP="009676F3">
      <w:pPr>
        <w:pStyle w:val="StylTekstpodstawowyWyjustowany"/>
        <w:jc w:val="center"/>
      </w:pPr>
    </w:p>
    <w:p w:rsidR="0001066F" w:rsidRDefault="0001066F" w:rsidP="004011CD">
      <w:pPr>
        <w:pStyle w:val="StylTekstpodstawowyWyjustowany"/>
      </w:pPr>
    </w:p>
    <w:p w:rsidR="0001066F" w:rsidRDefault="0001066F" w:rsidP="00733FC5">
      <w:pPr>
        <w:jc w:val="both"/>
        <w:rPr>
          <w:sz w:val="22"/>
          <w:szCs w:val="20"/>
          <w:lang w:eastAsia="x-none"/>
        </w:rPr>
      </w:pPr>
      <w:r w:rsidRPr="00865710">
        <w:rPr>
          <w:sz w:val="22"/>
          <w:szCs w:val="20"/>
          <w:lang w:eastAsia="x-none"/>
        </w:rPr>
        <w:t>Sprze</w:t>
      </w:r>
      <w:r w:rsidR="00846E79" w:rsidRPr="00865710">
        <w:rPr>
          <w:sz w:val="22"/>
          <w:szCs w:val="20"/>
          <w:lang w:eastAsia="x-none"/>
        </w:rPr>
        <w:t>daż mieszkań w Warszawie w</w:t>
      </w:r>
      <w:r w:rsidRPr="00865710">
        <w:rPr>
          <w:sz w:val="22"/>
          <w:szCs w:val="20"/>
          <w:lang w:eastAsia="x-none"/>
        </w:rPr>
        <w:t xml:space="preserve"> 1Q 2016 r.</w:t>
      </w:r>
      <w:r w:rsidR="00846E79" w:rsidRPr="00865710">
        <w:rPr>
          <w:sz w:val="22"/>
          <w:szCs w:val="20"/>
          <w:lang w:eastAsia="x-none"/>
        </w:rPr>
        <w:t xml:space="preserve"> wyniosła 5 831 mieszkań.</w:t>
      </w:r>
      <w:r w:rsidRPr="00865710">
        <w:rPr>
          <w:sz w:val="22"/>
          <w:szCs w:val="20"/>
          <w:lang w:eastAsia="x-none"/>
        </w:rPr>
        <w:t xml:space="preserve"> </w:t>
      </w:r>
      <w:r w:rsidR="00846E79" w:rsidRPr="00865710">
        <w:rPr>
          <w:sz w:val="22"/>
          <w:szCs w:val="20"/>
          <w:lang w:eastAsia="x-none"/>
        </w:rPr>
        <w:t>B</w:t>
      </w:r>
      <w:r w:rsidRPr="00865710">
        <w:rPr>
          <w:sz w:val="22"/>
          <w:szCs w:val="20"/>
          <w:lang w:eastAsia="x-none"/>
        </w:rPr>
        <w:t>ył</w:t>
      </w:r>
      <w:r w:rsidR="00846E79" w:rsidRPr="00865710">
        <w:rPr>
          <w:sz w:val="22"/>
          <w:szCs w:val="20"/>
          <w:lang w:eastAsia="x-none"/>
        </w:rPr>
        <w:t xml:space="preserve"> to</w:t>
      </w:r>
      <w:r w:rsidRPr="00865710">
        <w:rPr>
          <w:sz w:val="22"/>
          <w:szCs w:val="20"/>
          <w:lang w:eastAsia="x-none"/>
        </w:rPr>
        <w:t xml:space="preserve"> drugi z rzędu rekordowy kwartał pod względem ilości transakcji (najwyższy poziom sprzedaży mieszkań od 9</w:t>
      </w:r>
      <w:r w:rsidR="00846E79" w:rsidRPr="00865710">
        <w:rPr>
          <w:sz w:val="22"/>
          <w:szCs w:val="20"/>
          <w:lang w:eastAsia="x-none"/>
        </w:rPr>
        <w:t> </w:t>
      </w:r>
      <w:r w:rsidRPr="00865710">
        <w:rPr>
          <w:sz w:val="22"/>
          <w:szCs w:val="20"/>
          <w:lang w:eastAsia="x-none"/>
        </w:rPr>
        <w:t xml:space="preserve">lat). </w:t>
      </w:r>
      <w:r w:rsidR="001D7DD2" w:rsidRPr="00865710">
        <w:rPr>
          <w:sz w:val="22"/>
          <w:szCs w:val="20"/>
          <w:lang w:eastAsia="x-none"/>
        </w:rPr>
        <w:t xml:space="preserve">Liczba mieszkań w ofercie sprzedaży na koniec 1Q 2016 w Warszawie wynosiła 17 992 lokali i była najniższa od 4 kwartałów. </w:t>
      </w:r>
    </w:p>
    <w:p w:rsidR="0059528A" w:rsidRDefault="0059528A" w:rsidP="00733FC5">
      <w:pPr>
        <w:jc w:val="both"/>
        <w:rPr>
          <w:sz w:val="22"/>
          <w:szCs w:val="20"/>
          <w:lang w:eastAsia="x-none"/>
        </w:rPr>
      </w:pPr>
    </w:p>
    <w:p w:rsidR="0059528A" w:rsidRDefault="0059528A" w:rsidP="00733FC5">
      <w:pPr>
        <w:jc w:val="both"/>
        <w:rPr>
          <w:sz w:val="22"/>
          <w:szCs w:val="20"/>
          <w:lang w:eastAsia="x-none"/>
        </w:rPr>
      </w:pPr>
    </w:p>
    <w:p w:rsidR="0059528A" w:rsidRDefault="0059528A" w:rsidP="00733FC5">
      <w:pPr>
        <w:jc w:val="both"/>
        <w:rPr>
          <w:sz w:val="22"/>
          <w:szCs w:val="20"/>
          <w:lang w:eastAsia="x-none"/>
        </w:rPr>
      </w:pPr>
    </w:p>
    <w:p w:rsidR="0059528A" w:rsidRDefault="0059528A" w:rsidP="00733FC5">
      <w:pPr>
        <w:jc w:val="both"/>
        <w:rPr>
          <w:sz w:val="22"/>
          <w:szCs w:val="20"/>
          <w:lang w:eastAsia="x-none"/>
        </w:rPr>
      </w:pPr>
    </w:p>
    <w:p w:rsidR="0059528A" w:rsidRDefault="0059528A" w:rsidP="00733FC5">
      <w:pPr>
        <w:jc w:val="both"/>
        <w:rPr>
          <w:sz w:val="22"/>
          <w:szCs w:val="20"/>
          <w:lang w:eastAsia="x-none"/>
        </w:rPr>
      </w:pPr>
    </w:p>
    <w:p w:rsidR="0059528A" w:rsidRDefault="0059528A" w:rsidP="00733FC5">
      <w:pPr>
        <w:jc w:val="both"/>
        <w:rPr>
          <w:sz w:val="22"/>
          <w:szCs w:val="20"/>
          <w:lang w:eastAsia="x-none"/>
        </w:rPr>
      </w:pPr>
    </w:p>
    <w:p w:rsidR="0059528A" w:rsidRDefault="0059528A" w:rsidP="00733FC5">
      <w:pPr>
        <w:jc w:val="both"/>
        <w:rPr>
          <w:sz w:val="22"/>
          <w:szCs w:val="20"/>
          <w:lang w:eastAsia="x-none"/>
        </w:rPr>
      </w:pPr>
    </w:p>
    <w:p w:rsidR="0059528A" w:rsidRDefault="0059528A" w:rsidP="00733FC5">
      <w:pPr>
        <w:jc w:val="both"/>
        <w:rPr>
          <w:sz w:val="22"/>
          <w:szCs w:val="20"/>
          <w:lang w:eastAsia="x-none"/>
        </w:rPr>
      </w:pPr>
    </w:p>
    <w:p w:rsidR="0059528A" w:rsidRDefault="0059528A" w:rsidP="00733FC5">
      <w:pPr>
        <w:jc w:val="both"/>
        <w:rPr>
          <w:sz w:val="22"/>
          <w:szCs w:val="20"/>
          <w:lang w:eastAsia="x-none"/>
        </w:rPr>
      </w:pPr>
    </w:p>
    <w:p w:rsidR="0059528A" w:rsidRDefault="0059528A" w:rsidP="00733FC5">
      <w:pPr>
        <w:jc w:val="both"/>
        <w:rPr>
          <w:sz w:val="22"/>
          <w:szCs w:val="20"/>
          <w:lang w:eastAsia="x-none"/>
        </w:rPr>
      </w:pPr>
    </w:p>
    <w:p w:rsidR="0059528A" w:rsidRDefault="0059528A" w:rsidP="0059528A">
      <w:pPr>
        <w:jc w:val="center"/>
      </w:pPr>
      <w:r>
        <w:rPr>
          <w:sz w:val="22"/>
          <w:szCs w:val="20"/>
          <w:lang w:eastAsia="x-none"/>
        </w:rPr>
        <w:lastRenderedPageBreak/>
        <w:t>Średnia cena m2 w Warszawie</w:t>
      </w:r>
      <w:r>
        <w:rPr>
          <w:noProof/>
          <w:sz w:val="22"/>
          <w:szCs w:val="20"/>
          <w:lang w:eastAsia="pl-PL"/>
        </w:rPr>
        <w:drawing>
          <wp:inline distT="0" distB="0" distL="0" distR="0" wp14:anchorId="77A71FB5" wp14:editId="61784A27">
            <wp:extent cx="5760720" cy="2540716"/>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540716"/>
                    </a:xfrm>
                    <a:prstGeom prst="rect">
                      <a:avLst/>
                    </a:prstGeom>
                    <a:noFill/>
                  </pic:spPr>
                </pic:pic>
              </a:graphicData>
            </a:graphic>
          </wp:inline>
        </w:drawing>
      </w:r>
    </w:p>
    <w:p w:rsidR="00666BB6" w:rsidRDefault="00E53CAA" w:rsidP="00E53CAA">
      <w:pPr>
        <w:pStyle w:val="StylTekstpodstawowyWyjustowany"/>
        <w:ind w:left="-567" w:firstLine="567"/>
        <w:jc w:val="right"/>
      </w:pPr>
      <w:r w:rsidRPr="009676F3">
        <w:rPr>
          <w:i/>
          <w:sz w:val="18"/>
        </w:rPr>
        <w:t xml:space="preserve">Źródło: </w:t>
      </w:r>
      <w:proofErr w:type="spellStart"/>
      <w:r w:rsidRPr="009676F3">
        <w:rPr>
          <w:i/>
          <w:sz w:val="18"/>
        </w:rPr>
        <w:t>Reas</w:t>
      </w:r>
      <w:proofErr w:type="spellEnd"/>
      <w:r>
        <w:rPr>
          <w:i/>
          <w:sz w:val="18"/>
        </w:rPr>
        <w:tab/>
      </w:r>
    </w:p>
    <w:p w:rsidR="00666BB6" w:rsidRDefault="00666BB6" w:rsidP="00666BB6">
      <w:pPr>
        <w:pStyle w:val="StylTekstpodstawowyWyjustowany"/>
        <w:ind w:left="-567" w:firstLine="567"/>
      </w:pPr>
    </w:p>
    <w:p w:rsidR="0059528A" w:rsidRPr="00666BB6" w:rsidRDefault="0059528A" w:rsidP="00666BB6">
      <w:pPr>
        <w:jc w:val="both"/>
        <w:rPr>
          <w:sz w:val="22"/>
          <w:szCs w:val="20"/>
          <w:lang w:eastAsia="x-none"/>
        </w:rPr>
      </w:pPr>
      <w:r w:rsidRPr="00666BB6">
        <w:rPr>
          <w:sz w:val="22"/>
          <w:szCs w:val="20"/>
          <w:lang w:eastAsia="x-none"/>
        </w:rPr>
        <w:t>Średnia cena m2 mieszkań w ofercie w Warszawie</w:t>
      </w:r>
      <w:r w:rsidR="00666BB6">
        <w:rPr>
          <w:sz w:val="22"/>
          <w:szCs w:val="20"/>
          <w:lang w:eastAsia="x-none"/>
        </w:rPr>
        <w:t xml:space="preserve"> w 1Q 2016</w:t>
      </w:r>
      <w:r w:rsidRPr="00666BB6">
        <w:rPr>
          <w:sz w:val="22"/>
          <w:szCs w:val="20"/>
          <w:lang w:eastAsia="x-none"/>
        </w:rPr>
        <w:t xml:space="preserve"> wzrosła do 8 245 zł</w:t>
      </w:r>
      <w:r w:rsidRPr="00865710">
        <w:rPr>
          <w:sz w:val="22"/>
          <w:szCs w:val="20"/>
          <w:lang w:eastAsia="x-none"/>
        </w:rPr>
        <w:t>. Średnia cena wzrosła o 2,5% względem poprzedniego kwartału i była najwyższa od 20 kwartałów.</w:t>
      </w:r>
      <w:r w:rsidR="00666BB6">
        <w:rPr>
          <w:sz w:val="22"/>
          <w:szCs w:val="20"/>
          <w:lang w:eastAsia="x-none"/>
        </w:rPr>
        <w:t xml:space="preserve"> Średnia cena m2 mieszkania wprowadzonego do sprzedaży w tym okresie wyniosła 7 852 zł.</w:t>
      </w:r>
    </w:p>
    <w:p w:rsidR="0059528A" w:rsidRPr="00666BB6" w:rsidRDefault="0059528A" w:rsidP="00666BB6">
      <w:pPr>
        <w:jc w:val="both"/>
        <w:rPr>
          <w:sz w:val="22"/>
          <w:szCs w:val="20"/>
          <w:lang w:eastAsia="x-none"/>
        </w:rPr>
      </w:pPr>
    </w:p>
    <w:p w:rsidR="0059528A" w:rsidRDefault="0059528A" w:rsidP="001D7DD2">
      <w:pPr>
        <w:pStyle w:val="StylTekstpodstawowyWyjustowany"/>
        <w:ind w:left="-567" w:firstLine="567"/>
        <w:jc w:val="center"/>
      </w:pPr>
    </w:p>
    <w:p w:rsidR="0059528A" w:rsidRDefault="0059528A" w:rsidP="001D7DD2">
      <w:pPr>
        <w:pStyle w:val="StylTekstpodstawowyWyjustowany"/>
        <w:ind w:left="-567" w:firstLine="567"/>
        <w:jc w:val="center"/>
      </w:pPr>
    </w:p>
    <w:p w:rsidR="001D7DD2" w:rsidRDefault="001D7DD2" w:rsidP="001D7DD2">
      <w:pPr>
        <w:pStyle w:val="StylTekstpodstawowyWyjustowany"/>
        <w:ind w:left="-567" w:firstLine="567"/>
        <w:jc w:val="center"/>
      </w:pPr>
      <w:r>
        <w:t>Rynek Praga Południe</w:t>
      </w:r>
      <w:r>
        <w:rPr>
          <w:noProof/>
        </w:rPr>
        <w:drawing>
          <wp:inline distT="0" distB="0" distL="0" distR="0" wp14:anchorId="5EC1AD7B" wp14:editId="4729366D">
            <wp:extent cx="6581775" cy="27432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7011" cy="2749550"/>
                    </a:xfrm>
                    <a:prstGeom prst="rect">
                      <a:avLst/>
                    </a:prstGeom>
                    <a:noFill/>
                  </pic:spPr>
                </pic:pic>
              </a:graphicData>
            </a:graphic>
          </wp:inline>
        </w:drawing>
      </w:r>
    </w:p>
    <w:p w:rsidR="009676F3" w:rsidRPr="009676F3" w:rsidRDefault="009676F3" w:rsidP="009676F3">
      <w:pPr>
        <w:jc w:val="right"/>
        <w:rPr>
          <w:i/>
          <w:sz w:val="18"/>
        </w:rPr>
      </w:pPr>
      <w:r w:rsidRPr="009676F3">
        <w:rPr>
          <w:i/>
          <w:sz w:val="18"/>
        </w:rPr>
        <w:t xml:space="preserve">Źródło: </w:t>
      </w:r>
      <w:proofErr w:type="spellStart"/>
      <w:r w:rsidRPr="009676F3">
        <w:rPr>
          <w:i/>
          <w:sz w:val="18"/>
        </w:rPr>
        <w:t>Reas</w:t>
      </w:r>
      <w:proofErr w:type="spellEnd"/>
      <w:r>
        <w:rPr>
          <w:i/>
          <w:sz w:val="18"/>
        </w:rPr>
        <w:tab/>
      </w:r>
    </w:p>
    <w:p w:rsidR="009676F3" w:rsidRDefault="009676F3" w:rsidP="009676F3">
      <w:pPr>
        <w:pStyle w:val="StylTekstpodstawowyWyjustowany"/>
        <w:jc w:val="center"/>
      </w:pPr>
    </w:p>
    <w:p w:rsidR="00017571" w:rsidRPr="00865710" w:rsidRDefault="00017571" w:rsidP="00865710">
      <w:pPr>
        <w:jc w:val="both"/>
        <w:rPr>
          <w:sz w:val="22"/>
          <w:szCs w:val="20"/>
          <w:lang w:eastAsia="x-none"/>
        </w:rPr>
      </w:pPr>
    </w:p>
    <w:p w:rsidR="001D7DD2" w:rsidRDefault="00017571" w:rsidP="00846E79">
      <w:pPr>
        <w:jc w:val="both"/>
        <w:rPr>
          <w:sz w:val="22"/>
          <w:szCs w:val="20"/>
          <w:lang w:eastAsia="x-none"/>
        </w:rPr>
      </w:pPr>
      <w:r w:rsidRPr="00865710">
        <w:rPr>
          <w:sz w:val="22"/>
          <w:szCs w:val="20"/>
          <w:lang w:eastAsia="x-none"/>
        </w:rPr>
        <w:t xml:space="preserve">Oferta mieszkaniowa Pragi Południe uległa </w:t>
      </w:r>
      <w:r w:rsidR="005C29F2" w:rsidRPr="00865710">
        <w:rPr>
          <w:sz w:val="22"/>
          <w:szCs w:val="20"/>
          <w:lang w:eastAsia="x-none"/>
        </w:rPr>
        <w:t>znaczącemu powiększeniu względem poprzedniego kwartału. Wpływ na to miało</w:t>
      </w:r>
      <w:r w:rsidR="00462121">
        <w:rPr>
          <w:sz w:val="22"/>
          <w:szCs w:val="20"/>
          <w:lang w:eastAsia="x-none"/>
        </w:rPr>
        <w:t xml:space="preserve"> wprowadzenie kilku dużych projektów w regionie Ronda Wiatraczna </w:t>
      </w:r>
      <w:r w:rsidR="0074288E">
        <w:rPr>
          <w:sz w:val="22"/>
          <w:szCs w:val="20"/>
          <w:lang w:eastAsia="x-none"/>
        </w:rPr>
        <w:br/>
      </w:r>
      <w:r w:rsidR="00462121">
        <w:rPr>
          <w:sz w:val="22"/>
          <w:szCs w:val="20"/>
          <w:lang w:eastAsia="x-none"/>
        </w:rPr>
        <w:t>w średnim przedziale cenowym</w:t>
      </w:r>
      <w:r w:rsidR="005C29F2" w:rsidRPr="00865710">
        <w:rPr>
          <w:sz w:val="22"/>
          <w:szCs w:val="20"/>
          <w:lang w:eastAsia="x-none"/>
        </w:rPr>
        <w:t xml:space="preserve">. </w:t>
      </w:r>
      <w:r w:rsidR="001D7DD2" w:rsidRPr="00865710">
        <w:rPr>
          <w:sz w:val="22"/>
          <w:szCs w:val="20"/>
          <w:lang w:eastAsia="x-none"/>
        </w:rPr>
        <w:t>Sprzedaż na Pradze Południe, gdzie swoją lokalizację mają warszawskie projekty Emitenta, charakteryzuje się wzrostami. W pierwszym kwartale bieżącego roku, sprzedaż mieszkań w tej dzielnicy wzrosła o 18%, wobec ogólnego wzrostu w Warszawie o 6% kwartał do kwartału.</w:t>
      </w:r>
    </w:p>
    <w:p w:rsidR="001D7DD2" w:rsidRPr="00846E79" w:rsidRDefault="001D7DD2" w:rsidP="00846E79">
      <w:pPr>
        <w:jc w:val="both"/>
        <w:rPr>
          <w:sz w:val="22"/>
          <w:szCs w:val="22"/>
        </w:rPr>
      </w:pPr>
    </w:p>
    <w:p w:rsidR="00B031AF" w:rsidRDefault="005C29F2" w:rsidP="00846E79">
      <w:pPr>
        <w:jc w:val="both"/>
        <w:rPr>
          <w:sz w:val="22"/>
          <w:szCs w:val="20"/>
          <w:lang w:eastAsia="x-none"/>
        </w:rPr>
      </w:pPr>
      <w:r w:rsidRPr="00865710">
        <w:rPr>
          <w:sz w:val="22"/>
          <w:szCs w:val="20"/>
          <w:lang w:eastAsia="x-none"/>
        </w:rPr>
        <w:lastRenderedPageBreak/>
        <w:t xml:space="preserve">Obecnie w Warszawie czas wyprzedania oferty, wynosi nieco ponad 3 kwartały, co jest poziomem </w:t>
      </w:r>
      <w:r w:rsidR="00733FC5">
        <w:rPr>
          <w:sz w:val="22"/>
          <w:szCs w:val="20"/>
          <w:lang w:eastAsia="x-none"/>
        </w:rPr>
        <w:t>najniższym od 8 lat. Na Pradze Południe w wyniku wzrostu oferty wskaźnik wyprzedaży oferty wyniósł 4,4 kwartału.</w:t>
      </w:r>
    </w:p>
    <w:p w:rsidR="00023E89" w:rsidRDefault="00023E89" w:rsidP="00846E79">
      <w:pPr>
        <w:jc w:val="both"/>
        <w:rPr>
          <w:sz w:val="22"/>
          <w:szCs w:val="20"/>
          <w:lang w:eastAsia="x-none"/>
        </w:rPr>
      </w:pPr>
    </w:p>
    <w:p w:rsidR="009676F3" w:rsidRPr="009676F3" w:rsidRDefault="009676F3" w:rsidP="009676F3">
      <w:pPr>
        <w:jc w:val="right"/>
        <w:rPr>
          <w:i/>
          <w:sz w:val="18"/>
        </w:rPr>
      </w:pPr>
      <w:r>
        <w:rPr>
          <w:i/>
          <w:sz w:val="18"/>
        </w:rPr>
        <w:tab/>
      </w:r>
    </w:p>
    <w:p w:rsidR="00B031AF" w:rsidRDefault="00023E89" w:rsidP="00846E79">
      <w:pPr>
        <w:jc w:val="center"/>
      </w:pPr>
      <w:r>
        <w:rPr>
          <w:sz w:val="22"/>
          <w:szCs w:val="20"/>
          <w:lang w:eastAsia="x-none"/>
        </w:rPr>
        <w:t>Średnia cena m2 na Pradze Południe</w:t>
      </w:r>
      <w:r>
        <w:rPr>
          <w:noProof/>
          <w:lang w:eastAsia="pl-PL"/>
        </w:rPr>
        <w:drawing>
          <wp:inline distT="0" distB="0" distL="0" distR="0" wp14:anchorId="1319DF46" wp14:editId="62973494">
            <wp:extent cx="5901070" cy="2583712"/>
            <wp:effectExtent l="0" t="0" r="4445" b="762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06" cy="2585085"/>
                    </a:xfrm>
                    <a:prstGeom prst="rect">
                      <a:avLst/>
                    </a:prstGeom>
                    <a:noFill/>
                  </pic:spPr>
                </pic:pic>
              </a:graphicData>
            </a:graphic>
          </wp:inline>
        </w:drawing>
      </w:r>
    </w:p>
    <w:p w:rsidR="00D86CC7" w:rsidRPr="009676F3" w:rsidRDefault="00D86CC7" w:rsidP="00D86CC7">
      <w:pPr>
        <w:jc w:val="right"/>
        <w:rPr>
          <w:i/>
          <w:sz w:val="18"/>
        </w:rPr>
      </w:pPr>
      <w:r w:rsidRPr="009676F3">
        <w:rPr>
          <w:i/>
          <w:sz w:val="18"/>
        </w:rPr>
        <w:t xml:space="preserve">Źródło: </w:t>
      </w:r>
      <w:proofErr w:type="spellStart"/>
      <w:r w:rsidRPr="009676F3">
        <w:rPr>
          <w:i/>
          <w:sz w:val="18"/>
        </w:rPr>
        <w:t>Reas</w:t>
      </w:r>
      <w:proofErr w:type="spellEnd"/>
      <w:r>
        <w:rPr>
          <w:i/>
          <w:sz w:val="18"/>
        </w:rPr>
        <w:tab/>
      </w:r>
    </w:p>
    <w:p w:rsidR="00D86CC7" w:rsidRDefault="00D86CC7" w:rsidP="00D86CC7">
      <w:pPr>
        <w:jc w:val="center"/>
      </w:pPr>
    </w:p>
    <w:p w:rsidR="00666BB6" w:rsidRPr="00666BB6" w:rsidRDefault="00666BB6" w:rsidP="00666BB6">
      <w:pPr>
        <w:jc w:val="both"/>
        <w:rPr>
          <w:sz w:val="22"/>
          <w:szCs w:val="20"/>
          <w:lang w:eastAsia="x-none"/>
        </w:rPr>
      </w:pPr>
      <w:r w:rsidRPr="00666BB6">
        <w:rPr>
          <w:sz w:val="22"/>
          <w:szCs w:val="20"/>
          <w:lang w:eastAsia="x-none"/>
        </w:rPr>
        <w:t xml:space="preserve">Średnia cena m2 mieszkań w ofercie </w:t>
      </w:r>
      <w:r>
        <w:rPr>
          <w:sz w:val="22"/>
          <w:szCs w:val="20"/>
          <w:lang w:eastAsia="x-none"/>
        </w:rPr>
        <w:t>na Pradze Południe w 1Q 2016</w:t>
      </w:r>
      <w:r w:rsidRPr="00666BB6">
        <w:rPr>
          <w:sz w:val="22"/>
          <w:szCs w:val="20"/>
          <w:lang w:eastAsia="x-none"/>
        </w:rPr>
        <w:t xml:space="preserve"> </w:t>
      </w:r>
      <w:r>
        <w:rPr>
          <w:sz w:val="22"/>
          <w:szCs w:val="20"/>
          <w:lang w:eastAsia="x-none"/>
        </w:rPr>
        <w:t>wyniosła</w:t>
      </w:r>
      <w:r w:rsidRPr="00666BB6">
        <w:rPr>
          <w:sz w:val="22"/>
          <w:szCs w:val="20"/>
          <w:lang w:eastAsia="x-none"/>
        </w:rPr>
        <w:t xml:space="preserve"> do </w:t>
      </w:r>
      <w:r>
        <w:rPr>
          <w:sz w:val="22"/>
          <w:szCs w:val="20"/>
          <w:lang w:eastAsia="x-none"/>
        </w:rPr>
        <w:t>7 462</w:t>
      </w:r>
      <w:r w:rsidRPr="00666BB6">
        <w:rPr>
          <w:sz w:val="22"/>
          <w:szCs w:val="20"/>
          <w:lang w:eastAsia="x-none"/>
        </w:rPr>
        <w:t xml:space="preserve"> zł</w:t>
      </w:r>
      <w:r w:rsidRPr="00865710">
        <w:rPr>
          <w:sz w:val="22"/>
          <w:szCs w:val="20"/>
          <w:lang w:eastAsia="x-none"/>
        </w:rPr>
        <w:t xml:space="preserve">. Średnia cena </w:t>
      </w:r>
      <w:r>
        <w:rPr>
          <w:sz w:val="22"/>
          <w:szCs w:val="20"/>
          <w:lang w:eastAsia="x-none"/>
        </w:rPr>
        <w:t>spadła o 3</w:t>
      </w:r>
      <w:r w:rsidRPr="00865710">
        <w:rPr>
          <w:sz w:val="22"/>
          <w:szCs w:val="20"/>
          <w:lang w:eastAsia="x-none"/>
        </w:rPr>
        <w:t>% względem poprzedniego kwartału.</w:t>
      </w:r>
      <w:r>
        <w:rPr>
          <w:sz w:val="22"/>
          <w:szCs w:val="20"/>
          <w:lang w:eastAsia="x-none"/>
        </w:rPr>
        <w:t xml:space="preserve"> Średnia cena m2 mieszkania wprowadzonego do sprzedaży w tym okresie wyniosła 7 332 zł.</w:t>
      </w:r>
    </w:p>
    <w:p w:rsidR="00023E89" w:rsidRDefault="00023E89" w:rsidP="009676F3">
      <w:pPr>
        <w:jc w:val="both"/>
        <w:rPr>
          <w:sz w:val="22"/>
          <w:szCs w:val="20"/>
          <w:lang w:eastAsia="x-none"/>
        </w:rPr>
      </w:pPr>
    </w:p>
    <w:p w:rsidR="00206346" w:rsidRPr="009676F3" w:rsidRDefault="00206346" w:rsidP="009676F3">
      <w:pPr>
        <w:jc w:val="both"/>
        <w:rPr>
          <w:b/>
          <w:szCs w:val="22"/>
        </w:rPr>
      </w:pPr>
      <w:r w:rsidRPr="009676F3">
        <w:rPr>
          <w:b/>
          <w:szCs w:val="22"/>
        </w:rPr>
        <w:t xml:space="preserve">Rynek </w:t>
      </w:r>
      <w:r w:rsidR="00FE4137">
        <w:rPr>
          <w:b/>
          <w:szCs w:val="22"/>
        </w:rPr>
        <w:t xml:space="preserve">mieszkań </w:t>
      </w:r>
      <w:r w:rsidRPr="009676F3">
        <w:rPr>
          <w:b/>
          <w:szCs w:val="22"/>
        </w:rPr>
        <w:t>w Krakowie</w:t>
      </w:r>
    </w:p>
    <w:p w:rsidR="00206346" w:rsidRDefault="00206346" w:rsidP="009676F3">
      <w:pPr>
        <w:jc w:val="both"/>
        <w:rPr>
          <w:b/>
          <w:sz w:val="22"/>
          <w:szCs w:val="22"/>
        </w:rPr>
      </w:pPr>
    </w:p>
    <w:p w:rsidR="009676F3" w:rsidRPr="009676F3" w:rsidRDefault="009676F3" w:rsidP="009676F3">
      <w:pPr>
        <w:jc w:val="center"/>
        <w:rPr>
          <w:sz w:val="22"/>
          <w:szCs w:val="22"/>
        </w:rPr>
      </w:pPr>
      <w:r w:rsidRPr="009676F3">
        <w:rPr>
          <w:sz w:val="22"/>
          <w:szCs w:val="22"/>
        </w:rPr>
        <w:t>Rynek mieszkań w Krakowie</w:t>
      </w:r>
    </w:p>
    <w:p w:rsidR="009676F3" w:rsidRPr="009676F3" w:rsidRDefault="009D7305" w:rsidP="009D7305">
      <w:pPr>
        <w:ind w:hanging="284"/>
        <w:jc w:val="right"/>
        <w:rPr>
          <w:i/>
          <w:sz w:val="18"/>
        </w:rPr>
      </w:pPr>
      <w:r>
        <w:rPr>
          <w:i/>
          <w:noProof/>
          <w:sz w:val="18"/>
          <w:lang w:eastAsia="pl-PL"/>
        </w:rPr>
        <w:drawing>
          <wp:inline distT="0" distB="0" distL="0" distR="0" wp14:anchorId="5DC8FBCA" wp14:editId="02704F0D">
            <wp:extent cx="6177517" cy="2644011"/>
            <wp:effectExtent l="0" t="0" r="0" b="444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635" cy="2648770"/>
                    </a:xfrm>
                    <a:prstGeom prst="rect">
                      <a:avLst/>
                    </a:prstGeom>
                    <a:noFill/>
                  </pic:spPr>
                </pic:pic>
              </a:graphicData>
            </a:graphic>
          </wp:inline>
        </w:drawing>
      </w:r>
      <w:r w:rsidR="009676F3" w:rsidRPr="009676F3">
        <w:rPr>
          <w:i/>
          <w:sz w:val="18"/>
        </w:rPr>
        <w:t xml:space="preserve">Źródło: </w:t>
      </w:r>
      <w:proofErr w:type="spellStart"/>
      <w:r w:rsidR="009676F3" w:rsidRPr="009676F3">
        <w:rPr>
          <w:i/>
          <w:sz w:val="18"/>
        </w:rPr>
        <w:t>Reas</w:t>
      </w:r>
      <w:proofErr w:type="spellEnd"/>
      <w:r>
        <w:rPr>
          <w:i/>
          <w:sz w:val="18"/>
        </w:rPr>
        <w:tab/>
      </w:r>
    </w:p>
    <w:p w:rsidR="00206346" w:rsidRDefault="00206346"/>
    <w:p w:rsidR="00844FE8" w:rsidRPr="009676F3" w:rsidRDefault="00206346" w:rsidP="009676F3">
      <w:pPr>
        <w:jc w:val="both"/>
        <w:rPr>
          <w:sz w:val="22"/>
          <w:szCs w:val="22"/>
        </w:rPr>
      </w:pPr>
      <w:r w:rsidRPr="009676F3">
        <w:rPr>
          <w:sz w:val="22"/>
          <w:szCs w:val="22"/>
        </w:rPr>
        <w:t xml:space="preserve">W 1 kwartale 2016 r. w Krakowie sprzedano 2 790 mieszkań. Wynik ten jest podobny </w:t>
      </w:r>
      <w:r w:rsidR="0074288E">
        <w:rPr>
          <w:sz w:val="22"/>
          <w:szCs w:val="22"/>
        </w:rPr>
        <w:br/>
      </w:r>
      <w:r w:rsidRPr="009676F3">
        <w:rPr>
          <w:sz w:val="22"/>
          <w:szCs w:val="22"/>
        </w:rPr>
        <w:t xml:space="preserve">do </w:t>
      </w:r>
      <w:r w:rsidR="00C2347F" w:rsidRPr="009676F3">
        <w:rPr>
          <w:sz w:val="22"/>
          <w:szCs w:val="22"/>
        </w:rPr>
        <w:t xml:space="preserve">zeszłorocznego poziomu. Liczba mieszkań wprowadzonych do oferty była niższa od poziomu sprzedaży. W ciągu ostatnich 6 miesięcy liczba mieszkań w ofercie w Krakowie zmniejszyła się </w:t>
      </w:r>
      <w:r w:rsidR="0074288E">
        <w:rPr>
          <w:sz w:val="22"/>
          <w:szCs w:val="22"/>
        </w:rPr>
        <w:br/>
      </w:r>
      <w:r w:rsidR="00C2347F" w:rsidRPr="009676F3">
        <w:rPr>
          <w:sz w:val="22"/>
          <w:szCs w:val="22"/>
        </w:rPr>
        <w:lastRenderedPageBreak/>
        <w:t xml:space="preserve">o 11%. </w:t>
      </w:r>
      <w:r w:rsidR="00C50257" w:rsidRPr="009676F3">
        <w:rPr>
          <w:sz w:val="22"/>
          <w:szCs w:val="22"/>
        </w:rPr>
        <w:t>Obecnie w Krakowie czas wyprzedania oferty, wynosi 3,4  kwartału, co jest najniższym poziomem w badanym okresie.</w:t>
      </w:r>
    </w:p>
    <w:p w:rsidR="005B2115" w:rsidRDefault="005B2115" w:rsidP="009676F3">
      <w:pPr>
        <w:jc w:val="both"/>
        <w:rPr>
          <w:noProof/>
          <w:lang w:eastAsia="pl-PL"/>
        </w:rPr>
      </w:pPr>
    </w:p>
    <w:p w:rsidR="001D3C89" w:rsidRDefault="005B2115" w:rsidP="001D3C89">
      <w:pPr>
        <w:jc w:val="center"/>
        <w:rPr>
          <w:i/>
          <w:sz w:val="18"/>
        </w:rPr>
      </w:pPr>
      <w:r>
        <w:rPr>
          <w:noProof/>
          <w:lang w:eastAsia="pl-PL"/>
        </w:rPr>
        <w:t>Ceny m2 mieszkań w Krakowie</w:t>
      </w:r>
      <w:r>
        <w:rPr>
          <w:noProof/>
          <w:lang w:eastAsia="pl-PL"/>
        </w:rPr>
        <w:drawing>
          <wp:inline distT="0" distB="0" distL="0" distR="0" wp14:anchorId="299550F5" wp14:editId="604F996D">
            <wp:extent cx="5760720" cy="2646834"/>
            <wp:effectExtent l="0" t="0" r="0" b="127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D3C89" w:rsidRPr="001D3C89">
        <w:rPr>
          <w:i/>
          <w:sz w:val="18"/>
        </w:rPr>
        <w:t xml:space="preserve"> </w:t>
      </w:r>
    </w:p>
    <w:p w:rsidR="001D3C89" w:rsidRDefault="001D3C89" w:rsidP="001D3C89">
      <w:pPr>
        <w:jc w:val="right"/>
        <w:rPr>
          <w:noProof/>
          <w:lang w:eastAsia="pl-PL"/>
        </w:rPr>
      </w:pPr>
      <w:r w:rsidRPr="009676F3">
        <w:rPr>
          <w:i/>
          <w:sz w:val="18"/>
        </w:rPr>
        <w:t xml:space="preserve">Źródło: </w:t>
      </w:r>
      <w:proofErr w:type="spellStart"/>
      <w:r w:rsidRPr="009676F3">
        <w:rPr>
          <w:i/>
          <w:sz w:val="18"/>
        </w:rPr>
        <w:t>Reas</w:t>
      </w:r>
      <w:proofErr w:type="spellEnd"/>
      <w:r>
        <w:rPr>
          <w:i/>
          <w:sz w:val="18"/>
        </w:rPr>
        <w:tab/>
      </w:r>
      <w:r>
        <w:rPr>
          <w:i/>
          <w:sz w:val="18"/>
        </w:rPr>
        <w:tab/>
      </w:r>
    </w:p>
    <w:p w:rsidR="001D3C89" w:rsidRPr="009676F3" w:rsidRDefault="001D3C89" w:rsidP="009676F3">
      <w:pPr>
        <w:jc w:val="both"/>
        <w:rPr>
          <w:sz w:val="22"/>
          <w:szCs w:val="22"/>
        </w:rPr>
      </w:pPr>
    </w:p>
    <w:p w:rsidR="00206346" w:rsidRDefault="009676F3" w:rsidP="009676F3">
      <w:pPr>
        <w:jc w:val="both"/>
        <w:rPr>
          <w:sz w:val="22"/>
          <w:szCs w:val="22"/>
        </w:rPr>
      </w:pPr>
      <w:r w:rsidRPr="009676F3">
        <w:rPr>
          <w:sz w:val="22"/>
          <w:szCs w:val="22"/>
        </w:rPr>
        <w:t xml:space="preserve">Średnia cena </w:t>
      </w:r>
      <w:r w:rsidR="00FE4137">
        <w:rPr>
          <w:sz w:val="22"/>
          <w:szCs w:val="22"/>
        </w:rPr>
        <w:t>m2</w:t>
      </w:r>
      <w:r w:rsidRPr="009676F3">
        <w:rPr>
          <w:sz w:val="22"/>
          <w:szCs w:val="22"/>
        </w:rPr>
        <w:t xml:space="preserve"> mieszkania w ofercie w Krakowie w 1 kwartale 2016 r. wynosiła 6 560 zł, a średnia cena </w:t>
      </w:r>
      <w:r w:rsidR="00FE4137">
        <w:rPr>
          <w:sz w:val="22"/>
          <w:szCs w:val="22"/>
        </w:rPr>
        <w:t>m2</w:t>
      </w:r>
      <w:r w:rsidRPr="009676F3">
        <w:rPr>
          <w:sz w:val="22"/>
          <w:szCs w:val="22"/>
        </w:rPr>
        <w:t xml:space="preserve"> mieszkania wprowadzonego do oferty w tym okresie wyniosła 6 312 zł. </w:t>
      </w:r>
    </w:p>
    <w:p w:rsidR="009676F3" w:rsidRPr="009676F3" w:rsidRDefault="009676F3" w:rsidP="009676F3">
      <w:pPr>
        <w:jc w:val="both"/>
        <w:rPr>
          <w:sz w:val="22"/>
          <w:szCs w:val="22"/>
        </w:rPr>
      </w:pPr>
    </w:p>
    <w:p w:rsidR="000E0C81" w:rsidRPr="00337F8F" w:rsidRDefault="00F71DEB" w:rsidP="004F35C2">
      <w:pPr>
        <w:pStyle w:val="Nagwek2"/>
        <w:numPr>
          <w:ilvl w:val="0"/>
          <w:numId w:val="5"/>
        </w:numPr>
        <w:jc w:val="both"/>
        <w:rPr>
          <w:rFonts w:cs="Times New Roman"/>
        </w:rPr>
      </w:pPr>
      <w:bookmarkStart w:id="7" w:name="_Toc452388432"/>
      <w:r w:rsidRPr="000E22EB">
        <w:rPr>
          <w:rFonts w:cs="Times New Roman"/>
        </w:rPr>
        <w:t>Opis organizacji Grupy Kapitałowej Emitenta</w:t>
      </w:r>
      <w:r w:rsidR="00D17D01" w:rsidRPr="000E22EB">
        <w:rPr>
          <w:rFonts w:cs="Times New Roman"/>
        </w:rPr>
        <w:t xml:space="preserve"> </w:t>
      </w:r>
      <w:r w:rsidR="0031395D" w:rsidRPr="000E22EB">
        <w:rPr>
          <w:rFonts w:cs="Times New Roman"/>
        </w:rPr>
        <w:t xml:space="preserve">wraz z </w:t>
      </w:r>
      <w:r w:rsidR="008D2D3A" w:rsidRPr="000E22EB">
        <w:rPr>
          <w:rFonts w:cs="Times New Roman"/>
        </w:rPr>
        <w:t xml:space="preserve">opisem </w:t>
      </w:r>
      <w:r w:rsidR="008D2D3A" w:rsidRPr="000E22EB">
        <w:rPr>
          <w:rStyle w:val="Nagwek2Znak"/>
          <w:rFonts w:cs="Times New Roman"/>
          <w:b/>
          <w:bCs/>
          <w:lang w:val="pl-PL"/>
        </w:rPr>
        <w:t>zmian</w:t>
      </w:r>
      <w:r w:rsidR="0031395D" w:rsidRPr="000E22EB">
        <w:rPr>
          <w:rStyle w:val="Nagwek2Znak"/>
          <w:rFonts w:cs="Times New Roman"/>
          <w:b/>
          <w:bCs/>
          <w:lang w:val="pl-PL"/>
        </w:rPr>
        <w:t xml:space="preserve"> </w:t>
      </w:r>
      <w:r w:rsidR="0074288E">
        <w:rPr>
          <w:rStyle w:val="Nagwek2Znak"/>
          <w:rFonts w:cs="Times New Roman"/>
          <w:b/>
          <w:bCs/>
          <w:lang w:val="pl-PL"/>
        </w:rPr>
        <w:br/>
      </w:r>
      <w:r w:rsidR="0031395D" w:rsidRPr="000E22EB">
        <w:rPr>
          <w:rStyle w:val="Nagwek2Znak"/>
          <w:rFonts w:cs="Times New Roman"/>
          <w:b/>
          <w:bCs/>
          <w:lang w:val="pl-PL"/>
        </w:rPr>
        <w:t>w organizacji Grupy Kapitałowej Emitenta oraz ich przyczyn</w:t>
      </w:r>
      <w:r w:rsidR="0031395D" w:rsidRPr="000E22EB">
        <w:rPr>
          <w:rFonts w:cs="Times New Roman"/>
        </w:rPr>
        <w:t>.</w:t>
      </w:r>
      <w:bookmarkEnd w:id="7"/>
    </w:p>
    <w:p w:rsidR="009F5516" w:rsidRDefault="009F5516" w:rsidP="008A248D">
      <w:pPr>
        <w:pStyle w:val="Tekstpodstawowywcity3"/>
        <w:spacing w:before="120" w:after="0"/>
        <w:ind w:left="0" w:right="-108"/>
        <w:jc w:val="both"/>
        <w:rPr>
          <w:sz w:val="22"/>
          <w:szCs w:val="22"/>
        </w:rPr>
      </w:pPr>
    </w:p>
    <w:p w:rsidR="00024D5C" w:rsidRDefault="00024D5C" w:rsidP="00024D5C">
      <w:pPr>
        <w:jc w:val="both"/>
        <w:rPr>
          <w:sz w:val="22"/>
          <w:szCs w:val="22"/>
        </w:rPr>
      </w:pPr>
      <w:r w:rsidRPr="00024D5C">
        <w:rPr>
          <w:sz w:val="22"/>
          <w:szCs w:val="22"/>
        </w:rPr>
        <w:t xml:space="preserve">W skład Grupy kapitałowej Emitenta wchodzą spółki działające w segmentach: </w:t>
      </w:r>
    </w:p>
    <w:p w:rsidR="00024D5C" w:rsidRDefault="00024D5C" w:rsidP="00024D5C">
      <w:pPr>
        <w:jc w:val="both"/>
        <w:rPr>
          <w:sz w:val="22"/>
          <w:szCs w:val="22"/>
        </w:rPr>
      </w:pPr>
    </w:p>
    <w:p w:rsidR="00713913" w:rsidRPr="000D3C5F" w:rsidRDefault="00713913" w:rsidP="00713913">
      <w:pPr>
        <w:widowControl w:val="0"/>
        <w:numPr>
          <w:ilvl w:val="0"/>
          <w:numId w:val="13"/>
        </w:numPr>
        <w:tabs>
          <w:tab w:val="left" w:pos="426"/>
        </w:tabs>
        <w:jc w:val="both"/>
        <w:rPr>
          <w:sz w:val="22"/>
          <w:szCs w:val="22"/>
        </w:rPr>
      </w:pPr>
      <w:r w:rsidRPr="000D3C5F">
        <w:rPr>
          <w:sz w:val="22"/>
          <w:szCs w:val="22"/>
        </w:rPr>
        <w:t>Segment deweloperski,</w:t>
      </w:r>
    </w:p>
    <w:p w:rsidR="00713913" w:rsidRPr="000D3C5F" w:rsidRDefault="00713913" w:rsidP="00713913">
      <w:pPr>
        <w:widowControl w:val="0"/>
        <w:numPr>
          <w:ilvl w:val="0"/>
          <w:numId w:val="13"/>
        </w:numPr>
        <w:tabs>
          <w:tab w:val="left" w:pos="426"/>
        </w:tabs>
        <w:jc w:val="both"/>
        <w:rPr>
          <w:sz w:val="22"/>
          <w:szCs w:val="22"/>
        </w:rPr>
      </w:pPr>
      <w:r w:rsidRPr="000D3C5F">
        <w:rPr>
          <w:sz w:val="22"/>
          <w:szCs w:val="22"/>
        </w:rPr>
        <w:t>Segment nieruchomości,</w:t>
      </w:r>
    </w:p>
    <w:p w:rsidR="00713913" w:rsidRPr="000D3C5F" w:rsidRDefault="00713913" w:rsidP="00713913">
      <w:pPr>
        <w:widowControl w:val="0"/>
        <w:numPr>
          <w:ilvl w:val="0"/>
          <w:numId w:val="13"/>
        </w:numPr>
        <w:tabs>
          <w:tab w:val="left" w:pos="426"/>
        </w:tabs>
        <w:jc w:val="both"/>
        <w:rPr>
          <w:sz w:val="22"/>
          <w:szCs w:val="22"/>
        </w:rPr>
      </w:pPr>
      <w:r w:rsidRPr="000D3C5F">
        <w:rPr>
          <w:sz w:val="22"/>
          <w:szCs w:val="22"/>
        </w:rPr>
        <w:t xml:space="preserve">Segment </w:t>
      </w:r>
      <w:proofErr w:type="spellStart"/>
      <w:r w:rsidRPr="000D3C5F">
        <w:rPr>
          <w:sz w:val="22"/>
          <w:szCs w:val="22"/>
        </w:rPr>
        <w:t>inwestycyjno</w:t>
      </w:r>
      <w:proofErr w:type="spellEnd"/>
      <w:r w:rsidRPr="000D3C5F">
        <w:rPr>
          <w:sz w:val="22"/>
          <w:szCs w:val="22"/>
        </w:rPr>
        <w:t xml:space="preserve"> – finansowy,</w:t>
      </w:r>
    </w:p>
    <w:p w:rsidR="00713913" w:rsidRPr="000D3C5F" w:rsidRDefault="00713913" w:rsidP="00713913">
      <w:pPr>
        <w:widowControl w:val="0"/>
        <w:numPr>
          <w:ilvl w:val="0"/>
          <w:numId w:val="13"/>
        </w:numPr>
        <w:tabs>
          <w:tab w:val="left" w:pos="426"/>
        </w:tabs>
        <w:jc w:val="both"/>
        <w:rPr>
          <w:sz w:val="22"/>
          <w:szCs w:val="22"/>
        </w:rPr>
      </w:pPr>
      <w:r w:rsidRPr="000D3C5F">
        <w:rPr>
          <w:sz w:val="22"/>
          <w:szCs w:val="22"/>
        </w:rPr>
        <w:t>Pozostałe segmenty</w:t>
      </w:r>
    </w:p>
    <w:p w:rsidR="00024D5C" w:rsidRDefault="00024D5C" w:rsidP="00024D5C">
      <w:pPr>
        <w:jc w:val="both"/>
        <w:rPr>
          <w:sz w:val="22"/>
          <w:szCs w:val="22"/>
        </w:rPr>
      </w:pPr>
    </w:p>
    <w:p w:rsidR="0048305A" w:rsidRDefault="00024D5C" w:rsidP="00024D5C">
      <w:pPr>
        <w:jc w:val="both"/>
        <w:rPr>
          <w:sz w:val="22"/>
          <w:szCs w:val="22"/>
        </w:rPr>
      </w:pPr>
      <w:r w:rsidRPr="00024D5C">
        <w:rPr>
          <w:sz w:val="22"/>
          <w:szCs w:val="22"/>
        </w:rPr>
        <w:t>Powyższe wyodrębnienie segmentów wynika z</w:t>
      </w:r>
      <w:r w:rsidR="00174851">
        <w:rPr>
          <w:sz w:val="22"/>
          <w:szCs w:val="22"/>
        </w:rPr>
        <w:t xml:space="preserve">e </w:t>
      </w:r>
      <w:r w:rsidRPr="00024D5C">
        <w:rPr>
          <w:sz w:val="22"/>
          <w:szCs w:val="22"/>
        </w:rPr>
        <w:t xml:space="preserve">strategii </w:t>
      </w:r>
      <w:r>
        <w:rPr>
          <w:sz w:val="22"/>
          <w:szCs w:val="22"/>
        </w:rPr>
        <w:t>Emitenta</w:t>
      </w:r>
      <w:r w:rsidRPr="00024D5C">
        <w:rPr>
          <w:sz w:val="22"/>
          <w:szCs w:val="22"/>
        </w:rPr>
        <w:t xml:space="preserve">. Zarząd podjął decyzję </w:t>
      </w:r>
      <w:r w:rsidR="0074288E">
        <w:rPr>
          <w:sz w:val="22"/>
          <w:szCs w:val="22"/>
        </w:rPr>
        <w:br/>
      </w:r>
      <w:r w:rsidRPr="00024D5C">
        <w:rPr>
          <w:sz w:val="22"/>
          <w:szCs w:val="22"/>
        </w:rPr>
        <w:t xml:space="preserve">o koncentracji na działalności prowadzonej w spółkach deweloperskich i nieruchomościowych, które wg. wyceny na </w:t>
      </w:r>
      <w:r w:rsidR="00713913">
        <w:rPr>
          <w:sz w:val="22"/>
          <w:szCs w:val="22"/>
        </w:rPr>
        <w:t>dzień bilansowy</w:t>
      </w:r>
      <w:r w:rsidRPr="00024D5C">
        <w:rPr>
          <w:sz w:val="22"/>
          <w:szCs w:val="22"/>
        </w:rPr>
        <w:t xml:space="preserve"> stanowią zdecydowaną większość wartości aktywów netto (Soho Factory, Cracovia </w:t>
      </w:r>
      <w:proofErr w:type="spellStart"/>
      <w:r w:rsidRPr="00024D5C">
        <w:rPr>
          <w:sz w:val="22"/>
          <w:szCs w:val="22"/>
        </w:rPr>
        <w:t>Property</w:t>
      </w:r>
      <w:proofErr w:type="spellEnd"/>
      <w:r w:rsidRPr="00024D5C">
        <w:rPr>
          <w:sz w:val="22"/>
          <w:szCs w:val="22"/>
        </w:rPr>
        <w:t xml:space="preserve">, Mińska Development, Fabryka PZO). </w:t>
      </w:r>
    </w:p>
    <w:p w:rsidR="0048305A" w:rsidRDefault="0048305A" w:rsidP="00024D5C">
      <w:pPr>
        <w:jc w:val="both"/>
        <w:rPr>
          <w:sz w:val="22"/>
          <w:szCs w:val="22"/>
        </w:rPr>
      </w:pPr>
    </w:p>
    <w:p w:rsidR="0048305A" w:rsidRDefault="00024D5C" w:rsidP="00024D5C">
      <w:pPr>
        <w:jc w:val="both"/>
        <w:rPr>
          <w:sz w:val="22"/>
          <w:szCs w:val="22"/>
        </w:rPr>
      </w:pPr>
      <w:r w:rsidRPr="00024D5C">
        <w:rPr>
          <w:sz w:val="22"/>
          <w:szCs w:val="22"/>
        </w:rPr>
        <w:t xml:space="preserve">Aby uzyskać pełen obraz aktywów Emitenta, przedstawione zostały również spółki </w:t>
      </w:r>
      <w:r w:rsidR="008D2D3A" w:rsidRPr="00024D5C">
        <w:rPr>
          <w:sz w:val="22"/>
          <w:szCs w:val="22"/>
        </w:rPr>
        <w:t>niepodlegające</w:t>
      </w:r>
      <w:r w:rsidRPr="00024D5C">
        <w:rPr>
          <w:sz w:val="22"/>
          <w:szCs w:val="22"/>
        </w:rPr>
        <w:t xml:space="preserve"> konsolidacji, znajdujące się w portfelu Funduszu Inwestycyjnego Zamkniętego zarządzanego przez </w:t>
      </w:r>
      <w:proofErr w:type="spellStart"/>
      <w:r w:rsidRPr="00024D5C">
        <w:rPr>
          <w:sz w:val="22"/>
          <w:szCs w:val="22"/>
        </w:rPr>
        <w:t>Altus</w:t>
      </w:r>
      <w:proofErr w:type="spellEnd"/>
      <w:r w:rsidRPr="00024D5C">
        <w:rPr>
          <w:sz w:val="22"/>
          <w:szCs w:val="22"/>
        </w:rPr>
        <w:t xml:space="preserve"> TFI S.A., w którym Emitent posiada 100% certyfikatów inwestycyjnych. </w:t>
      </w:r>
    </w:p>
    <w:p w:rsidR="0048305A" w:rsidRDefault="0048305A" w:rsidP="00024D5C">
      <w:pPr>
        <w:jc w:val="both"/>
        <w:rPr>
          <w:sz w:val="22"/>
          <w:szCs w:val="22"/>
        </w:rPr>
      </w:pPr>
    </w:p>
    <w:p w:rsidR="00C41134" w:rsidRPr="00024D5C" w:rsidRDefault="00024D5C" w:rsidP="00024D5C">
      <w:pPr>
        <w:jc w:val="both"/>
        <w:rPr>
          <w:sz w:val="22"/>
          <w:szCs w:val="22"/>
        </w:rPr>
      </w:pPr>
      <w:r w:rsidRPr="00024D5C">
        <w:rPr>
          <w:sz w:val="22"/>
          <w:szCs w:val="22"/>
        </w:rPr>
        <w:t xml:space="preserve">Zarząd </w:t>
      </w:r>
      <w:r w:rsidR="00174851">
        <w:rPr>
          <w:sz w:val="22"/>
          <w:szCs w:val="22"/>
        </w:rPr>
        <w:t xml:space="preserve">kontynuuje </w:t>
      </w:r>
      <w:r w:rsidRPr="00024D5C">
        <w:rPr>
          <w:sz w:val="22"/>
          <w:szCs w:val="22"/>
        </w:rPr>
        <w:t>działania zmierzające do uproszczenia struktury organizacyjnej Grupy Emitenta. Obejmu</w:t>
      </w:r>
      <w:r w:rsidR="00174851">
        <w:rPr>
          <w:sz w:val="22"/>
          <w:szCs w:val="22"/>
        </w:rPr>
        <w:t xml:space="preserve">ją one likwidację i połączenie </w:t>
      </w:r>
      <w:r w:rsidRPr="00024D5C">
        <w:rPr>
          <w:sz w:val="22"/>
          <w:szCs w:val="22"/>
        </w:rPr>
        <w:t xml:space="preserve">szeregu podmiotów </w:t>
      </w:r>
      <w:r w:rsidR="008D2D3A" w:rsidRPr="00024D5C">
        <w:rPr>
          <w:sz w:val="22"/>
          <w:szCs w:val="22"/>
        </w:rPr>
        <w:t>nieprowadzących</w:t>
      </w:r>
      <w:r w:rsidRPr="00024D5C">
        <w:rPr>
          <w:sz w:val="22"/>
          <w:szCs w:val="22"/>
        </w:rPr>
        <w:t xml:space="preserve"> działalności operacyjne</w:t>
      </w:r>
      <w:r>
        <w:rPr>
          <w:sz w:val="22"/>
          <w:szCs w:val="22"/>
        </w:rPr>
        <w:t>j.</w:t>
      </w:r>
    </w:p>
    <w:p w:rsidR="00B1046B" w:rsidRDefault="00B1046B" w:rsidP="008A248D">
      <w:pPr>
        <w:pStyle w:val="Tekstpodstawowywcity3"/>
        <w:spacing w:before="120" w:after="0"/>
        <w:ind w:left="0" w:right="-108"/>
        <w:jc w:val="both"/>
        <w:rPr>
          <w:noProof/>
          <w:sz w:val="22"/>
          <w:szCs w:val="22"/>
          <w:lang w:eastAsia="pl-PL"/>
        </w:rPr>
        <w:sectPr w:rsidR="00B1046B" w:rsidSect="004D68FF">
          <w:headerReference w:type="default" r:id="rId17"/>
          <w:footerReference w:type="even" r:id="rId18"/>
          <w:footerReference w:type="default" r:id="rId19"/>
          <w:footerReference w:type="first" r:id="rId20"/>
          <w:pgSz w:w="11906" w:h="16838"/>
          <w:pgMar w:top="1417" w:right="1417" w:bottom="1417" w:left="1417" w:header="708" w:footer="708" w:gutter="0"/>
          <w:cols w:space="708"/>
          <w:titlePg/>
          <w:docGrid w:linePitch="360"/>
        </w:sectPr>
      </w:pPr>
    </w:p>
    <w:p w:rsidR="00B1046B" w:rsidRPr="008430A5" w:rsidRDefault="00B1046B" w:rsidP="00BF07BF">
      <w:pPr>
        <w:pStyle w:val="Tekstpodstawowywcity3"/>
        <w:spacing w:before="120" w:after="0"/>
        <w:ind w:left="0" w:right="-108"/>
        <w:jc w:val="center"/>
        <w:rPr>
          <w:b/>
          <w:sz w:val="28"/>
        </w:rPr>
      </w:pPr>
      <w:r w:rsidRPr="008430A5">
        <w:rPr>
          <w:b/>
          <w:sz w:val="28"/>
        </w:rPr>
        <w:lastRenderedPageBreak/>
        <w:t xml:space="preserve">Struktura Grupy Kapitałowej </w:t>
      </w:r>
      <w:r w:rsidR="00024D5C" w:rsidRPr="008430A5">
        <w:rPr>
          <w:b/>
          <w:sz w:val="28"/>
        </w:rPr>
        <w:t>Soho Development</w:t>
      </w:r>
      <w:r w:rsidRPr="008430A5">
        <w:rPr>
          <w:b/>
          <w:sz w:val="28"/>
        </w:rPr>
        <w:t xml:space="preserve"> S.A.</w:t>
      </w:r>
      <w:r w:rsidR="00DB1C10">
        <w:rPr>
          <w:b/>
          <w:sz w:val="28"/>
        </w:rPr>
        <w:t xml:space="preserve"> na dzień </w:t>
      </w:r>
      <w:r w:rsidR="00F27133">
        <w:rPr>
          <w:b/>
          <w:sz w:val="28"/>
        </w:rPr>
        <w:t>bilansowy</w:t>
      </w:r>
      <w:r w:rsidR="0022331F">
        <w:rPr>
          <w:b/>
          <w:sz w:val="28"/>
        </w:rPr>
        <w:t>***</w:t>
      </w:r>
    </w:p>
    <w:p w:rsidR="00B1046B" w:rsidRDefault="00B1046B" w:rsidP="008A248D">
      <w:pPr>
        <w:pStyle w:val="Tekstpodstawowywcity3"/>
        <w:spacing w:before="120" w:after="0"/>
        <w:ind w:left="0" w:right="-108"/>
        <w:jc w:val="both"/>
      </w:pPr>
      <w:r w:rsidRPr="00A90E72">
        <w:t xml:space="preserve"> </w:t>
      </w:r>
      <w:r w:rsidR="00AD1EB0">
        <w:rPr>
          <w:noProof/>
          <w:lang w:eastAsia="pl-PL"/>
        </w:rPr>
        <w:drawing>
          <wp:inline distT="0" distB="0" distL="0" distR="0" wp14:anchorId="68BDD3F2" wp14:editId="5578D397">
            <wp:extent cx="8890057" cy="4448175"/>
            <wp:effectExtent l="0" t="0" r="6350" b="0"/>
            <wp:docPr id="5" name="Obraz 5" descr="C:\Users\tomasz.naprawa\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sz.naprawa\Desktop\Bez tytułu.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4448782"/>
                    </a:xfrm>
                    <a:prstGeom prst="rect">
                      <a:avLst/>
                    </a:prstGeom>
                    <a:noFill/>
                    <a:ln>
                      <a:noFill/>
                    </a:ln>
                  </pic:spPr>
                </pic:pic>
              </a:graphicData>
            </a:graphic>
          </wp:inline>
        </w:drawing>
      </w:r>
    </w:p>
    <w:p w:rsidR="008430A5" w:rsidRPr="000D3C5F" w:rsidRDefault="008430A5" w:rsidP="008430A5">
      <w:pPr>
        <w:rPr>
          <w:i/>
          <w:iCs/>
          <w:sz w:val="16"/>
          <w:szCs w:val="18"/>
        </w:rPr>
      </w:pPr>
      <w:r w:rsidRPr="000D3C5F">
        <w:rPr>
          <w:i/>
          <w:iCs/>
          <w:sz w:val="18"/>
          <w:szCs w:val="18"/>
        </w:rPr>
        <w:t xml:space="preserve">* Udział w </w:t>
      </w:r>
      <w:r w:rsidRPr="000D3C5F">
        <w:rPr>
          <w:i/>
          <w:iCs/>
          <w:sz w:val="16"/>
          <w:szCs w:val="18"/>
        </w:rPr>
        <w:t>kapitalizacji spółki rozumianej jako suma wkładów kapitałowych i wkładów o charakterze dłużnym od udziałowców</w:t>
      </w:r>
      <w:r w:rsidR="0074288E">
        <w:rPr>
          <w:i/>
          <w:iCs/>
          <w:sz w:val="16"/>
          <w:szCs w:val="18"/>
        </w:rPr>
        <w:t>.</w:t>
      </w:r>
    </w:p>
    <w:p w:rsidR="008430A5" w:rsidRDefault="008430A5" w:rsidP="004553CD">
      <w:pPr>
        <w:rPr>
          <w:i/>
          <w:iCs/>
          <w:sz w:val="16"/>
          <w:szCs w:val="18"/>
        </w:rPr>
      </w:pPr>
      <w:r w:rsidRPr="000D3C5F">
        <w:rPr>
          <w:b/>
          <w:bCs/>
          <w:i/>
          <w:iCs/>
          <w:sz w:val="16"/>
          <w:szCs w:val="18"/>
        </w:rPr>
        <w:t>**</w:t>
      </w:r>
      <w:r w:rsidRPr="000D3C5F">
        <w:rPr>
          <w:i/>
          <w:iCs/>
          <w:sz w:val="16"/>
          <w:szCs w:val="18"/>
        </w:rPr>
        <w:t xml:space="preserve">Powyższy schemat, dla lepszej ilustracji, uwzględnia również aktywa zaalokowane w Funduszu Inwestycyjnym Zamkniętym (Progress FIZAN). Na podstawie obowiązujących przepisów, w szczególności MSSF 10 i ustawy o funduszach inwestycyjnych nie można uznać FIZAN za podmiot zależny od Inwestora, w związku z tym nie podlega on konsolidacji. </w:t>
      </w:r>
      <w:r w:rsidR="006B7C83">
        <w:rPr>
          <w:i/>
          <w:iCs/>
          <w:sz w:val="16"/>
          <w:szCs w:val="18"/>
        </w:rPr>
        <w:t xml:space="preserve"> Spółki Fabryka PZO oraz Recycling Park znajdujące się w portfelu FIZAN są konsolidowane na podstawie umowy o </w:t>
      </w:r>
      <w:proofErr w:type="spellStart"/>
      <w:r w:rsidR="006B7C83">
        <w:rPr>
          <w:i/>
          <w:iCs/>
          <w:sz w:val="16"/>
          <w:szCs w:val="18"/>
        </w:rPr>
        <w:t>subzarządzanie</w:t>
      </w:r>
      <w:proofErr w:type="spellEnd"/>
      <w:r w:rsidR="006B7C83">
        <w:rPr>
          <w:i/>
          <w:iCs/>
          <w:sz w:val="16"/>
          <w:szCs w:val="18"/>
        </w:rPr>
        <w:t xml:space="preserve"> zawartej z Emitentem. </w:t>
      </w:r>
      <w:r w:rsidRPr="000D3C5F">
        <w:rPr>
          <w:i/>
          <w:iCs/>
          <w:sz w:val="16"/>
          <w:szCs w:val="18"/>
        </w:rPr>
        <w:t xml:space="preserve">Progress FIZAN posiada </w:t>
      </w:r>
      <w:r w:rsidRPr="008430A5">
        <w:rPr>
          <w:i/>
          <w:iCs/>
          <w:sz w:val="16"/>
          <w:szCs w:val="18"/>
        </w:rPr>
        <w:t>również11,9 mln</w:t>
      </w:r>
      <w:r w:rsidRPr="000D3C5F">
        <w:rPr>
          <w:i/>
          <w:iCs/>
          <w:sz w:val="16"/>
          <w:szCs w:val="18"/>
        </w:rPr>
        <w:t xml:space="preserve"> zł akcji Soho Development S.A. oraz 15.268.375 akcji Próchnik S.A.</w:t>
      </w:r>
      <w:r>
        <w:rPr>
          <w:i/>
          <w:iCs/>
          <w:sz w:val="16"/>
          <w:szCs w:val="18"/>
        </w:rPr>
        <w:t>(pośrednio i bezpośredni</w:t>
      </w:r>
      <w:r w:rsidR="001D4F5E">
        <w:rPr>
          <w:i/>
          <w:iCs/>
          <w:sz w:val="16"/>
          <w:szCs w:val="18"/>
        </w:rPr>
        <w:t>o</w:t>
      </w:r>
      <w:r w:rsidR="00813B45">
        <w:rPr>
          <w:i/>
          <w:iCs/>
          <w:sz w:val="16"/>
          <w:szCs w:val="18"/>
        </w:rPr>
        <w:t>)</w:t>
      </w:r>
      <w:r w:rsidR="001D4F5E">
        <w:rPr>
          <w:i/>
          <w:iCs/>
          <w:sz w:val="16"/>
          <w:szCs w:val="18"/>
        </w:rPr>
        <w:t>.</w:t>
      </w:r>
    </w:p>
    <w:p w:rsidR="0022331F" w:rsidRPr="008430A5" w:rsidRDefault="0022331F" w:rsidP="004553CD">
      <w:pPr>
        <w:rPr>
          <w:i/>
          <w:iCs/>
          <w:sz w:val="16"/>
          <w:szCs w:val="18"/>
        </w:rPr>
        <w:sectPr w:rsidR="0022331F" w:rsidRPr="008430A5" w:rsidSect="00A90E72">
          <w:pgSz w:w="16838" w:h="11906" w:orient="landscape"/>
          <w:pgMar w:top="1418" w:right="1418" w:bottom="1418" w:left="1418" w:header="709" w:footer="709" w:gutter="0"/>
          <w:cols w:space="708"/>
          <w:titlePg/>
          <w:docGrid w:linePitch="360"/>
        </w:sectPr>
      </w:pPr>
      <w:r w:rsidRPr="00C34D3F">
        <w:rPr>
          <w:i/>
          <w:iCs/>
          <w:sz w:val="16"/>
          <w:szCs w:val="16"/>
        </w:rPr>
        <w:t>***</w:t>
      </w:r>
      <w:r w:rsidR="00FB7166" w:rsidRPr="00FB7166">
        <w:rPr>
          <w:i/>
          <w:iCs/>
          <w:sz w:val="16"/>
          <w:szCs w:val="16"/>
        </w:rPr>
        <w:t xml:space="preserve"> </w:t>
      </w:r>
      <w:r w:rsidR="00FB7166" w:rsidRPr="00C34D3F">
        <w:rPr>
          <w:i/>
          <w:iCs/>
          <w:sz w:val="16"/>
          <w:szCs w:val="16"/>
        </w:rPr>
        <w:t xml:space="preserve">W diagramie pominięto część jednostek nieistotnych, wymienionych </w:t>
      </w:r>
      <w:r w:rsidR="00FB7166">
        <w:rPr>
          <w:i/>
          <w:iCs/>
          <w:sz w:val="16"/>
          <w:szCs w:val="16"/>
        </w:rPr>
        <w:t>w pkt 1 Sprawozdania Finansowego. Na dzień publikacji Sprawozdania trwa rejestracja połączenia spółek PZOI Sp. z o.o. oraz Soho Development S.A.</w:t>
      </w:r>
    </w:p>
    <w:bookmarkEnd w:id="6"/>
    <w:p w:rsidR="001061DE" w:rsidRPr="008443F3" w:rsidRDefault="001061DE" w:rsidP="001061DE">
      <w:pPr>
        <w:numPr>
          <w:ilvl w:val="0"/>
          <w:numId w:val="7"/>
        </w:numPr>
        <w:ind w:right="-108"/>
        <w:jc w:val="both"/>
        <w:rPr>
          <w:rFonts w:eastAsia="Calibri"/>
          <w:b/>
          <w:sz w:val="22"/>
          <w:szCs w:val="22"/>
        </w:rPr>
      </w:pPr>
      <w:r w:rsidRPr="008443F3">
        <w:rPr>
          <w:rFonts w:eastAsia="Calibri"/>
          <w:b/>
          <w:sz w:val="22"/>
          <w:szCs w:val="22"/>
        </w:rPr>
        <w:lastRenderedPageBreak/>
        <w:t xml:space="preserve">Segment deweloperski i nieruchomości </w:t>
      </w:r>
    </w:p>
    <w:p w:rsidR="001061DE" w:rsidRPr="008443F3" w:rsidRDefault="001061DE" w:rsidP="001061DE">
      <w:pPr>
        <w:ind w:left="360" w:right="-108"/>
        <w:jc w:val="both"/>
        <w:rPr>
          <w:rFonts w:eastAsia="Calibri"/>
          <w:sz w:val="22"/>
          <w:szCs w:val="22"/>
        </w:rPr>
      </w:pPr>
    </w:p>
    <w:p w:rsidR="001061DE" w:rsidRPr="008443F3" w:rsidRDefault="001061DE" w:rsidP="001061DE">
      <w:pPr>
        <w:ind w:left="360" w:right="-108"/>
        <w:jc w:val="both"/>
        <w:rPr>
          <w:rFonts w:eastAsia="Calibri"/>
          <w:sz w:val="22"/>
          <w:szCs w:val="22"/>
        </w:rPr>
      </w:pPr>
      <w:r w:rsidRPr="008443F3">
        <w:rPr>
          <w:rFonts w:eastAsia="Calibri"/>
          <w:sz w:val="22"/>
          <w:szCs w:val="22"/>
        </w:rPr>
        <w:t xml:space="preserve">Grupa prowadzi swoją działalność deweloperską w Warszawie od 2012 r. zaczynając </w:t>
      </w:r>
      <w:r w:rsidR="0074288E">
        <w:rPr>
          <w:rFonts w:eastAsia="Calibri"/>
          <w:sz w:val="22"/>
          <w:szCs w:val="22"/>
        </w:rPr>
        <w:br/>
      </w:r>
      <w:r w:rsidR="008D2D3A" w:rsidRPr="008443F3">
        <w:rPr>
          <w:rFonts w:eastAsia="Calibri"/>
          <w:sz w:val="22"/>
          <w:szCs w:val="22"/>
        </w:rPr>
        <w:t>od pierwszego</w:t>
      </w:r>
      <w:r w:rsidRPr="008443F3">
        <w:rPr>
          <w:rFonts w:eastAsia="Calibri"/>
          <w:sz w:val="22"/>
          <w:szCs w:val="22"/>
        </w:rPr>
        <w:t xml:space="preserve"> </w:t>
      </w:r>
      <w:r w:rsidR="008D2D3A" w:rsidRPr="008443F3">
        <w:rPr>
          <w:rFonts w:eastAsia="Calibri"/>
          <w:sz w:val="22"/>
          <w:szCs w:val="22"/>
        </w:rPr>
        <w:t>budynku na</w:t>
      </w:r>
      <w:r w:rsidRPr="008443F3">
        <w:rPr>
          <w:rFonts w:eastAsia="Calibri"/>
          <w:sz w:val="22"/>
          <w:szCs w:val="22"/>
        </w:rPr>
        <w:t xml:space="preserve"> terenie Soho Factory (</w:t>
      </w:r>
      <w:proofErr w:type="spellStart"/>
      <w:r w:rsidRPr="008443F3">
        <w:rPr>
          <w:rFonts w:eastAsia="Calibri"/>
          <w:sz w:val="22"/>
          <w:szCs w:val="22"/>
        </w:rPr>
        <w:t>Rebel</w:t>
      </w:r>
      <w:proofErr w:type="spellEnd"/>
      <w:r w:rsidRPr="008443F3">
        <w:rPr>
          <w:rFonts w:eastAsia="Calibri"/>
          <w:sz w:val="22"/>
          <w:szCs w:val="22"/>
        </w:rPr>
        <w:t xml:space="preserve"> </w:t>
      </w:r>
      <w:r w:rsidR="00056995">
        <w:rPr>
          <w:rFonts w:eastAsia="Calibri"/>
          <w:sz w:val="22"/>
          <w:szCs w:val="22"/>
        </w:rPr>
        <w:t>1). Obecnie w sprzedaży znajduje</w:t>
      </w:r>
      <w:r w:rsidRPr="008443F3">
        <w:rPr>
          <w:rFonts w:eastAsia="Calibri"/>
          <w:sz w:val="22"/>
          <w:szCs w:val="22"/>
        </w:rPr>
        <w:t xml:space="preserve"> się trzeci z kolei budynek w tej lokalizacji – Wars oraz wprowadzony do sprzedaży w I kwartale 2016 r. czwarty budynek</w:t>
      </w:r>
      <w:r w:rsidR="006B7C83">
        <w:rPr>
          <w:rFonts w:eastAsia="Calibri"/>
          <w:sz w:val="22"/>
          <w:szCs w:val="22"/>
        </w:rPr>
        <w:t xml:space="preserve"> </w:t>
      </w:r>
      <w:r w:rsidRPr="008443F3">
        <w:rPr>
          <w:rFonts w:eastAsia="Calibri"/>
          <w:sz w:val="22"/>
          <w:szCs w:val="22"/>
        </w:rPr>
        <w:t xml:space="preserve">– Feniks. Jednocześnie finalizowane jest przygotowanie kolejnego etapu, w ramach którego powstaje </w:t>
      </w:r>
      <w:r w:rsidR="008D2D3A" w:rsidRPr="008443F3">
        <w:rPr>
          <w:rFonts w:eastAsia="Calibri"/>
          <w:sz w:val="22"/>
          <w:szCs w:val="22"/>
        </w:rPr>
        <w:t xml:space="preserve">budynek </w:t>
      </w:r>
      <w:proofErr w:type="spellStart"/>
      <w:r w:rsidR="008D2D3A" w:rsidRPr="008443F3">
        <w:rPr>
          <w:rFonts w:eastAsia="Calibri"/>
          <w:sz w:val="22"/>
          <w:szCs w:val="22"/>
        </w:rPr>
        <w:t>Rebel</w:t>
      </w:r>
      <w:proofErr w:type="spellEnd"/>
      <w:r w:rsidRPr="008443F3">
        <w:rPr>
          <w:rFonts w:eastAsia="Calibri"/>
          <w:sz w:val="22"/>
          <w:szCs w:val="22"/>
        </w:rPr>
        <w:t xml:space="preserve"> 2. </w:t>
      </w:r>
    </w:p>
    <w:p w:rsidR="001061DE" w:rsidRPr="008443F3" w:rsidRDefault="001061DE" w:rsidP="001061DE">
      <w:pPr>
        <w:ind w:left="360" w:right="-108"/>
        <w:jc w:val="both"/>
        <w:rPr>
          <w:rFonts w:eastAsia="Calibri"/>
          <w:sz w:val="22"/>
          <w:szCs w:val="22"/>
        </w:rPr>
      </w:pPr>
    </w:p>
    <w:p w:rsidR="001061DE" w:rsidRPr="008443F3" w:rsidRDefault="001061DE" w:rsidP="001061DE">
      <w:pPr>
        <w:ind w:left="360" w:right="-108"/>
        <w:jc w:val="both"/>
        <w:rPr>
          <w:rFonts w:eastAsia="Calibri"/>
          <w:sz w:val="22"/>
          <w:szCs w:val="22"/>
        </w:rPr>
      </w:pPr>
      <w:r w:rsidRPr="008443F3">
        <w:rPr>
          <w:rFonts w:eastAsia="Calibri"/>
          <w:sz w:val="22"/>
          <w:szCs w:val="22"/>
        </w:rPr>
        <w:t xml:space="preserve">Ponadto na terenie warszawskiego Kamionka znajdują się dwa kolejne projekty – Fabryka PZO </w:t>
      </w:r>
      <w:r w:rsidR="0074288E">
        <w:rPr>
          <w:rFonts w:eastAsia="Calibri"/>
          <w:sz w:val="22"/>
          <w:szCs w:val="22"/>
        </w:rPr>
        <w:br/>
      </w:r>
      <w:r w:rsidRPr="008443F3">
        <w:rPr>
          <w:rFonts w:eastAsia="Calibri"/>
          <w:sz w:val="22"/>
          <w:szCs w:val="22"/>
        </w:rPr>
        <w:t xml:space="preserve">z ok. 17 tys. PU mieszkalnej i biurowej oraz Mińska Development (przygotowywany do realizacji projekt </w:t>
      </w:r>
      <w:proofErr w:type="spellStart"/>
      <w:r w:rsidRPr="008443F3">
        <w:rPr>
          <w:rFonts w:eastAsia="Calibri"/>
          <w:sz w:val="22"/>
          <w:szCs w:val="22"/>
        </w:rPr>
        <w:t>mikroapartamentowca</w:t>
      </w:r>
      <w:proofErr w:type="spellEnd"/>
      <w:r w:rsidRPr="008443F3">
        <w:rPr>
          <w:rFonts w:eastAsia="Calibri"/>
          <w:sz w:val="22"/>
          <w:szCs w:val="22"/>
        </w:rPr>
        <w:t>).</w:t>
      </w:r>
    </w:p>
    <w:p w:rsidR="001061DE" w:rsidRPr="008443F3" w:rsidRDefault="001061DE" w:rsidP="001061DE">
      <w:pPr>
        <w:ind w:left="360" w:right="-108"/>
        <w:jc w:val="both"/>
        <w:rPr>
          <w:rFonts w:eastAsia="Calibri"/>
          <w:sz w:val="22"/>
          <w:szCs w:val="22"/>
        </w:rPr>
      </w:pPr>
    </w:p>
    <w:p w:rsidR="001061DE" w:rsidRPr="008443F3" w:rsidRDefault="001061DE" w:rsidP="001061DE">
      <w:pPr>
        <w:ind w:left="360" w:right="-108"/>
        <w:jc w:val="both"/>
        <w:rPr>
          <w:rFonts w:eastAsia="Calibri"/>
          <w:sz w:val="22"/>
          <w:szCs w:val="22"/>
        </w:rPr>
      </w:pPr>
      <w:r w:rsidRPr="008443F3">
        <w:rPr>
          <w:rFonts w:eastAsia="Calibri"/>
          <w:sz w:val="22"/>
          <w:szCs w:val="22"/>
        </w:rPr>
        <w:t xml:space="preserve">Drugim obszarem działalności jest rynek krakowski, gdzie od III kw. 2015 r. prowadzona jest sprzedaż pierwszego etapu inwestycji pod nazwą Osiedle Dobra Forma. Docelowo ma ona osiągnąć ok. 50 tys. m2 PU (uwarunkowane uzyskaniem WZ dla części nieruchomości przeznaczonej </w:t>
      </w:r>
      <w:r w:rsidR="0074288E">
        <w:rPr>
          <w:rFonts w:eastAsia="Calibri"/>
          <w:sz w:val="22"/>
          <w:szCs w:val="22"/>
        </w:rPr>
        <w:br/>
      </w:r>
      <w:r w:rsidRPr="008443F3">
        <w:rPr>
          <w:rFonts w:eastAsia="Calibri"/>
          <w:sz w:val="22"/>
          <w:szCs w:val="22"/>
        </w:rPr>
        <w:t>pod kolejne etapy inwestycji), w projekcie dysponującym dostępem do własnego parku oraz infrastruktury sportowo-rekreacyjnej.</w:t>
      </w:r>
    </w:p>
    <w:p w:rsidR="001061DE" w:rsidRPr="008443F3" w:rsidRDefault="001061DE" w:rsidP="001061DE">
      <w:pPr>
        <w:ind w:left="360" w:right="-108"/>
        <w:jc w:val="both"/>
        <w:rPr>
          <w:rFonts w:eastAsia="Calibri"/>
          <w:sz w:val="22"/>
          <w:szCs w:val="22"/>
        </w:rPr>
      </w:pPr>
    </w:p>
    <w:p w:rsidR="001061DE" w:rsidRPr="008443F3" w:rsidRDefault="001061DE" w:rsidP="001061DE">
      <w:pPr>
        <w:ind w:left="360" w:right="-108"/>
        <w:jc w:val="both"/>
        <w:rPr>
          <w:rFonts w:eastAsia="Calibri"/>
          <w:sz w:val="22"/>
          <w:szCs w:val="22"/>
        </w:rPr>
      </w:pPr>
      <w:r w:rsidRPr="008443F3">
        <w:rPr>
          <w:rFonts w:eastAsia="Calibri"/>
          <w:sz w:val="22"/>
          <w:szCs w:val="22"/>
        </w:rPr>
        <w:t xml:space="preserve">Poniższa mapka pokazuje realizowane projekty przez spółki z Grupy. Bliższe informacje </w:t>
      </w:r>
      <w:r w:rsidR="0074288E">
        <w:rPr>
          <w:rFonts w:eastAsia="Calibri"/>
          <w:sz w:val="22"/>
          <w:szCs w:val="22"/>
        </w:rPr>
        <w:br/>
      </w:r>
      <w:r w:rsidRPr="008443F3">
        <w:rPr>
          <w:rFonts w:eastAsia="Calibri"/>
          <w:sz w:val="22"/>
          <w:szCs w:val="22"/>
        </w:rPr>
        <w:t>o poszczególnych projektach znajdują się w kolejnych punktach Sprawozdania.</w:t>
      </w:r>
    </w:p>
    <w:p w:rsidR="00C56E02" w:rsidRPr="008443F3" w:rsidRDefault="00C56E02" w:rsidP="001061DE">
      <w:pPr>
        <w:ind w:left="360" w:right="-108"/>
        <w:jc w:val="both"/>
        <w:rPr>
          <w:rFonts w:eastAsia="Calibri"/>
          <w:sz w:val="22"/>
          <w:szCs w:val="22"/>
        </w:rPr>
      </w:pPr>
    </w:p>
    <w:p w:rsidR="00C56E02" w:rsidRPr="004C5BEB" w:rsidRDefault="00C56E02" w:rsidP="001061DE">
      <w:pPr>
        <w:ind w:left="360" w:right="-108"/>
        <w:jc w:val="both"/>
        <w:rPr>
          <w:rFonts w:eastAsia="Calibri"/>
          <w:sz w:val="22"/>
          <w:szCs w:val="22"/>
        </w:rPr>
      </w:pPr>
      <w:r w:rsidRPr="008443F3">
        <w:rPr>
          <w:rFonts w:eastAsia="Calibri"/>
          <w:noProof/>
          <w:sz w:val="22"/>
          <w:szCs w:val="22"/>
          <w:lang w:eastAsia="pl-PL"/>
        </w:rPr>
        <w:drawing>
          <wp:inline distT="0" distB="0" distL="0" distR="0" wp14:anchorId="175A182E" wp14:editId="765E6BC2">
            <wp:extent cx="5760720" cy="3379742"/>
            <wp:effectExtent l="0" t="0" r="0" b="0"/>
            <wp:docPr id="23" name="Obraz 23" descr="C:\Users\tomasz.naprawa\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asz.naprawa\Desktop\Bez tytuł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379742"/>
                    </a:xfrm>
                    <a:prstGeom prst="rect">
                      <a:avLst/>
                    </a:prstGeom>
                    <a:noFill/>
                    <a:ln>
                      <a:noFill/>
                    </a:ln>
                  </pic:spPr>
                </pic:pic>
              </a:graphicData>
            </a:graphic>
          </wp:inline>
        </w:drawing>
      </w:r>
    </w:p>
    <w:p w:rsidR="00C56E02" w:rsidRPr="004C5BEB" w:rsidRDefault="00C56E02" w:rsidP="001061DE">
      <w:pPr>
        <w:ind w:left="360" w:right="-108"/>
        <w:jc w:val="both"/>
        <w:rPr>
          <w:rFonts w:eastAsia="Calibri"/>
          <w:sz w:val="22"/>
          <w:szCs w:val="22"/>
        </w:rPr>
      </w:pPr>
    </w:p>
    <w:p w:rsidR="00C56E02" w:rsidRPr="004C5BEB" w:rsidRDefault="00C56E02" w:rsidP="001061DE">
      <w:pPr>
        <w:ind w:left="360" w:right="-108"/>
        <w:jc w:val="both"/>
        <w:rPr>
          <w:rFonts w:eastAsia="Calibri"/>
          <w:sz w:val="22"/>
          <w:szCs w:val="22"/>
        </w:rPr>
      </w:pPr>
    </w:p>
    <w:p w:rsidR="001061DE" w:rsidRPr="006B7C83" w:rsidRDefault="001061DE" w:rsidP="001061DE">
      <w:pPr>
        <w:ind w:left="360" w:right="-108"/>
        <w:jc w:val="both"/>
        <w:rPr>
          <w:rFonts w:eastAsia="Calibri"/>
          <w:color w:val="FF0000"/>
          <w:sz w:val="22"/>
          <w:szCs w:val="22"/>
          <w:highlight w:val="lightGray"/>
        </w:rPr>
      </w:pPr>
      <w:r w:rsidRPr="00AD1EB0">
        <w:rPr>
          <w:rFonts w:eastAsia="Calibri"/>
          <w:sz w:val="22"/>
          <w:szCs w:val="22"/>
        </w:rPr>
        <w:t>Pierwszą sprzedaż mieszkań Grupa odnotowała w 2012 r. Sukcesywne wprowadzanie do oferty kolejnych projektów i budynków pozwala na szybki wzrost skali działalności. Poniżej zaprezentowano wykres</w:t>
      </w:r>
      <w:r w:rsidR="006B7C83" w:rsidRPr="00AD1EB0">
        <w:rPr>
          <w:rFonts w:eastAsia="Calibri"/>
          <w:sz w:val="22"/>
          <w:szCs w:val="22"/>
        </w:rPr>
        <w:t xml:space="preserve">y z dynamiką sprzedaży mieszkań oraz przekazaniami do użytkowania. </w:t>
      </w:r>
      <w:r w:rsidR="0074288E">
        <w:rPr>
          <w:rFonts w:eastAsia="Calibri"/>
          <w:sz w:val="22"/>
          <w:szCs w:val="22"/>
        </w:rPr>
        <w:br/>
      </w:r>
      <w:r w:rsidR="006B7C83" w:rsidRPr="00AD1EB0">
        <w:rPr>
          <w:rFonts w:eastAsia="Calibri"/>
          <w:sz w:val="22"/>
          <w:szCs w:val="22"/>
        </w:rPr>
        <w:t xml:space="preserve">Ta druga wartość w okresie objętym raportem prezentowała się na niskim poziomie, z uwagi </w:t>
      </w:r>
      <w:r w:rsidR="0074288E">
        <w:rPr>
          <w:rFonts w:eastAsia="Calibri"/>
          <w:sz w:val="22"/>
          <w:szCs w:val="22"/>
        </w:rPr>
        <w:br/>
      </w:r>
      <w:r w:rsidR="006B7C83" w:rsidRPr="00AD1EB0">
        <w:rPr>
          <w:rFonts w:eastAsia="Calibri"/>
          <w:sz w:val="22"/>
          <w:szCs w:val="22"/>
        </w:rPr>
        <w:t xml:space="preserve">na praktycznie całkowitą sprzedaż oferty w </w:t>
      </w:r>
      <w:r w:rsidR="008D2D3A" w:rsidRPr="00AD1EB0">
        <w:rPr>
          <w:rFonts w:eastAsia="Calibri"/>
          <w:sz w:val="22"/>
          <w:szCs w:val="22"/>
        </w:rPr>
        <w:t>zakończonych budynkach</w:t>
      </w:r>
      <w:r w:rsidR="006B7C83" w:rsidRPr="00AD1EB0">
        <w:rPr>
          <w:rFonts w:eastAsia="Calibri"/>
          <w:sz w:val="22"/>
          <w:szCs w:val="22"/>
        </w:rPr>
        <w:t>. Przekazanie do użytkowanie lokali w budynku Wars nastąpi od I kwartału 2017</w:t>
      </w:r>
      <w:r w:rsidR="006B7C83" w:rsidRPr="006B7C83">
        <w:rPr>
          <w:rFonts w:eastAsia="Calibri"/>
          <w:color w:val="FF0000"/>
          <w:sz w:val="22"/>
          <w:szCs w:val="22"/>
        </w:rPr>
        <w:t>.</w:t>
      </w:r>
    </w:p>
    <w:p w:rsidR="001061DE" w:rsidRPr="0062702D" w:rsidRDefault="00084207" w:rsidP="001061DE">
      <w:pPr>
        <w:ind w:right="-108"/>
        <w:jc w:val="center"/>
        <w:rPr>
          <w:rFonts w:eastAsia="Calibri"/>
          <w:sz w:val="22"/>
          <w:szCs w:val="22"/>
          <w:highlight w:val="lightGray"/>
        </w:rPr>
      </w:pPr>
      <w:r>
        <w:rPr>
          <w:noProof/>
          <w:lang w:eastAsia="pl-PL"/>
        </w:rPr>
        <w:lastRenderedPageBreak/>
        <w:drawing>
          <wp:inline distT="0" distB="0" distL="0" distR="0" wp14:anchorId="2FFBDA92" wp14:editId="06225C1C">
            <wp:extent cx="4105275" cy="2369185"/>
            <wp:effectExtent l="0" t="0" r="0" b="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061DE" w:rsidRPr="004C5BEB" w:rsidRDefault="001061DE" w:rsidP="001061DE">
      <w:pPr>
        <w:ind w:right="-108"/>
        <w:jc w:val="center"/>
        <w:rPr>
          <w:rFonts w:eastAsia="Calibri"/>
          <w:sz w:val="22"/>
          <w:szCs w:val="22"/>
        </w:rPr>
      </w:pPr>
      <w:r w:rsidRPr="004C5BEB">
        <w:rPr>
          <w:rFonts w:eastAsia="Calibri"/>
          <w:sz w:val="22"/>
          <w:szCs w:val="22"/>
        </w:rPr>
        <w:t>*umowy deweloperskie oraz płatne rezerwacyjne</w:t>
      </w:r>
    </w:p>
    <w:p w:rsidR="001061DE" w:rsidRDefault="001061DE" w:rsidP="001061DE">
      <w:pPr>
        <w:ind w:right="-108"/>
        <w:jc w:val="center"/>
        <w:rPr>
          <w:rFonts w:eastAsia="Calibri"/>
          <w:sz w:val="22"/>
          <w:szCs w:val="22"/>
          <w:highlight w:val="lightGray"/>
        </w:rPr>
      </w:pPr>
    </w:p>
    <w:p w:rsidR="001061DE" w:rsidRPr="0062702D" w:rsidRDefault="002A2BA2" w:rsidP="001061DE">
      <w:pPr>
        <w:ind w:right="-108"/>
        <w:jc w:val="center"/>
        <w:rPr>
          <w:rFonts w:eastAsia="Calibri"/>
          <w:sz w:val="22"/>
          <w:szCs w:val="22"/>
          <w:highlight w:val="lightGray"/>
        </w:rPr>
      </w:pPr>
      <w:r w:rsidRPr="002A2BA2">
        <w:rPr>
          <w:noProof/>
          <w:lang w:eastAsia="pl-PL"/>
        </w:rPr>
        <w:t xml:space="preserve"> </w:t>
      </w:r>
      <w:r>
        <w:rPr>
          <w:noProof/>
          <w:lang w:eastAsia="pl-PL"/>
        </w:rPr>
        <w:drawing>
          <wp:inline distT="0" distB="0" distL="0" distR="0" wp14:anchorId="69F356E5" wp14:editId="37598175">
            <wp:extent cx="4359349" cy="1754372"/>
            <wp:effectExtent l="0" t="0" r="3175"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061DE" w:rsidRPr="008443F3" w:rsidRDefault="001061DE" w:rsidP="001061DE">
      <w:pPr>
        <w:ind w:left="360" w:right="-108"/>
        <w:jc w:val="both"/>
        <w:rPr>
          <w:rFonts w:eastAsia="Calibri"/>
          <w:b/>
          <w:sz w:val="22"/>
          <w:szCs w:val="22"/>
        </w:rPr>
      </w:pPr>
    </w:p>
    <w:p w:rsidR="001061DE" w:rsidRPr="008443F3" w:rsidRDefault="001061DE" w:rsidP="001061DE">
      <w:pPr>
        <w:numPr>
          <w:ilvl w:val="0"/>
          <w:numId w:val="6"/>
        </w:numPr>
        <w:ind w:left="357" w:right="-108" w:hanging="357"/>
        <w:jc w:val="both"/>
        <w:rPr>
          <w:rFonts w:eastAsia="Calibri"/>
          <w:sz w:val="22"/>
          <w:szCs w:val="22"/>
        </w:rPr>
      </w:pPr>
      <w:r w:rsidRPr="008443F3">
        <w:rPr>
          <w:rFonts w:eastAsia="Calibri"/>
          <w:b/>
          <w:sz w:val="22"/>
          <w:szCs w:val="22"/>
        </w:rPr>
        <w:t>Soho Factory  Sp. z o.o.</w:t>
      </w:r>
    </w:p>
    <w:p w:rsidR="001061DE" w:rsidRPr="008443F3" w:rsidRDefault="001061DE" w:rsidP="001061DE">
      <w:pPr>
        <w:ind w:right="-108"/>
        <w:jc w:val="both"/>
        <w:rPr>
          <w:rFonts w:eastAsia="Calibri"/>
          <w:sz w:val="22"/>
          <w:szCs w:val="22"/>
        </w:rPr>
      </w:pPr>
    </w:p>
    <w:p w:rsidR="001061DE" w:rsidRPr="008443F3" w:rsidRDefault="001061DE" w:rsidP="001061DE">
      <w:pPr>
        <w:ind w:right="-108"/>
        <w:jc w:val="both"/>
        <w:rPr>
          <w:rFonts w:eastAsia="Calibri"/>
          <w:sz w:val="22"/>
          <w:szCs w:val="22"/>
        </w:rPr>
      </w:pPr>
      <w:r w:rsidRPr="008443F3">
        <w:rPr>
          <w:rFonts w:eastAsia="Calibri"/>
          <w:sz w:val="22"/>
          <w:szCs w:val="22"/>
        </w:rPr>
        <w:t xml:space="preserve">Głównym przedmiotem działalności spółki jest realizacja inwestycji deweloperskiej, zlokalizowanej </w:t>
      </w:r>
      <w:r w:rsidR="0074288E">
        <w:rPr>
          <w:rFonts w:eastAsia="Calibri"/>
          <w:sz w:val="22"/>
          <w:szCs w:val="22"/>
        </w:rPr>
        <w:br/>
      </w:r>
      <w:r w:rsidRPr="008443F3">
        <w:rPr>
          <w:rFonts w:eastAsia="Calibri"/>
          <w:sz w:val="22"/>
          <w:szCs w:val="22"/>
        </w:rPr>
        <w:t xml:space="preserve">na terenie SOHO FACTORY w Warszawie (Praga Południe). Aktualne plany inwestycyjne zakładają powstanie osiedla mieszkaniowego o docelowej powierzchni ponad 110 tys. m2 PU, podzielonego na kolejne etapy inwestycji (łącznie z przekazanymi budynkami). </w:t>
      </w:r>
    </w:p>
    <w:p w:rsidR="001061DE" w:rsidRPr="008443F3" w:rsidRDefault="001061DE" w:rsidP="001061DE">
      <w:pPr>
        <w:ind w:right="-108"/>
        <w:jc w:val="both"/>
        <w:rPr>
          <w:rFonts w:eastAsia="Calibri"/>
          <w:sz w:val="22"/>
          <w:szCs w:val="22"/>
        </w:rPr>
      </w:pPr>
    </w:p>
    <w:p w:rsidR="001061DE" w:rsidRPr="004C5BEB" w:rsidRDefault="001061DE" w:rsidP="001061DE">
      <w:pPr>
        <w:jc w:val="both"/>
        <w:rPr>
          <w:rFonts w:eastAsia="Calibri"/>
          <w:sz w:val="22"/>
          <w:szCs w:val="22"/>
        </w:rPr>
      </w:pPr>
      <w:r w:rsidRPr="008443F3">
        <w:rPr>
          <w:rFonts w:eastAsia="Calibri"/>
          <w:sz w:val="22"/>
          <w:szCs w:val="22"/>
        </w:rPr>
        <w:t xml:space="preserve">W ramach pierwszego etapu inwestycji, w I kwartale 2014 r. przekazano do użytkowania pierwszy budynek - </w:t>
      </w:r>
      <w:proofErr w:type="spellStart"/>
      <w:r w:rsidRPr="008443F3">
        <w:rPr>
          <w:rFonts w:eastAsia="Calibri"/>
          <w:sz w:val="22"/>
          <w:szCs w:val="22"/>
        </w:rPr>
        <w:t>Rebel</w:t>
      </w:r>
      <w:proofErr w:type="spellEnd"/>
      <w:r w:rsidRPr="008443F3">
        <w:rPr>
          <w:rFonts w:eastAsia="Calibri"/>
          <w:sz w:val="22"/>
          <w:szCs w:val="22"/>
        </w:rPr>
        <w:t xml:space="preserve"> One. Kolejny, Kamion Cross został oddany do użytkowania w I kwartale 2015 r. Obecny poziom sprzedaży w tym budynku to 96% PUM (wg. stanu na dzień publikacji sprawozdania). W ramach następnego (II) etapu inwestycji w II kw. 2015 r. rozpoczęto sprzedaż budynku – Wars (A), o docelowej powierzchni</w:t>
      </w:r>
      <w:r w:rsidR="00D71E67">
        <w:rPr>
          <w:rFonts w:eastAsia="Calibri"/>
          <w:sz w:val="22"/>
          <w:szCs w:val="22"/>
        </w:rPr>
        <w:t xml:space="preserve"> użytkowej 8.809 m2. T</w:t>
      </w:r>
      <w:r w:rsidRPr="008443F3">
        <w:rPr>
          <w:rFonts w:eastAsia="Calibri"/>
          <w:sz w:val="22"/>
          <w:szCs w:val="22"/>
        </w:rPr>
        <w:t>ermin oddania budynku do użytkowania zaplanowano na I kw. 2017 r. Wars to trzeci budynek realizowany na terenie Soho Factory, o starannie dopracowanej strukturze oferowanych mieszkań, odpowiadającej aktualnym standardom rynkowym. Do dnia publikacji podpisano umowy na sprzedaż 10</w:t>
      </w:r>
      <w:r w:rsidR="00084207">
        <w:rPr>
          <w:rFonts w:eastAsia="Calibri"/>
          <w:sz w:val="22"/>
          <w:szCs w:val="22"/>
        </w:rPr>
        <w:t xml:space="preserve">8 </w:t>
      </w:r>
      <w:r w:rsidRPr="008443F3">
        <w:rPr>
          <w:rFonts w:eastAsia="Calibri"/>
          <w:sz w:val="22"/>
          <w:szCs w:val="22"/>
        </w:rPr>
        <w:t xml:space="preserve">lokali mieszkalnych, </w:t>
      </w:r>
      <w:r w:rsidR="0074288E">
        <w:rPr>
          <w:rFonts w:eastAsia="Calibri"/>
          <w:sz w:val="22"/>
          <w:szCs w:val="22"/>
        </w:rPr>
        <w:br/>
      </w:r>
      <w:r w:rsidR="00084207">
        <w:rPr>
          <w:rFonts w:eastAsia="Calibri"/>
          <w:sz w:val="22"/>
          <w:szCs w:val="22"/>
        </w:rPr>
        <w:t>co stanowi 73</w:t>
      </w:r>
      <w:r w:rsidRPr="008443F3">
        <w:rPr>
          <w:rFonts w:eastAsia="Calibri"/>
          <w:sz w:val="22"/>
          <w:szCs w:val="22"/>
        </w:rPr>
        <w:t xml:space="preserve">% PUM </w:t>
      </w:r>
      <w:r w:rsidRPr="004C5BEB">
        <w:rPr>
          <w:rFonts w:eastAsia="Calibri"/>
          <w:sz w:val="22"/>
          <w:szCs w:val="22"/>
        </w:rPr>
        <w:t>(umowy deweloperskie wraz z płatnymi umowami rezerwacyjnymi).</w:t>
      </w:r>
    </w:p>
    <w:p w:rsidR="001061DE" w:rsidRDefault="001061DE" w:rsidP="001061DE">
      <w:pPr>
        <w:jc w:val="both"/>
        <w:rPr>
          <w:rFonts w:eastAsia="Calibri"/>
          <w:sz w:val="22"/>
          <w:szCs w:val="22"/>
          <w:highlight w:val="lightGray"/>
        </w:rPr>
      </w:pPr>
    </w:p>
    <w:p w:rsidR="00D51042" w:rsidRPr="00EC12B2" w:rsidRDefault="006B7C83" w:rsidP="00D51042">
      <w:pPr>
        <w:jc w:val="both"/>
        <w:rPr>
          <w:rFonts w:eastAsia="Calibri"/>
          <w:sz w:val="22"/>
          <w:szCs w:val="22"/>
        </w:rPr>
      </w:pPr>
      <w:r w:rsidRPr="00AD1EB0">
        <w:rPr>
          <w:rFonts w:eastAsia="Calibri"/>
          <w:sz w:val="22"/>
          <w:szCs w:val="22"/>
        </w:rPr>
        <w:t>Kontynuowano</w:t>
      </w:r>
      <w:r w:rsidR="001061DE" w:rsidRPr="00AD1EB0">
        <w:rPr>
          <w:rFonts w:eastAsia="Calibri"/>
          <w:sz w:val="22"/>
          <w:szCs w:val="22"/>
        </w:rPr>
        <w:t xml:space="preserve"> prace </w:t>
      </w:r>
      <w:r w:rsidR="001061DE" w:rsidRPr="00EC12B2">
        <w:rPr>
          <w:rFonts w:eastAsia="Calibri"/>
          <w:sz w:val="22"/>
          <w:szCs w:val="22"/>
        </w:rPr>
        <w:t xml:space="preserve">nad kolejnymi budynkami. </w:t>
      </w:r>
      <w:r w:rsidR="008D2D3A" w:rsidRPr="00EC12B2">
        <w:rPr>
          <w:rFonts w:eastAsia="Calibri"/>
          <w:sz w:val="22"/>
          <w:szCs w:val="22"/>
        </w:rPr>
        <w:t>Spółka w</w:t>
      </w:r>
      <w:r w:rsidR="001061DE" w:rsidRPr="00EC12B2">
        <w:rPr>
          <w:rFonts w:eastAsia="Calibri"/>
          <w:sz w:val="22"/>
          <w:szCs w:val="22"/>
        </w:rPr>
        <w:t xml:space="preserve"> I kwartale 2016 r. uzyskała pozwolenia na budowę dla budynku F (Feniks), którego docelowa powierzchnia użytkowa (PUM) ma </w:t>
      </w:r>
      <w:r w:rsidR="008D2D3A" w:rsidRPr="00EC12B2">
        <w:rPr>
          <w:rFonts w:eastAsia="Calibri"/>
          <w:sz w:val="22"/>
          <w:szCs w:val="22"/>
        </w:rPr>
        <w:t xml:space="preserve">wynosić </w:t>
      </w:r>
      <w:r w:rsidR="0074288E">
        <w:rPr>
          <w:rFonts w:eastAsia="Calibri"/>
          <w:sz w:val="22"/>
          <w:szCs w:val="22"/>
        </w:rPr>
        <w:br/>
      </w:r>
      <w:r w:rsidR="008D2D3A" w:rsidRPr="00EC12B2">
        <w:rPr>
          <w:rFonts w:eastAsia="Calibri"/>
          <w:sz w:val="22"/>
          <w:szCs w:val="22"/>
        </w:rPr>
        <w:t>ok</w:t>
      </w:r>
      <w:r w:rsidR="001061DE" w:rsidRPr="00EC12B2">
        <w:rPr>
          <w:rFonts w:eastAsia="Calibri"/>
          <w:sz w:val="22"/>
          <w:szCs w:val="22"/>
        </w:rPr>
        <w:t xml:space="preserve">. 11,8 tys. </w:t>
      </w:r>
      <w:r w:rsidR="008D2D3A" w:rsidRPr="00EC12B2">
        <w:rPr>
          <w:rFonts w:eastAsia="Calibri"/>
          <w:sz w:val="22"/>
          <w:szCs w:val="22"/>
        </w:rPr>
        <w:t>m2. Uruchomienie</w:t>
      </w:r>
      <w:r w:rsidR="001061DE" w:rsidRPr="00EC12B2">
        <w:rPr>
          <w:rFonts w:eastAsia="Calibri"/>
          <w:sz w:val="22"/>
          <w:szCs w:val="22"/>
        </w:rPr>
        <w:t xml:space="preserve"> sprzedaży mieszkań nastąpiło I kwartale 2016 r. </w:t>
      </w:r>
      <w:r w:rsidR="00D51042" w:rsidRPr="00EC12B2">
        <w:rPr>
          <w:rFonts w:eastAsia="Calibri"/>
          <w:sz w:val="22"/>
          <w:szCs w:val="22"/>
        </w:rPr>
        <w:t>Do dnia publikacji podpisano umowy na sprzedaż 29 lokali mieszkalnych, co stanowi 12% PUM (umowy deweloperskie wraz z płatnymi umow</w:t>
      </w:r>
      <w:r w:rsidR="00D71E67">
        <w:rPr>
          <w:rFonts w:eastAsia="Calibri"/>
          <w:sz w:val="22"/>
          <w:szCs w:val="22"/>
        </w:rPr>
        <w:t>ami rezerwacyjnymi). T</w:t>
      </w:r>
      <w:r w:rsidR="00D51042" w:rsidRPr="00EC12B2">
        <w:rPr>
          <w:rFonts w:eastAsia="Calibri"/>
          <w:sz w:val="22"/>
          <w:szCs w:val="22"/>
        </w:rPr>
        <w:t>ermin oddania budynku do użyt</w:t>
      </w:r>
      <w:r w:rsidR="00A01A8B">
        <w:rPr>
          <w:rFonts w:eastAsia="Calibri"/>
          <w:sz w:val="22"/>
          <w:szCs w:val="22"/>
        </w:rPr>
        <w:t>kowania zaplanowano na IV</w:t>
      </w:r>
      <w:r w:rsidR="00D51042" w:rsidRPr="00EC12B2">
        <w:rPr>
          <w:rFonts w:eastAsia="Calibri"/>
          <w:sz w:val="22"/>
          <w:szCs w:val="22"/>
        </w:rPr>
        <w:t xml:space="preserve"> kw. 2017 r.</w:t>
      </w:r>
    </w:p>
    <w:p w:rsidR="001061DE" w:rsidRPr="00EC12B2" w:rsidRDefault="001061DE" w:rsidP="001061DE">
      <w:pPr>
        <w:jc w:val="both"/>
        <w:rPr>
          <w:rFonts w:eastAsia="Calibri"/>
          <w:sz w:val="22"/>
          <w:szCs w:val="22"/>
        </w:rPr>
      </w:pPr>
    </w:p>
    <w:p w:rsidR="00C515DA" w:rsidRDefault="001061DE" w:rsidP="001061DE">
      <w:pPr>
        <w:jc w:val="both"/>
        <w:rPr>
          <w:rFonts w:eastAsia="Calibri"/>
          <w:sz w:val="22"/>
          <w:szCs w:val="22"/>
        </w:rPr>
      </w:pPr>
      <w:r w:rsidRPr="00EC12B2">
        <w:rPr>
          <w:rFonts w:eastAsia="Calibri"/>
          <w:sz w:val="22"/>
          <w:szCs w:val="22"/>
        </w:rPr>
        <w:lastRenderedPageBreak/>
        <w:t xml:space="preserve">W przypadku budynku </w:t>
      </w:r>
      <w:proofErr w:type="spellStart"/>
      <w:r w:rsidRPr="00EC12B2">
        <w:rPr>
          <w:rFonts w:eastAsia="Calibri"/>
          <w:sz w:val="22"/>
          <w:szCs w:val="22"/>
        </w:rPr>
        <w:t>Rebel</w:t>
      </w:r>
      <w:proofErr w:type="spellEnd"/>
      <w:r w:rsidRPr="00EC12B2">
        <w:rPr>
          <w:rFonts w:eastAsia="Calibri"/>
          <w:sz w:val="22"/>
          <w:szCs w:val="22"/>
        </w:rPr>
        <w:t xml:space="preserve"> 2, trwają prace </w:t>
      </w:r>
      <w:r w:rsidRPr="00AD1EB0">
        <w:rPr>
          <w:rFonts w:eastAsia="Calibri"/>
          <w:sz w:val="22"/>
          <w:szCs w:val="22"/>
        </w:rPr>
        <w:t xml:space="preserve">nad </w:t>
      </w:r>
      <w:r w:rsidR="006B7C83" w:rsidRPr="00AD1EB0">
        <w:rPr>
          <w:rFonts w:eastAsia="Calibri"/>
          <w:sz w:val="22"/>
          <w:szCs w:val="22"/>
        </w:rPr>
        <w:t>uzyskaniem</w:t>
      </w:r>
      <w:r w:rsidRPr="00AD1EB0">
        <w:rPr>
          <w:rFonts w:eastAsia="Calibri"/>
          <w:sz w:val="22"/>
          <w:szCs w:val="22"/>
        </w:rPr>
        <w:t xml:space="preserve"> </w:t>
      </w:r>
      <w:r w:rsidRPr="00EC12B2">
        <w:rPr>
          <w:rFonts w:eastAsia="Calibri"/>
          <w:sz w:val="22"/>
          <w:szCs w:val="22"/>
        </w:rPr>
        <w:t>pozwolenia na budowę. Docelowa powierzchnia budy</w:t>
      </w:r>
      <w:r w:rsidR="00C515DA">
        <w:rPr>
          <w:rFonts w:eastAsia="Calibri"/>
          <w:sz w:val="22"/>
          <w:szCs w:val="22"/>
        </w:rPr>
        <w:t>nku ma wynieść 3,8 tys. m2 PUM.</w:t>
      </w:r>
    </w:p>
    <w:p w:rsidR="001061DE" w:rsidRPr="00EC12B2" w:rsidRDefault="001061DE" w:rsidP="001061DE">
      <w:pPr>
        <w:jc w:val="both"/>
        <w:rPr>
          <w:rFonts w:eastAsia="Calibri"/>
          <w:sz w:val="22"/>
          <w:szCs w:val="22"/>
        </w:rPr>
      </w:pPr>
      <w:r w:rsidRPr="00EC12B2">
        <w:rPr>
          <w:rFonts w:eastAsia="Calibri"/>
          <w:sz w:val="22"/>
          <w:szCs w:val="22"/>
        </w:rPr>
        <w:t>Szczegółowe parametry realizowanych projektów znajdują się w poniższej tabeli:</w:t>
      </w:r>
    </w:p>
    <w:p w:rsidR="001061DE" w:rsidRDefault="001061DE" w:rsidP="001061DE">
      <w:pPr>
        <w:jc w:val="both"/>
        <w:rPr>
          <w:rFonts w:eastAsia="Calibri"/>
          <w:sz w:val="22"/>
          <w:szCs w:val="22"/>
          <w:highlight w:val="lightGray"/>
        </w:rPr>
      </w:pPr>
    </w:p>
    <w:p w:rsidR="001061DE" w:rsidRPr="00EC12B2" w:rsidRDefault="00084207" w:rsidP="00084207">
      <w:pPr>
        <w:jc w:val="both"/>
        <w:rPr>
          <w:rFonts w:eastAsia="Calibri"/>
          <w:bCs/>
          <w:i/>
          <w:sz w:val="18"/>
          <w:szCs w:val="18"/>
        </w:rPr>
      </w:pPr>
      <w:r>
        <w:rPr>
          <w:noProof/>
          <w:lang w:eastAsia="pl-PL"/>
        </w:rPr>
        <w:drawing>
          <wp:inline distT="0" distB="0" distL="0" distR="0" wp14:anchorId="7D0DA61A" wp14:editId="413A7B47">
            <wp:extent cx="5760720" cy="137573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375730"/>
                    </a:xfrm>
                    <a:prstGeom prst="rect">
                      <a:avLst/>
                    </a:prstGeom>
                    <a:noFill/>
                    <a:ln>
                      <a:noFill/>
                    </a:ln>
                  </pic:spPr>
                </pic:pic>
              </a:graphicData>
            </a:graphic>
          </wp:inline>
        </w:drawing>
      </w:r>
      <w:r w:rsidR="001061DE" w:rsidRPr="00EC12B2">
        <w:rPr>
          <w:bCs/>
          <w:i/>
          <w:sz w:val="18"/>
          <w:szCs w:val="18"/>
        </w:rPr>
        <w:t>Dane o sprzedaży zawierają umowy deweloperskie oraz płatne rezerwacyjne.</w:t>
      </w:r>
    </w:p>
    <w:p w:rsidR="001061DE" w:rsidRPr="00EC12B2" w:rsidRDefault="001061DE" w:rsidP="001061DE">
      <w:pPr>
        <w:jc w:val="both"/>
        <w:rPr>
          <w:rFonts w:eastAsia="Calibri"/>
          <w:sz w:val="22"/>
          <w:szCs w:val="22"/>
        </w:rPr>
      </w:pPr>
    </w:p>
    <w:p w:rsidR="001061DE" w:rsidRPr="00EC12B2" w:rsidRDefault="001061DE" w:rsidP="001061DE">
      <w:pPr>
        <w:jc w:val="both"/>
        <w:rPr>
          <w:rFonts w:eastAsia="Calibri"/>
          <w:sz w:val="22"/>
          <w:szCs w:val="22"/>
        </w:rPr>
      </w:pPr>
      <w:r w:rsidRPr="00EC12B2" w:rsidDel="003D4D60">
        <w:rPr>
          <w:rFonts w:ascii="Calibri" w:eastAsia="Calibri" w:hAnsi="Calibri" w:cs="Calibri"/>
          <w:sz w:val="22"/>
          <w:szCs w:val="22"/>
        </w:rPr>
        <w:t xml:space="preserve"> </w:t>
      </w:r>
    </w:p>
    <w:p w:rsidR="001061DE" w:rsidRPr="00EC12B2" w:rsidRDefault="001061DE" w:rsidP="001061DE">
      <w:pPr>
        <w:ind w:right="-108"/>
        <w:jc w:val="both"/>
        <w:rPr>
          <w:rFonts w:eastAsia="Calibri"/>
          <w:sz w:val="22"/>
          <w:szCs w:val="22"/>
        </w:rPr>
      </w:pPr>
      <w:r w:rsidRPr="00EC12B2">
        <w:rPr>
          <w:rFonts w:eastAsia="Calibri"/>
          <w:sz w:val="22"/>
          <w:szCs w:val="22"/>
        </w:rPr>
        <w:t xml:space="preserve">Obecnie trwają prace nad docelowym Planem zagospodarowania dla całej powierzchni Soho Factory </w:t>
      </w:r>
      <w:r w:rsidR="002B694F">
        <w:rPr>
          <w:rFonts w:eastAsia="Calibri"/>
          <w:sz w:val="22"/>
          <w:szCs w:val="22"/>
        </w:rPr>
        <w:br/>
      </w:r>
      <w:r w:rsidRPr="00EC12B2">
        <w:rPr>
          <w:rFonts w:eastAsia="Calibri"/>
          <w:sz w:val="22"/>
          <w:szCs w:val="22"/>
        </w:rPr>
        <w:t xml:space="preserve">(z wyłączeniem budynków </w:t>
      </w:r>
      <w:proofErr w:type="spellStart"/>
      <w:r w:rsidRPr="00EC12B2">
        <w:rPr>
          <w:rFonts w:eastAsia="Calibri"/>
          <w:sz w:val="22"/>
          <w:szCs w:val="22"/>
        </w:rPr>
        <w:t>Rebel</w:t>
      </w:r>
      <w:proofErr w:type="spellEnd"/>
      <w:r w:rsidRPr="00EC12B2">
        <w:rPr>
          <w:rFonts w:eastAsia="Calibri"/>
          <w:sz w:val="22"/>
          <w:szCs w:val="22"/>
        </w:rPr>
        <w:t xml:space="preserve"> 1, Kamion Cross, Wars, </w:t>
      </w:r>
      <w:proofErr w:type="spellStart"/>
      <w:r w:rsidRPr="00EC12B2">
        <w:rPr>
          <w:rFonts w:eastAsia="Calibri"/>
          <w:sz w:val="22"/>
          <w:szCs w:val="22"/>
        </w:rPr>
        <w:t>Rebel</w:t>
      </w:r>
      <w:proofErr w:type="spellEnd"/>
      <w:r w:rsidRPr="00EC12B2">
        <w:rPr>
          <w:rFonts w:eastAsia="Calibri"/>
          <w:sz w:val="22"/>
          <w:szCs w:val="22"/>
        </w:rPr>
        <w:t xml:space="preserve"> 2 oraz Feniks</w:t>
      </w:r>
      <w:r w:rsidR="002B694F">
        <w:rPr>
          <w:rFonts w:eastAsia="Calibri"/>
          <w:sz w:val="22"/>
          <w:szCs w:val="22"/>
        </w:rPr>
        <w:t>)</w:t>
      </w:r>
      <w:r w:rsidR="00EC12B2">
        <w:rPr>
          <w:rFonts w:eastAsia="Calibri"/>
          <w:sz w:val="22"/>
          <w:szCs w:val="22"/>
        </w:rPr>
        <w:t>.</w:t>
      </w:r>
      <w:r w:rsidRPr="00EC12B2">
        <w:rPr>
          <w:rFonts w:eastAsia="Calibri"/>
          <w:sz w:val="22"/>
          <w:szCs w:val="22"/>
        </w:rPr>
        <w:t xml:space="preserve"> </w:t>
      </w:r>
    </w:p>
    <w:p w:rsidR="001061DE" w:rsidRPr="00EC12B2" w:rsidRDefault="001061DE" w:rsidP="001061DE">
      <w:pPr>
        <w:ind w:right="-108"/>
        <w:jc w:val="both"/>
        <w:rPr>
          <w:rFonts w:eastAsia="Calibri"/>
          <w:sz w:val="22"/>
          <w:szCs w:val="22"/>
        </w:rPr>
      </w:pPr>
    </w:p>
    <w:p w:rsidR="001061DE" w:rsidRPr="00EC12B2" w:rsidRDefault="001061DE" w:rsidP="001061DE">
      <w:pPr>
        <w:ind w:right="-108"/>
        <w:jc w:val="both"/>
        <w:rPr>
          <w:rFonts w:eastAsia="Calibri"/>
          <w:sz w:val="22"/>
          <w:szCs w:val="22"/>
        </w:rPr>
      </w:pPr>
      <w:r w:rsidRPr="00EC12B2">
        <w:rPr>
          <w:rFonts w:eastAsia="Calibri"/>
          <w:sz w:val="22"/>
          <w:szCs w:val="22"/>
        </w:rPr>
        <w:t>W grudniu 2015 r. Soho Factory zostało nagrodzone w Ogólnopolskim Konkursie PZFD za Najlepsze Projekty Mieszkaniowe (nagrody w trzech kategoriach)</w:t>
      </w:r>
      <w:r w:rsidR="00EC12B2">
        <w:rPr>
          <w:rFonts w:eastAsia="Calibri"/>
          <w:sz w:val="22"/>
          <w:szCs w:val="22"/>
        </w:rPr>
        <w:t>.</w:t>
      </w:r>
    </w:p>
    <w:p w:rsidR="001061DE" w:rsidRPr="00EC12B2" w:rsidRDefault="001061DE" w:rsidP="001061DE">
      <w:pPr>
        <w:ind w:right="-108"/>
        <w:jc w:val="both"/>
        <w:rPr>
          <w:rFonts w:eastAsia="Calibri"/>
          <w:sz w:val="22"/>
          <w:szCs w:val="22"/>
        </w:rPr>
      </w:pPr>
    </w:p>
    <w:p w:rsidR="001061DE" w:rsidRPr="00EC12B2" w:rsidRDefault="001061DE" w:rsidP="001061DE">
      <w:pPr>
        <w:ind w:right="-108"/>
        <w:jc w:val="both"/>
        <w:rPr>
          <w:rFonts w:eastAsia="Calibri"/>
          <w:sz w:val="22"/>
          <w:szCs w:val="22"/>
        </w:rPr>
      </w:pPr>
      <w:r w:rsidRPr="00EC12B2">
        <w:rPr>
          <w:rFonts w:eastAsia="Calibri"/>
          <w:sz w:val="22"/>
          <w:szCs w:val="22"/>
        </w:rPr>
        <w:t xml:space="preserve">Soho Factory charakteryzuje bliskość centrum, unikatowy charakter miejsca oraz dostęp </w:t>
      </w:r>
      <w:r w:rsidR="002B694F">
        <w:rPr>
          <w:rFonts w:eastAsia="Calibri"/>
          <w:sz w:val="22"/>
          <w:szCs w:val="22"/>
        </w:rPr>
        <w:br/>
      </w:r>
      <w:r w:rsidRPr="00EC12B2">
        <w:rPr>
          <w:rFonts w:eastAsia="Calibri"/>
          <w:sz w:val="22"/>
          <w:szCs w:val="22"/>
        </w:rPr>
        <w:t>do infrastruktury kulturalnej i użytkowej. W ramach Zintegrowanego Programu Rewitalizacji planowane jest przeznaczenie ok. 1</w:t>
      </w:r>
      <w:r w:rsidR="002B694F">
        <w:rPr>
          <w:rFonts w:eastAsia="Calibri"/>
          <w:sz w:val="22"/>
          <w:szCs w:val="22"/>
        </w:rPr>
        <w:t>,</w:t>
      </w:r>
      <w:r w:rsidRPr="00EC12B2">
        <w:rPr>
          <w:rFonts w:eastAsia="Calibri"/>
          <w:sz w:val="22"/>
          <w:szCs w:val="22"/>
        </w:rPr>
        <w:t>4 mld</w:t>
      </w:r>
      <w:r w:rsidR="002B694F" w:rsidRPr="002B694F">
        <w:rPr>
          <w:rFonts w:eastAsia="Calibri"/>
          <w:sz w:val="22"/>
          <w:szCs w:val="22"/>
        </w:rPr>
        <w:t xml:space="preserve"> </w:t>
      </w:r>
      <w:r w:rsidR="002B694F" w:rsidRPr="00EC12B2">
        <w:rPr>
          <w:rFonts w:eastAsia="Calibri"/>
          <w:sz w:val="22"/>
          <w:szCs w:val="22"/>
        </w:rPr>
        <w:t>PLN</w:t>
      </w:r>
      <w:r w:rsidRPr="00EC12B2">
        <w:rPr>
          <w:rFonts w:eastAsia="Calibri"/>
          <w:sz w:val="22"/>
          <w:szCs w:val="22"/>
        </w:rPr>
        <w:t xml:space="preserve"> do 2022 r. m.in. na rozwój Pragi, co dodatkowo zwiększy atrakcyjność miejsca. </w:t>
      </w:r>
    </w:p>
    <w:p w:rsidR="001061DE" w:rsidRPr="00EC12B2" w:rsidRDefault="001061DE" w:rsidP="001061DE">
      <w:pPr>
        <w:ind w:right="-108"/>
        <w:jc w:val="both"/>
        <w:rPr>
          <w:rFonts w:eastAsia="Calibri"/>
          <w:sz w:val="22"/>
          <w:szCs w:val="22"/>
        </w:rPr>
      </w:pPr>
    </w:p>
    <w:p w:rsidR="001061DE" w:rsidRPr="00EC12B2" w:rsidRDefault="001061DE" w:rsidP="001061DE">
      <w:pPr>
        <w:ind w:right="-108"/>
        <w:jc w:val="both"/>
        <w:rPr>
          <w:rFonts w:eastAsia="Calibri"/>
          <w:sz w:val="22"/>
          <w:szCs w:val="22"/>
        </w:rPr>
      </w:pPr>
      <w:r w:rsidRPr="00EC12B2">
        <w:rPr>
          <w:rFonts w:eastAsia="Calibri"/>
          <w:sz w:val="22"/>
          <w:szCs w:val="22"/>
        </w:rPr>
        <w:t xml:space="preserve">Ponadto spółka wynajmuje powierzchnie komercyjne w zrewitalizowanych budynkach, znajdujących się na terenie Soho Factory. </w:t>
      </w:r>
      <w:r w:rsidR="003F0561">
        <w:rPr>
          <w:rFonts w:eastAsia="Calibri"/>
          <w:sz w:val="22"/>
          <w:szCs w:val="22"/>
        </w:rPr>
        <w:t xml:space="preserve">Obecnie powierzchnia przeznaczona na wynajem wynosi </w:t>
      </w:r>
      <w:r w:rsidR="00FB1BE3">
        <w:rPr>
          <w:rFonts w:eastAsia="Calibri"/>
          <w:sz w:val="22"/>
          <w:szCs w:val="22"/>
        </w:rPr>
        <w:t>1</w:t>
      </w:r>
      <w:r w:rsidR="00E53CAA">
        <w:rPr>
          <w:rFonts w:eastAsia="Calibri"/>
          <w:sz w:val="22"/>
          <w:szCs w:val="22"/>
        </w:rPr>
        <w:t>3,2</w:t>
      </w:r>
      <w:r w:rsidR="00FB1BE3">
        <w:rPr>
          <w:rFonts w:eastAsia="Calibri"/>
          <w:sz w:val="22"/>
          <w:szCs w:val="22"/>
        </w:rPr>
        <w:t xml:space="preserve"> tys. m2</w:t>
      </w:r>
      <w:r w:rsidR="003F0561">
        <w:rPr>
          <w:rFonts w:eastAsia="Calibri"/>
          <w:sz w:val="22"/>
          <w:szCs w:val="22"/>
        </w:rPr>
        <w:t xml:space="preserve">, </w:t>
      </w:r>
      <w:r w:rsidR="002B694F">
        <w:rPr>
          <w:rFonts w:eastAsia="Calibri"/>
          <w:sz w:val="22"/>
          <w:szCs w:val="22"/>
        </w:rPr>
        <w:br/>
      </w:r>
      <w:r w:rsidR="003F0561">
        <w:rPr>
          <w:rFonts w:eastAsia="Calibri"/>
          <w:sz w:val="22"/>
          <w:szCs w:val="22"/>
        </w:rPr>
        <w:t xml:space="preserve">a w docelowej koncepcji Soho będzie wynosiła </w:t>
      </w:r>
      <w:r w:rsidR="00164F3E">
        <w:rPr>
          <w:rFonts w:eastAsia="Calibri"/>
          <w:sz w:val="22"/>
          <w:szCs w:val="22"/>
        </w:rPr>
        <w:t xml:space="preserve">ok. </w:t>
      </w:r>
      <w:r w:rsidR="00E53CAA">
        <w:rPr>
          <w:rFonts w:eastAsia="Calibri"/>
          <w:sz w:val="22"/>
          <w:szCs w:val="22"/>
        </w:rPr>
        <w:t>4</w:t>
      </w:r>
      <w:r w:rsidR="003F0561">
        <w:rPr>
          <w:rFonts w:eastAsia="Calibri"/>
          <w:sz w:val="22"/>
          <w:szCs w:val="22"/>
        </w:rPr>
        <w:t>,</w:t>
      </w:r>
      <w:r w:rsidR="00E53CAA">
        <w:rPr>
          <w:rFonts w:eastAsia="Calibri"/>
          <w:sz w:val="22"/>
          <w:szCs w:val="22"/>
        </w:rPr>
        <w:t>3</w:t>
      </w:r>
      <w:r w:rsidR="003F0561">
        <w:rPr>
          <w:rFonts w:eastAsia="Calibri"/>
          <w:sz w:val="22"/>
          <w:szCs w:val="22"/>
        </w:rPr>
        <w:t xml:space="preserve"> tys. m2. </w:t>
      </w:r>
      <w:r w:rsidRPr="00EC12B2">
        <w:rPr>
          <w:rFonts w:eastAsia="Calibri"/>
          <w:sz w:val="22"/>
          <w:szCs w:val="22"/>
        </w:rPr>
        <w:t xml:space="preserve">Wyjątkowy charakter miejsca przyciąga wielu najemców takich jak prestiżowe restauracje, agencje marketingowe, biura architektoniczne </w:t>
      </w:r>
      <w:r w:rsidR="002B694F">
        <w:rPr>
          <w:rFonts w:eastAsia="Calibri"/>
          <w:sz w:val="22"/>
          <w:szCs w:val="22"/>
        </w:rPr>
        <w:br/>
      </w:r>
      <w:r w:rsidRPr="00EC12B2">
        <w:rPr>
          <w:rFonts w:eastAsia="Calibri"/>
          <w:sz w:val="22"/>
          <w:szCs w:val="22"/>
        </w:rPr>
        <w:t>i designerskie. Zrewitalizowane powierzchnie o odpowiednim profilu najemców stanowią integralną część konceptu SOHO.</w:t>
      </w:r>
    </w:p>
    <w:p w:rsidR="001061DE" w:rsidRPr="00EC12B2" w:rsidRDefault="001061DE" w:rsidP="001061DE">
      <w:pPr>
        <w:ind w:right="-108"/>
        <w:jc w:val="both"/>
        <w:rPr>
          <w:rFonts w:eastAsia="Calibri"/>
          <w:sz w:val="22"/>
          <w:szCs w:val="22"/>
        </w:rPr>
      </w:pPr>
    </w:p>
    <w:p w:rsidR="001061DE" w:rsidRPr="00EC12B2" w:rsidRDefault="001061DE" w:rsidP="001061DE">
      <w:pPr>
        <w:numPr>
          <w:ilvl w:val="0"/>
          <w:numId w:val="6"/>
        </w:numPr>
        <w:ind w:left="357" w:hanging="357"/>
        <w:jc w:val="both"/>
        <w:rPr>
          <w:rFonts w:eastAsia="Calibri"/>
          <w:b/>
          <w:bCs/>
          <w:sz w:val="22"/>
          <w:szCs w:val="22"/>
        </w:rPr>
      </w:pPr>
      <w:r w:rsidRPr="00EC12B2">
        <w:rPr>
          <w:rFonts w:eastAsia="Calibri"/>
          <w:b/>
          <w:bCs/>
          <w:sz w:val="22"/>
          <w:szCs w:val="22"/>
        </w:rPr>
        <w:t xml:space="preserve">Cracovia </w:t>
      </w:r>
      <w:proofErr w:type="spellStart"/>
      <w:r w:rsidRPr="00EC12B2">
        <w:rPr>
          <w:rFonts w:eastAsia="Calibri"/>
          <w:b/>
          <w:bCs/>
          <w:sz w:val="22"/>
          <w:szCs w:val="22"/>
        </w:rPr>
        <w:t>Property</w:t>
      </w:r>
      <w:proofErr w:type="spellEnd"/>
      <w:r w:rsidRPr="00EC12B2">
        <w:rPr>
          <w:rFonts w:eastAsia="Calibri"/>
          <w:b/>
          <w:bCs/>
          <w:sz w:val="22"/>
          <w:szCs w:val="22"/>
        </w:rPr>
        <w:t xml:space="preserve"> Sp. z o.o. </w:t>
      </w:r>
    </w:p>
    <w:p w:rsidR="001061DE" w:rsidRPr="00EC12B2" w:rsidRDefault="001061DE" w:rsidP="001061DE">
      <w:pPr>
        <w:autoSpaceDE w:val="0"/>
        <w:autoSpaceDN w:val="0"/>
        <w:adjustRightInd w:val="0"/>
        <w:jc w:val="both"/>
        <w:rPr>
          <w:sz w:val="22"/>
          <w:szCs w:val="22"/>
        </w:rPr>
      </w:pPr>
    </w:p>
    <w:p w:rsidR="001061DE" w:rsidRPr="00EC12B2" w:rsidRDefault="001061DE" w:rsidP="001061DE">
      <w:pPr>
        <w:autoSpaceDE w:val="0"/>
        <w:autoSpaceDN w:val="0"/>
        <w:adjustRightInd w:val="0"/>
        <w:jc w:val="both"/>
        <w:rPr>
          <w:sz w:val="22"/>
          <w:szCs w:val="22"/>
        </w:rPr>
      </w:pPr>
      <w:r w:rsidRPr="00EC12B2">
        <w:rPr>
          <w:sz w:val="22"/>
          <w:szCs w:val="22"/>
        </w:rPr>
        <w:t>Przedmiotem działalności spółki jest realizacja projektu deweloperskiego o docelowej powierzchni użytkowej wynoszącej ok. 50 tys. m2 (uwarunkowane uzyskaniem WZ dla części nieruchomości).</w:t>
      </w:r>
      <w:r w:rsidR="002B694F">
        <w:rPr>
          <w:sz w:val="22"/>
          <w:szCs w:val="22"/>
        </w:rPr>
        <w:br/>
      </w:r>
      <w:r w:rsidRPr="00EC12B2">
        <w:rPr>
          <w:sz w:val="22"/>
          <w:szCs w:val="22"/>
        </w:rPr>
        <w:t xml:space="preserve">W ramach pierwszych trzech etapów, objętych posiadaną WZ zaplanowano wybudowanie ok. 30 tys. m2 PU. Trwają prace nad uzyskaniem WZ dla pozostałej części nieruchomości. </w:t>
      </w:r>
    </w:p>
    <w:p w:rsidR="001061DE" w:rsidRPr="00EC12B2" w:rsidRDefault="001061DE" w:rsidP="001061DE">
      <w:pPr>
        <w:autoSpaceDE w:val="0"/>
        <w:autoSpaceDN w:val="0"/>
        <w:adjustRightInd w:val="0"/>
        <w:jc w:val="both"/>
        <w:rPr>
          <w:sz w:val="22"/>
          <w:szCs w:val="22"/>
        </w:rPr>
      </w:pPr>
    </w:p>
    <w:p w:rsidR="001061DE" w:rsidRPr="00EC12B2" w:rsidRDefault="001061DE" w:rsidP="001061DE">
      <w:pPr>
        <w:autoSpaceDE w:val="0"/>
        <w:autoSpaceDN w:val="0"/>
        <w:adjustRightInd w:val="0"/>
        <w:jc w:val="both"/>
        <w:rPr>
          <w:rFonts w:eastAsia="Calibri"/>
          <w:sz w:val="22"/>
          <w:szCs w:val="22"/>
        </w:rPr>
      </w:pPr>
      <w:r w:rsidRPr="00EC12B2">
        <w:rPr>
          <w:sz w:val="22"/>
          <w:szCs w:val="22"/>
        </w:rPr>
        <w:t xml:space="preserve">Pierwszy etap inwestycji jest prowadzony w ramach spółki celowej – Dobra Forma 1 Sp. z o.o. SK, </w:t>
      </w:r>
      <w:r w:rsidR="002B694F">
        <w:rPr>
          <w:sz w:val="22"/>
          <w:szCs w:val="22"/>
        </w:rPr>
        <w:br/>
      </w:r>
      <w:r w:rsidRPr="00EC12B2">
        <w:rPr>
          <w:sz w:val="22"/>
          <w:szCs w:val="22"/>
        </w:rPr>
        <w:t xml:space="preserve">w 100 % zależnej od Soho Development S.A. W wyniku przeprowadzonej transakcji aportowej spółka celowa nabyła prawa do działek 576/68 i 576/70 o łącznej powierzchni 5.035 m2, przeznaczonych pod pierwszy etap inwestycji w Krakowie. W dniu 10 listopada 2015 r. uzyskano pozwolenie na budowę dla pierwszego etapu inwestycji. Budynek składać się będzie z dwóch części naziemnych dwunastokondygnacyjnych. W części A i B planowane jest odpowiednio 117 i 125 mieszkań – łącznie 242 mieszkania, o łącznej powierzchni użytkowej ok. 10,5 tys. m2. Zgodnie z aktualnym harmonogramem inwestycji, pierwszy etap ma zostać przekazany do użytkowania w III kw. 2017 r. </w:t>
      </w:r>
      <w:r w:rsidRPr="00EC12B2">
        <w:rPr>
          <w:rFonts w:eastAsia="Calibri"/>
          <w:sz w:val="22"/>
          <w:szCs w:val="22"/>
        </w:rPr>
        <w:t>Do dnia publikacji podpisano umowy na sprzedaż 56 lo</w:t>
      </w:r>
      <w:r w:rsidR="00084207">
        <w:rPr>
          <w:rFonts w:eastAsia="Calibri"/>
          <w:sz w:val="22"/>
          <w:szCs w:val="22"/>
        </w:rPr>
        <w:t>kali mieszkalnych, co stanowi 24</w:t>
      </w:r>
      <w:r w:rsidRPr="00EC12B2">
        <w:rPr>
          <w:rFonts w:eastAsia="Calibri"/>
          <w:sz w:val="22"/>
          <w:szCs w:val="22"/>
        </w:rPr>
        <w:t>% PUM (umowy deweloperskie wraz z umowami rezerwacyjnymi)</w:t>
      </w:r>
      <w:r w:rsidR="002B694F">
        <w:rPr>
          <w:sz w:val="22"/>
          <w:szCs w:val="22"/>
        </w:rPr>
        <w:t>.</w:t>
      </w:r>
      <w:r w:rsidRPr="00EC12B2">
        <w:rPr>
          <w:sz w:val="22"/>
          <w:szCs w:val="22"/>
        </w:rPr>
        <w:t xml:space="preserve"> </w:t>
      </w:r>
    </w:p>
    <w:p w:rsidR="001061DE" w:rsidRPr="00EC12B2" w:rsidRDefault="001061DE" w:rsidP="001061DE">
      <w:pPr>
        <w:autoSpaceDE w:val="0"/>
        <w:autoSpaceDN w:val="0"/>
        <w:adjustRightInd w:val="0"/>
        <w:jc w:val="both"/>
        <w:rPr>
          <w:rFonts w:eastAsia="Calibri"/>
          <w:sz w:val="22"/>
          <w:szCs w:val="22"/>
        </w:rPr>
      </w:pPr>
    </w:p>
    <w:p w:rsidR="001061DE" w:rsidRPr="00EC12B2" w:rsidRDefault="001061DE" w:rsidP="001061DE">
      <w:pPr>
        <w:autoSpaceDE w:val="0"/>
        <w:autoSpaceDN w:val="0"/>
        <w:adjustRightInd w:val="0"/>
        <w:jc w:val="both"/>
        <w:rPr>
          <w:rFonts w:eastAsia="Calibri"/>
          <w:sz w:val="22"/>
          <w:szCs w:val="22"/>
        </w:rPr>
      </w:pPr>
      <w:r w:rsidRPr="00EC12B2">
        <w:rPr>
          <w:rFonts w:eastAsia="Calibri"/>
          <w:sz w:val="22"/>
          <w:szCs w:val="22"/>
        </w:rPr>
        <w:t xml:space="preserve">W I kwartale 2016 r. powstała spółka celowa – Dobra Forma </w:t>
      </w:r>
      <w:r w:rsidR="008443F3" w:rsidRPr="00EC12B2">
        <w:rPr>
          <w:rFonts w:eastAsia="Calibri"/>
          <w:sz w:val="22"/>
          <w:szCs w:val="22"/>
        </w:rPr>
        <w:t>1</w:t>
      </w:r>
      <w:r w:rsidRPr="00EC12B2">
        <w:rPr>
          <w:rFonts w:eastAsia="Calibri"/>
          <w:sz w:val="22"/>
          <w:szCs w:val="22"/>
        </w:rPr>
        <w:t xml:space="preserve"> Sp. z o.o.</w:t>
      </w:r>
      <w:r w:rsidR="008443F3" w:rsidRPr="00EC12B2">
        <w:rPr>
          <w:rFonts w:eastAsia="Calibri"/>
          <w:sz w:val="22"/>
          <w:szCs w:val="22"/>
        </w:rPr>
        <w:t xml:space="preserve"> 2</w:t>
      </w:r>
      <w:r w:rsidRPr="00EC12B2">
        <w:rPr>
          <w:rFonts w:eastAsia="Calibri"/>
          <w:sz w:val="22"/>
          <w:szCs w:val="22"/>
        </w:rPr>
        <w:t xml:space="preserve"> SK, w 100 % zależna </w:t>
      </w:r>
      <w:r w:rsidR="002B694F">
        <w:rPr>
          <w:rFonts w:eastAsia="Calibri"/>
          <w:sz w:val="22"/>
          <w:szCs w:val="22"/>
        </w:rPr>
        <w:br/>
      </w:r>
      <w:r w:rsidRPr="00EC12B2">
        <w:rPr>
          <w:rFonts w:eastAsia="Calibri"/>
          <w:sz w:val="22"/>
          <w:szCs w:val="22"/>
        </w:rPr>
        <w:t>od Soho Development S.A. w ramach której prowadzony będzie drugi etap inwestycji.</w:t>
      </w:r>
    </w:p>
    <w:p w:rsidR="00084207" w:rsidRDefault="00084207" w:rsidP="001061DE">
      <w:pPr>
        <w:rPr>
          <w:bCs/>
          <w:i/>
          <w:sz w:val="18"/>
          <w:szCs w:val="18"/>
        </w:rPr>
      </w:pPr>
      <w:r>
        <w:rPr>
          <w:noProof/>
          <w:lang w:eastAsia="pl-PL"/>
        </w:rPr>
        <w:lastRenderedPageBreak/>
        <w:drawing>
          <wp:inline distT="0" distB="0" distL="0" distR="0" wp14:anchorId="06B58D7D" wp14:editId="7B8B8130">
            <wp:extent cx="5760720" cy="68248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682482"/>
                    </a:xfrm>
                    <a:prstGeom prst="rect">
                      <a:avLst/>
                    </a:prstGeom>
                    <a:noFill/>
                    <a:ln>
                      <a:noFill/>
                    </a:ln>
                  </pic:spPr>
                </pic:pic>
              </a:graphicData>
            </a:graphic>
          </wp:inline>
        </w:drawing>
      </w:r>
    </w:p>
    <w:p w:rsidR="001061DE" w:rsidRPr="00EC12B2" w:rsidRDefault="001061DE" w:rsidP="001061DE">
      <w:pPr>
        <w:rPr>
          <w:bCs/>
          <w:i/>
          <w:sz w:val="18"/>
          <w:szCs w:val="18"/>
        </w:rPr>
      </w:pPr>
      <w:r w:rsidRPr="00EC12B2">
        <w:rPr>
          <w:bCs/>
          <w:i/>
          <w:sz w:val="18"/>
          <w:szCs w:val="18"/>
        </w:rPr>
        <w:t>Dane o sprzedaży zawierają umowy deweloperskie oraz płatne rezerwacyjne.</w:t>
      </w:r>
    </w:p>
    <w:p w:rsidR="001061DE" w:rsidRPr="00EC12B2" w:rsidRDefault="001061DE" w:rsidP="001061DE">
      <w:pPr>
        <w:autoSpaceDE w:val="0"/>
        <w:autoSpaceDN w:val="0"/>
        <w:adjustRightInd w:val="0"/>
        <w:jc w:val="both"/>
        <w:rPr>
          <w:sz w:val="22"/>
          <w:szCs w:val="22"/>
        </w:rPr>
      </w:pPr>
    </w:p>
    <w:p w:rsidR="001061DE" w:rsidRPr="00EC12B2" w:rsidRDefault="001061DE" w:rsidP="001061DE">
      <w:pPr>
        <w:numPr>
          <w:ilvl w:val="0"/>
          <w:numId w:val="6"/>
        </w:numPr>
        <w:ind w:left="0" w:right="-108" w:firstLine="0"/>
        <w:jc w:val="both"/>
        <w:rPr>
          <w:rFonts w:eastAsia="Calibri"/>
          <w:sz w:val="22"/>
          <w:szCs w:val="22"/>
        </w:rPr>
      </w:pPr>
      <w:r w:rsidRPr="00EC12B2">
        <w:rPr>
          <w:rFonts w:eastAsia="Calibri"/>
          <w:b/>
          <w:bCs/>
          <w:sz w:val="22"/>
          <w:szCs w:val="22"/>
        </w:rPr>
        <w:t xml:space="preserve">Fabryka PZO Sp. z o.o. </w:t>
      </w:r>
    </w:p>
    <w:p w:rsidR="001061DE" w:rsidRPr="00EC12B2" w:rsidRDefault="001061DE" w:rsidP="001061DE">
      <w:pPr>
        <w:ind w:right="-108"/>
        <w:jc w:val="both"/>
        <w:rPr>
          <w:rFonts w:eastAsia="Calibri"/>
          <w:sz w:val="22"/>
          <w:szCs w:val="22"/>
        </w:rPr>
      </w:pPr>
    </w:p>
    <w:p w:rsidR="001061DE" w:rsidRPr="00EC12B2" w:rsidRDefault="001061DE" w:rsidP="001061DE">
      <w:pPr>
        <w:ind w:right="-108"/>
        <w:jc w:val="both"/>
        <w:rPr>
          <w:rFonts w:eastAsia="Calibri"/>
          <w:sz w:val="22"/>
          <w:szCs w:val="22"/>
        </w:rPr>
      </w:pPr>
      <w:r w:rsidRPr="00EC12B2">
        <w:rPr>
          <w:rFonts w:eastAsia="Calibri"/>
          <w:sz w:val="22"/>
          <w:szCs w:val="22"/>
        </w:rPr>
        <w:t xml:space="preserve">Spółka jest właścicielem nieruchomości gruntowej o łącznej powierzchni 1,1 </w:t>
      </w:r>
      <w:r w:rsidR="008D2D3A" w:rsidRPr="00EC12B2">
        <w:rPr>
          <w:rFonts w:eastAsia="Calibri"/>
          <w:sz w:val="22"/>
          <w:szCs w:val="22"/>
        </w:rPr>
        <w:t>ha położonej</w:t>
      </w:r>
      <w:r w:rsidRPr="00EC12B2">
        <w:rPr>
          <w:rFonts w:eastAsia="Calibri"/>
          <w:sz w:val="22"/>
          <w:szCs w:val="22"/>
        </w:rPr>
        <w:t xml:space="preserve"> </w:t>
      </w:r>
      <w:r w:rsidR="002B694F">
        <w:rPr>
          <w:rFonts w:eastAsia="Calibri"/>
          <w:sz w:val="22"/>
          <w:szCs w:val="22"/>
        </w:rPr>
        <w:br/>
      </w:r>
      <w:r w:rsidRPr="00EC12B2">
        <w:rPr>
          <w:rFonts w:eastAsia="Calibri"/>
          <w:sz w:val="22"/>
          <w:szCs w:val="22"/>
        </w:rPr>
        <w:t xml:space="preserve">w Warszawie przy ulicy Grochowskiej (Praga Południe). Fabryka PZO posiada unikatowe budynki </w:t>
      </w:r>
      <w:r w:rsidR="002B694F">
        <w:rPr>
          <w:rFonts w:eastAsia="Calibri"/>
          <w:sz w:val="22"/>
          <w:szCs w:val="22"/>
        </w:rPr>
        <w:br/>
      </w:r>
      <w:r w:rsidRPr="00EC12B2">
        <w:rPr>
          <w:rFonts w:eastAsia="Calibri"/>
          <w:sz w:val="22"/>
          <w:szCs w:val="22"/>
        </w:rPr>
        <w:t>o docelowej chłonności ok. 17 tys. m2 PU. Z uwagi na położenie i spójność koncepcji architektonicznej, stanie się ona integralną częścią projektu SOHO.</w:t>
      </w:r>
    </w:p>
    <w:p w:rsidR="001061DE" w:rsidRDefault="001061DE" w:rsidP="001061DE">
      <w:pPr>
        <w:ind w:right="-108"/>
        <w:jc w:val="both"/>
        <w:rPr>
          <w:rFonts w:eastAsia="Calibri"/>
          <w:sz w:val="22"/>
          <w:szCs w:val="22"/>
          <w:highlight w:val="lightGray"/>
        </w:rPr>
      </w:pPr>
    </w:p>
    <w:p w:rsidR="001061DE" w:rsidRPr="00EC12B2" w:rsidRDefault="001061DE" w:rsidP="001061DE">
      <w:pPr>
        <w:ind w:right="-108"/>
        <w:jc w:val="both"/>
        <w:rPr>
          <w:rFonts w:eastAsia="Calibri"/>
          <w:sz w:val="22"/>
          <w:szCs w:val="22"/>
        </w:rPr>
      </w:pPr>
      <w:r w:rsidRPr="00EC12B2">
        <w:rPr>
          <w:rFonts w:eastAsia="Calibri"/>
          <w:sz w:val="22"/>
          <w:szCs w:val="22"/>
        </w:rPr>
        <w:t>W część nieruchomości przylegającej do ul</w:t>
      </w:r>
      <w:r w:rsidR="00B46AFD">
        <w:rPr>
          <w:rFonts w:eastAsia="Calibri"/>
          <w:sz w:val="22"/>
          <w:szCs w:val="22"/>
        </w:rPr>
        <w:t>.</w:t>
      </w:r>
      <w:r w:rsidRPr="00EC12B2">
        <w:rPr>
          <w:rFonts w:eastAsia="Calibri"/>
          <w:sz w:val="22"/>
          <w:szCs w:val="22"/>
        </w:rPr>
        <w:t xml:space="preserve"> Grochowskiej (etap A) </w:t>
      </w:r>
      <w:r w:rsidR="00B46AFD">
        <w:rPr>
          <w:rFonts w:eastAsia="Calibri"/>
          <w:sz w:val="22"/>
          <w:szCs w:val="22"/>
        </w:rPr>
        <w:t>p</w:t>
      </w:r>
      <w:r w:rsidRPr="00EC12B2">
        <w:rPr>
          <w:rFonts w:eastAsia="Calibri"/>
          <w:sz w:val="22"/>
          <w:szCs w:val="22"/>
        </w:rPr>
        <w:t xml:space="preserve">lanowana jest adaptacja istniejących budynków, o </w:t>
      </w:r>
      <w:r w:rsidR="008D2D3A" w:rsidRPr="00EC12B2">
        <w:rPr>
          <w:rFonts w:eastAsia="Calibri"/>
          <w:sz w:val="22"/>
          <w:szCs w:val="22"/>
        </w:rPr>
        <w:t>przeznacz</w:t>
      </w:r>
      <w:r w:rsidR="008D2D3A">
        <w:rPr>
          <w:rFonts w:eastAsia="Calibri"/>
          <w:sz w:val="22"/>
          <w:szCs w:val="22"/>
        </w:rPr>
        <w:t>e</w:t>
      </w:r>
      <w:r w:rsidR="00A85324">
        <w:rPr>
          <w:rFonts w:eastAsia="Calibri"/>
          <w:sz w:val="22"/>
          <w:szCs w:val="22"/>
        </w:rPr>
        <w:t>niu usługowo-biurowym</w:t>
      </w:r>
      <w:r w:rsidRPr="00EC12B2">
        <w:rPr>
          <w:rFonts w:eastAsia="Calibri"/>
          <w:sz w:val="22"/>
          <w:szCs w:val="22"/>
        </w:rPr>
        <w:t>. Spółka posiad</w:t>
      </w:r>
      <w:r w:rsidR="00B46AFD">
        <w:rPr>
          <w:rFonts w:eastAsia="Calibri"/>
          <w:sz w:val="22"/>
          <w:szCs w:val="22"/>
        </w:rPr>
        <w:t>a pozwolenie na budowę w ramach</w:t>
      </w:r>
      <w:r w:rsidRPr="00EC12B2">
        <w:rPr>
          <w:rFonts w:eastAsia="Calibri"/>
          <w:sz w:val="22"/>
          <w:szCs w:val="22"/>
        </w:rPr>
        <w:t xml:space="preserve"> którego istnieje możliwość uzyskania ok. 10 tys. m2 GLA. Trwa proces badania rynku </w:t>
      </w:r>
      <w:r w:rsidR="002B694F">
        <w:rPr>
          <w:rFonts w:eastAsia="Calibri"/>
          <w:sz w:val="22"/>
          <w:szCs w:val="22"/>
        </w:rPr>
        <w:br/>
      </w:r>
      <w:r w:rsidRPr="00EC12B2">
        <w:rPr>
          <w:rFonts w:eastAsia="Calibri"/>
          <w:sz w:val="22"/>
          <w:szCs w:val="22"/>
        </w:rPr>
        <w:t>w celu pozyskania strategicznego najemcy.</w:t>
      </w:r>
    </w:p>
    <w:p w:rsidR="001061DE" w:rsidRPr="00EC12B2" w:rsidRDefault="001061DE" w:rsidP="001061DE">
      <w:pPr>
        <w:ind w:right="-108"/>
        <w:jc w:val="both"/>
        <w:rPr>
          <w:rFonts w:eastAsia="Calibri"/>
          <w:sz w:val="22"/>
          <w:szCs w:val="22"/>
        </w:rPr>
      </w:pPr>
    </w:p>
    <w:p w:rsidR="001061DE" w:rsidRPr="00EC12B2" w:rsidRDefault="001061DE" w:rsidP="001061DE">
      <w:pPr>
        <w:ind w:right="-108"/>
        <w:jc w:val="both"/>
        <w:rPr>
          <w:rFonts w:eastAsia="Calibri"/>
          <w:sz w:val="22"/>
          <w:szCs w:val="22"/>
        </w:rPr>
      </w:pPr>
      <w:r w:rsidRPr="00EC12B2">
        <w:rPr>
          <w:rFonts w:eastAsia="Calibri"/>
          <w:sz w:val="22"/>
          <w:szCs w:val="22"/>
        </w:rPr>
        <w:t>Druga część nieruchomości (etap B) przeznaczona jest do realizacji nowego budynku o docelowej powierzchni ok. 7 tys. PUM.</w:t>
      </w:r>
    </w:p>
    <w:p w:rsidR="001061DE" w:rsidRPr="00EC12B2" w:rsidRDefault="001061DE" w:rsidP="001061DE">
      <w:pPr>
        <w:ind w:right="-108"/>
        <w:jc w:val="both"/>
        <w:rPr>
          <w:rFonts w:eastAsia="Calibri"/>
          <w:sz w:val="22"/>
          <w:szCs w:val="22"/>
        </w:rPr>
      </w:pPr>
    </w:p>
    <w:p w:rsidR="001061DE" w:rsidRPr="00EC12B2" w:rsidRDefault="001061DE" w:rsidP="001061DE">
      <w:pPr>
        <w:ind w:right="-108"/>
        <w:jc w:val="both"/>
        <w:rPr>
          <w:rFonts w:eastAsia="Calibri"/>
          <w:sz w:val="22"/>
          <w:szCs w:val="22"/>
        </w:rPr>
      </w:pPr>
      <w:r w:rsidRPr="00EC12B2">
        <w:rPr>
          <w:rFonts w:eastAsia="Calibri"/>
          <w:sz w:val="22"/>
          <w:szCs w:val="22"/>
        </w:rPr>
        <w:t>Przedmiotem działalności spółki jest również wynajem posiadanych powierzchni biurowo–usługowych.</w:t>
      </w:r>
    </w:p>
    <w:p w:rsidR="001061DE" w:rsidRPr="00EC12B2" w:rsidRDefault="001061DE" w:rsidP="001061DE">
      <w:pPr>
        <w:ind w:left="357" w:right="-108"/>
        <w:jc w:val="both"/>
        <w:rPr>
          <w:rFonts w:eastAsia="Calibri"/>
          <w:b/>
          <w:bCs/>
          <w:sz w:val="22"/>
          <w:szCs w:val="22"/>
        </w:rPr>
      </w:pPr>
    </w:p>
    <w:p w:rsidR="001061DE" w:rsidRPr="00EC12B2" w:rsidRDefault="001061DE" w:rsidP="001061DE">
      <w:pPr>
        <w:numPr>
          <w:ilvl w:val="0"/>
          <w:numId w:val="6"/>
        </w:numPr>
        <w:ind w:left="357" w:right="-108" w:hanging="357"/>
        <w:jc w:val="both"/>
        <w:rPr>
          <w:rFonts w:eastAsia="Calibri"/>
          <w:b/>
          <w:bCs/>
          <w:sz w:val="22"/>
          <w:szCs w:val="22"/>
          <w:lang w:val="en-US"/>
        </w:rPr>
      </w:pPr>
      <w:proofErr w:type="spellStart"/>
      <w:r w:rsidRPr="00EC12B2">
        <w:rPr>
          <w:rFonts w:eastAsia="Calibri"/>
          <w:b/>
          <w:bCs/>
          <w:sz w:val="22"/>
          <w:szCs w:val="22"/>
          <w:lang w:val="en-US"/>
        </w:rPr>
        <w:t>Mińska</w:t>
      </w:r>
      <w:proofErr w:type="spellEnd"/>
      <w:r w:rsidRPr="00EC12B2">
        <w:rPr>
          <w:rFonts w:eastAsia="Calibri"/>
          <w:b/>
          <w:bCs/>
          <w:sz w:val="22"/>
          <w:szCs w:val="22"/>
          <w:lang w:val="en-US"/>
        </w:rPr>
        <w:t xml:space="preserve"> Development Sp. z </w:t>
      </w:r>
      <w:proofErr w:type="spellStart"/>
      <w:r w:rsidRPr="00EC12B2">
        <w:rPr>
          <w:rFonts w:eastAsia="Calibri"/>
          <w:b/>
          <w:bCs/>
          <w:sz w:val="22"/>
          <w:szCs w:val="22"/>
          <w:lang w:val="en-US"/>
        </w:rPr>
        <w:t>o.o</w:t>
      </w:r>
      <w:proofErr w:type="spellEnd"/>
      <w:r w:rsidRPr="00EC12B2">
        <w:rPr>
          <w:rFonts w:eastAsia="Calibri"/>
          <w:b/>
          <w:bCs/>
          <w:sz w:val="22"/>
          <w:szCs w:val="22"/>
          <w:lang w:val="en-US"/>
        </w:rPr>
        <w:t xml:space="preserve">. </w:t>
      </w:r>
    </w:p>
    <w:p w:rsidR="001061DE" w:rsidRPr="00EC12B2" w:rsidRDefault="001061DE" w:rsidP="001061DE">
      <w:pPr>
        <w:ind w:right="-108"/>
        <w:jc w:val="both"/>
        <w:rPr>
          <w:rFonts w:eastAsia="Calibri"/>
          <w:sz w:val="22"/>
          <w:szCs w:val="22"/>
          <w:lang w:val="en-US"/>
        </w:rPr>
      </w:pPr>
    </w:p>
    <w:p w:rsidR="001061DE" w:rsidRPr="00EC12B2" w:rsidRDefault="001061DE" w:rsidP="001061DE">
      <w:pPr>
        <w:ind w:right="-108"/>
        <w:jc w:val="both"/>
        <w:rPr>
          <w:rFonts w:eastAsia="Calibri"/>
          <w:sz w:val="22"/>
          <w:szCs w:val="22"/>
        </w:rPr>
      </w:pPr>
      <w:r w:rsidRPr="00EC12B2">
        <w:rPr>
          <w:rFonts w:eastAsia="Calibri"/>
          <w:sz w:val="22"/>
          <w:szCs w:val="22"/>
        </w:rPr>
        <w:t>Spółka posiada prawo własności lokali użytkowych o łącznej powierzchni 2,8 tys. m</w:t>
      </w:r>
      <w:r w:rsidRPr="00EC12B2">
        <w:rPr>
          <w:rFonts w:eastAsia="Calibri"/>
          <w:sz w:val="22"/>
          <w:szCs w:val="22"/>
          <w:vertAlign w:val="superscript"/>
        </w:rPr>
        <w:t>2</w:t>
      </w:r>
      <w:r w:rsidRPr="00EC12B2">
        <w:rPr>
          <w:rFonts w:eastAsia="Calibri"/>
          <w:sz w:val="22"/>
          <w:szCs w:val="22"/>
        </w:rPr>
        <w:t>, zlokalizowanych w budynku biurowym w Warszawie przy ulicy Mińskiej 25 (Praga Południe) oraz prawo użytkowania wieczystego dwóch działek niezabudowanych o powierzchni łącznej 8.212 m</w:t>
      </w:r>
      <w:r w:rsidRPr="00EC12B2">
        <w:rPr>
          <w:rFonts w:eastAsia="Calibri"/>
          <w:sz w:val="22"/>
          <w:szCs w:val="22"/>
          <w:vertAlign w:val="superscript"/>
        </w:rPr>
        <w:t>2</w:t>
      </w:r>
      <w:r w:rsidRPr="00EC12B2">
        <w:rPr>
          <w:rFonts w:eastAsia="Calibri"/>
          <w:sz w:val="22"/>
          <w:szCs w:val="22"/>
        </w:rPr>
        <w:t xml:space="preserve">. </w:t>
      </w:r>
    </w:p>
    <w:p w:rsidR="001061DE" w:rsidRPr="00EC12B2" w:rsidRDefault="001061DE" w:rsidP="001061DE">
      <w:pPr>
        <w:ind w:right="-108"/>
        <w:jc w:val="both"/>
        <w:rPr>
          <w:rFonts w:eastAsia="Calibri"/>
          <w:sz w:val="22"/>
          <w:szCs w:val="22"/>
        </w:rPr>
      </w:pPr>
    </w:p>
    <w:p w:rsidR="001061DE" w:rsidRPr="00EC12B2" w:rsidRDefault="001061DE" w:rsidP="001061DE">
      <w:pPr>
        <w:ind w:right="-108"/>
        <w:jc w:val="both"/>
        <w:rPr>
          <w:rFonts w:eastAsia="Calibri"/>
          <w:sz w:val="22"/>
          <w:szCs w:val="22"/>
        </w:rPr>
      </w:pPr>
      <w:r w:rsidRPr="00EC12B2">
        <w:rPr>
          <w:rFonts w:eastAsia="Calibri"/>
          <w:sz w:val="22"/>
          <w:szCs w:val="22"/>
        </w:rPr>
        <w:t xml:space="preserve">Aktualnym przedmiotem działalności spółki jest wynajem posiadanych powierzchni biurowo–usługowych. </w:t>
      </w:r>
    </w:p>
    <w:p w:rsidR="001061DE" w:rsidRPr="00EC12B2" w:rsidRDefault="001061DE" w:rsidP="001061DE">
      <w:pPr>
        <w:ind w:right="-108"/>
        <w:jc w:val="both"/>
        <w:rPr>
          <w:rFonts w:eastAsia="Calibri"/>
          <w:sz w:val="22"/>
          <w:szCs w:val="22"/>
        </w:rPr>
      </w:pPr>
    </w:p>
    <w:p w:rsidR="001061DE" w:rsidRPr="00517411" w:rsidRDefault="001061DE" w:rsidP="001061DE">
      <w:pPr>
        <w:ind w:right="-108"/>
        <w:jc w:val="both"/>
        <w:rPr>
          <w:rFonts w:eastAsia="Calibri"/>
          <w:sz w:val="22"/>
          <w:szCs w:val="22"/>
        </w:rPr>
      </w:pPr>
      <w:r w:rsidRPr="00EC12B2">
        <w:rPr>
          <w:rFonts w:eastAsia="Calibri"/>
          <w:sz w:val="22"/>
          <w:szCs w:val="22"/>
        </w:rPr>
        <w:t xml:space="preserve">Docelowo, Zarząd zakłada wykorzystanie nieruchomości do celów inwestycji deweloperskiej. Obecnie trwają prace związane z analizą projektu inwestycyjnego, który opiera się na założeniu przebudowy </w:t>
      </w:r>
      <w:r w:rsidR="008D2D3A" w:rsidRPr="00EC12B2">
        <w:rPr>
          <w:rFonts w:eastAsia="Calibri"/>
          <w:sz w:val="22"/>
          <w:szCs w:val="22"/>
        </w:rPr>
        <w:t>części</w:t>
      </w:r>
      <w:r w:rsidR="008D2D3A">
        <w:rPr>
          <w:rFonts w:eastAsia="Calibri"/>
          <w:sz w:val="22"/>
          <w:szCs w:val="22"/>
        </w:rPr>
        <w:t xml:space="preserve"> istniejącego</w:t>
      </w:r>
      <w:r w:rsidR="00B46AFD">
        <w:rPr>
          <w:rFonts w:eastAsia="Calibri"/>
          <w:sz w:val="22"/>
          <w:szCs w:val="22"/>
        </w:rPr>
        <w:t xml:space="preserve"> budynku na </w:t>
      </w:r>
      <w:proofErr w:type="spellStart"/>
      <w:r w:rsidR="00B46AFD">
        <w:rPr>
          <w:rFonts w:eastAsia="Calibri"/>
          <w:sz w:val="22"/>
          <w:szCs w:val="22"/>
        </w:rPr>
        <w:t>mikro</w:t>
      </w:r>
      <w:r w:rsidRPr="00EC12B2">
        <w:rPr>
          <w:rFonts w:eastAsia="Calibri"/>
          <w:sz w:val="22"/>
          <w:szCs w:val="22"/>
        </w:rPr>
        <w:t>apartamentowiec</w:t>
      </w:r>
      <w:proofErr w:type="spellEnd"/>
      <w:r w:rsidRPr="00EC12B2">
        <w:rPr>
          <w:rFonts w:eastAsia="Calibri"/>
          <w:sz w:val="22"/>
          <w:szCs w:val="22"/>
        </w:rPr>
        <w:t xml:space="preserve">. Koncepcja architektoniczna projektu zakłada adaptację części budynku na mikro apartamenty (ok. 200 lokali o powierzchni </w:t>
      </w:r>
      <w:r w:rsidR="00B46AFD">
        <w:rPr>
          <w:rFonts w:eastAsia="Calibri"/>
          <w:sz w:val="22"/>
          <w:szCs w:val="22"/>
        </w:rPr>
        <w:t xml:space="preserve">od </w:t>
      </w:r>
      <w:r w:rsidRPr="00EC12B2">
        <w:rPr>
          <w:rFonts w:eastAsia="Calibri"/>
          <w:sz w:val="22"/>
          <w:szCs w:val="22"/>
        </w:rPr>
        <w:t xml:space="preserve">16 m2) oraz przebudowę </w:t>
      </w:r>
      <w:r w:rsidRPr="00517411">
        <w:rPr>
          <w:rFonts w:eastAsia="Calibri"/>
          <w:sz w:val="22"/>
          <w:szCs w:val="22"/>
        </w:rPr>
        <w:t xml:space="preserve">istniejących powierzchni usługowych do wyższego standardu. </w:t>
      </w:r>
    </w:p>
    <w:p w:rsidR="0014424A" w:rsidRPr="00517411" w:rsidRDefault="0014424A" w:rsidP="008430A5">
      <w:pPr>
        <w:pStyle w:val="Bezodstpw"/>
        <w:ind w:left="0" w:right="-108" w:firstLine="0"/>
        <w:jc w:val="both"/>
        <w:rPr>
          <w:rFonts w:ascii="Times New Roman" w:hAnsi="Times New Roman" w:cs="Times New Roman"/>
          <w:lang w:val="pl-PL"/>
        </w:rPr>
      </w:pPr>
    </w:p>
    <w:p w:rsidR="00EC12B2" w:rsidRPr="00517411" w:rsidRDefault="00EC12B2" w:rsidP="00EC12B2">
      <w:pPr>
        <w:numPr>
          <w:ilvl w:val="0"/>
          <w:numId w:val="7"/>
        </w:numPr>
        <w:ind w:right="-108"/>
        <w:jc w:val="both"/>
        <w:rPr>
          <w:rFonts w:eastAsia="Calibri"/>
          <w:b/>
          <w:sz w:val="22"/>
          <w:szCs w:val="22"/>
        </w:rPr>
      </w:pPr>
      <w:r w:rsidRPr="00517411">
        <w:rPr>
          <w:rFonts w:eastAsia="Calibri"/>
          <w:b/>
          <w:sz w:val="22"/>
          <w:szCs w:val="22"/>
        </w:rPr>
        <w:t>Pozostałe aktywa (non-</w:t>
      </w:r>
      <w:proofErr w:type="spellStart"/>
      <w:r w:rsidRPr="00517411">
        <w:rPr>
          <w:rFonts w:eastAsia="Calibri"/>
          <w:b/>
          <w:sz w:val="22"/>
          <w:szCs w:val="22"/>
        </w:rPr>
        <w:t>core</w:t>
      </w:r>
      <w:proofErr w:type="spellEnd"/>
      <w:r w:rsidRPr="00517411">
        <w:rPr>
          <w:rFonts w:eastAsia="Calibri"/>
          <w:b/>
          <w:sz w:val="22"/>
          <w:szCs w:val="22"/>
        </w:rPr>
        <w:t>)</w:t>
      </w:r>
    </w:p>
    <w:p w:rsidR="00EC12B2" w:rsidRPr="00517411" w:rsidRDefault="00EC12B2" w:rsidP="00EC12B2">
      <w:pPr>
        <w:jc w:val="both"/>
        <w:rPr>
          <w:rFonts w:eastAsia="Calibri"/>
          <w:sz w:val="22"/>
          <w:szCs w:val="22"/>
        </w:rPr>
      </w:pPr>
    </w:p>
    <w:p w:rsidR="00EC12B2" w:rsidRPr="00517411" w:rsidRDefault="00EC12B2" w:rsidP="00EC12B2">
      <w:pPr>
        <w:numPr>
          <w:ilvl w:val="0"/>
          <w:numId w:val="6"/>
        </w:numPr>
        <w:ind w:left="357" w:right="-108" w:hanging="357"/>
        <w:jc w:val="both"/>
        <w:rPr>
          <w:rFonts w:eastAsia="Calibri"/>
          <w:sz w:val="22"/>
          <w:szCs w:val="22"/>
        </w:rPr>
      </w:pPr>
      <w:r w:rsidRPr="00517411">
        <w:rPr>
          <w:rFonts w:eastAsia="Calibri" w:cs="Calibri"/>
          <w:b/>
          <w:bCs/>
          <w:sz w:val="22"/>
          <w:szCs w:val="22"/>
        </w:rPr>
        <w:t>Recycling Park Sp. z o.o., Recycling Park Kamionka Sp. z o.o.</w:t>
      </w:r>
    </w:p>
    <w:p w:rsidR="00EC12B2" w:rsidRPr="00517411" w:rsidRDefault="00EC12B2" w:rsidP="00EC12B2">
      <w:pPr>
        <w:jc w:val="both"/>
        <w:rPr>
          <w:bCs/>
          <w:sz w:val="22"/>
          <w:szCs w:val="22"/>
        </w:rPr>
      </w:pPr>
    </w:p>
    <w:p w:rsidR="00EC12B2" w:rsidRPr="00517411" w:rsidRDefault="00EC12B2" w:rsidP="00EC12B2">
      <w:pPr>
        <w:jc w:val="both"/>
        <w:rPr>
          <w:bCs/>
          <w:sz w:val="22"/>
          <w:szCs w:val="22"/>
        </w:rPr>
      </w:pPr>
      <w:r w:rsidRPr="00517411">
        <w:rPr>
          <w:bCs/>
          <w:sz w:val="22"/>
          <w:szCs w:val="22"/>
        </w:rPr>
        <w:t xml:space="preserve">Spółki posiadają nieruchomości gruntowe o pow. 48,8 ha położone w miejscowości Kamionka, </w:t>
      </w:r>
      <w:r w:rsidR="002B694F">
        <w:rPr>
          <w:bCs/>
          <w:sz w:val="22"/>
          <w:szCs w:val="22"/>
        </w:rPr>
        <w:br/>
      </w:r>
      <w:r w:rsidRPr="00517411">
        <w:rPr>
          <w:bCs/>
          <w:sz w:val="22"/>
          <w:szCs w:val="22"/>
        </w:rPr>
        <w:t>na których planowana jest budowa instalacji odzysku energii. Recycling Park Sp. z o.o.  posiada status Regionalnej Instalacji Przetwarzania Odpadów Komunalnych (RIPOK).</w:t>
      </w:r>
    </w:p>
    <w:p w:rsidR="00EC12B2" w:rsidRPr="00517411" w:rsidRDefault="00EC12B2" w:rsidP="00EC12B2">
      <w:pPr>
        <w:jc w:val="both"/>
        <w:rPr>
          <w:bCs/>
          <w:sz w:val="22"/>
          <w:szCs w:val="22"/>
        </w:rPr>
      </w:pPr>
    </w:p>
    <w:p w:rsidR="00EC12B2" w:rsidRDefault="00EC12B2" w:rsidP="00EC12B2">
      <w:pPr>
        <w:jc w:val="both"/>
        <w:rPr>
          <w:bCs/>
          <w:sz w:val="22"/>
          <w:szCs w:val="22"/>
        </w:rPr>
      </w:pPr>
      <w:r w:rsidRPr="00517411">
        <w:rPr>
          <w:bCs/>
          <w:sz w:val="22"/>
          <w:szCs w:val="22"/>
        </w:rPr>
        <w:t xml:space="preserve">Prowadzone są rozmowy z podmiotami branżowymi w celu pozyskania potencjalnego inwestora </w:t>
      </w:r>
      <w:r w:rsidR="002B694F">
        <w:rPr>
          <w:bCs/>
          <w:sz w:val="22"/>
          <w:szCs w:val="22"/>
        </w:rPr>
        <w:br/>
      </w:r>
      <w:r w:rsidRPr="00517411">
        <w:rPr>
          <w:bCs/>
          <w:sz w:val="22"/>
          <w:szCs w:val="22"/>
        </w:rPr>
        <w:t xml:space="preserve">dla Zakładu Odzysku Energii. Udziały Recycling Park Sp. z o.o. stanowią aktywa niekluczowe, przeznaczone w perspektywie średnioterminowej do sprzedaży. </w:t>
      </w:r>
    </w:p>
    <w:p w:rsidR="003D6E70" w:rsidRDefault="003D6E70" w:rsidP="00EC12B2">
      <w:pPr>
        <w:jc w:val="both"/>
        <w:rPr>
          <w:bCs/>
          <w:sz w:val="22"/>
          <w:szCs w:val="22"/>
        </w:rPr>
      </w:pPr>
    </w:p>
    <w:p w:rsidR="003D6E70" w:rsidRDefault="003D6E70" w:rsidP="00EC12B2">
      <w:pPr>
        <w:jc w:val="both"/>
        <w:rPr>
          <w:bCs/>
          <w:sz w:val="22"/>
          <w:szCs w:val="22"/>
        </w:rPr>
      </w:pPr>
    </w:p>
    <w:p w:rsidR="003D6E70" w:rsidRPr="00517411" w:rsidRDefault="003D6E70" w:rsidP="00EC12B2">
      <w:pPr>
        <w:jc w:val="both"/>
      </w:pPr>
    </w:p>
    <w:p w:rsidR="00EC12B2" w:rsidRPr="00517411" w:rsidRDefault="00EC12B2" w:rsidP="00EC12B2">
      <w:pPr>
        <w:autoSpaceDE w:val="0"/>
        <w:autoSpaceDN w:val="0"/>
        <w:adjustRightInd w:val="0"/>
        <w:jc w:val="both"/>
        <w:rPr>
          <w:rFonts w:eastAsia="Calibri" w:cs="Calibri"/>
          <w:sz w:val="22"/>
          <w:szCs w:val="22"/>
        </w:rPr>
      </w:pPr>
    </w:p>
    <w:p w:rsidR="00EC12B2" w:rsidRPr="00517411" w:rsidRDefault="00EC12B2" w:rsidP="00EC12B2">
      <w:pPr>
        <w:numPr>
          <w:ilvl w:val="0"/>
          <w:numId w:val="28"/>
        </w:numPr>
        <w:autoSpaceDE w:val="0"/>
        <w:autoSpaceDN w:val="0"/>
        <w:adjustRightInd w:val="0"/>
        <w:jc w:val="both"/>
        <w:rPr>
          <w:rFonts w:eastAsia="Calibri" w:cs="Calibri"/>
          <w:b/>
          <w:sz w:val="22"/>
          <w:szCs w:val="22"/>
        </w:rPr>
      </w:pPr>
      <w:r w:rsidRPr="00517411">
        <w:rPr>
          <w:rFonts w:eastAsia="Calibri" w:cs="Calibri"/>
          <w:b/>
          <w:sz w:val="22"/>
          <w:szCs w:val="22"/>
        </w:rPr>
        <w:lastRenderedPageBreak/>
        <w:t>Certyfikaty Progress FIZAN</w:t>
      </w:r>
    </w:p>
    <w:p w:rsidR="00EC12B2" w:rsidRPr="00517411" w:rsidRDefault="00EC12B2" w:rsidP="00EC12B2">
      <w:pPr>
        <w:autoSpaceDE w:val="0"/>
        <w:autoSpaceDN w:val="0"/>
        <w:adjustRightInd w:val="0"/>
        <w:ind w:left="360"/>
        <w:jc w:val="both"/>
        <w:rPr>
          <w:rFonts w:eastAsia="Calibri" w:cs="Calibri"/>
          <w:sz w:val="22"/>
          <w:szCs w:val="22"/>
        </w:rPr>
      </w:pPr>
    </w:p>
    <w:p w:rsidR="00EC12B2" w:rsidRPr="00517411" w:rsidRDefault="00EC12B2" w:rsidP="00EC12B2">
      <w:pPr>
        <w:autoSpaceDE w:val="0"/>
        <w:autoSpaceDN w:val="0"/>
        <w:adjustRightInd w:val="0"/>
        <w:jc w:val="both"/>
        <w:rPr>
          <w:rFonts w:eastAsia="Calibri" w:cs="Calibri"/>
          <w:sz w:val="22"/>
          <w:szCs w:val="22"/>
        </w:rPr>
      </w:pPr>
      <w:r w:rsidRPr="00517411">
        <w:rPr>
          <w:rFonts w:eastAsia="Calibri" w:cs="Calibri"/>
          <w:sz w:val="22"/>
          <w:szCs w:val="22"/>
        </w:rPr>
        <w:t>Soho Development S.A. posiada 100% Certyfikatów Inwestycyjnych Progress FIZAN („Fundusz”). Na dzień publikacji (wg posiadanych przez Emitenta informacji) w portfelu Funduszu znajdowały się również:</w:t>
      </w:r>
    </w:p>
    <w:p w:rsidR="00EC12B2" w:rsidRPr="00517411" w:rsidRDefault="00EC12B2" w:rsidP="00EC12B2">
      <w:pPr>
        <w:autoSpaceDE w:val="0"/>
        <w:autoSpaceDN w:val="0"/>
        <w:adjustRightInd w:val="0"/>
        <w:jc w:val="both"/>
        <w:rPr>
          <w:rFonts w:eastAsia="Calibri" w:cs="Calibri"/>
          <w:sz w:val="22"/>
          <w:szCs w:val="22"/>
        </w:rPr>
      </w:pPr>
      <w:r w:rsidRPr="00517411">
        <w:rPr>
          <w:rFonts w:eastAsia="Calibri" w:cs="Calibri"/>
          <w:sz w:val="22"/>
          <w:szCs w:val="22"/>
        </w:rPr>
        <w:t>a) 11.900.000 akcji spółki Soho Development S.A.,</w:t>
      </w:r>
    </w:p>
    <w:p w:rsidR="00EC12B2" w:rsidRPr="00517411" w:rsidRDefault="00EC12B2" w:rsidP="00EC12B2">
      <w:pPr>
        <w:autoSpaceDE w:val="0"/>
        <w:autoSpaceDN w:val="0"/>
        <w:adjustRightInd w:val="0"/>
        <w:jc w:val="both"/>
        <w:rPr>
          <w:rFonts w:eastAsia="Calibri" w:cs="Calibri"/>
          <w:sz w:val="22"/>
          <w:szCs w:val="22"/>
        </w:rPr>
      </w:pPr>
      <w:r w:rsidRPr="00517411">
        <w:rPr>
          <w:rFonts w:eastAsia="Calibri" w:cs="Calibri"/>
          <w:sz w:val="22"/>
          <w:szCs w:val="22"/>
        </w:rPr>
        <w:t>b) 15.268.375 akcji spółki Próchnik S.A. (bezpośrednio i pośrednio), stanowiących 32,47% udziału w kapitale zakładowym spółki.</w:t>
      </w:r>
    </w:p>
    <w:p w:rsidR="00EC12B2" w:rsidRPr="00517411" w:rsidRDefault="00EC12B2" w:rsidP="00EC12B2">
      <w:pPr>
        <w:autoSpaceDE w:val="0"/>
        <w:autoSpaceDN w:val="0"/>
        <w:adjustRightInd w:val="0"/>
        <w:jc w:val="both"/>
        <w:rPr>
          <w:rFonts w:eastAsia="Calibri" w:cs="Calibri"/>
          <w:sz w:val="22"/>
          <w:szCs w:val="22"/>
        </w:rPr>
      </w:pPr>
    </w:p>
    <w:p w:rsidR="00EC12B2" w:rsidRPr="00517411" w:rsidRDefault="00EC12B2" w:rsidP="00EC12B2">
      <w:pPr>
        <w:autoSpaceDE w:val="0"/>
        <w:autoSpaceDN w:val="0"/>
        <w:adjustRightInd w:val="0"/>
        <w:jc w:val="both"/>
        <w:rPr>
          <w:rFonts w:eastAsia="Calibri" w:cs="Calibri"/>
          <w:sz w:val="22"/>
          <w:szCs w:val="22"/>
        </w:rPr>
      </w:pPr>
      <w:r w:rsidRPr="00517411">
        <w:rPr>
          <w:rFonts w:eastAsia="Calibri" w:cs="Calibri"/>
          <w:sz w:val="22"/>
          <w:szCs w:val="22"/>
        </w:rPr>
        <w:t xml:space="preserve">Powyższe aktywa stanowiły przedmiot zarządzania </w:t>
      </w:r>
      <w:proofErr w:type="spellStart"/>
      <w:r w:rsidRPr="00517411">
        <w:rPr>
          <w:rFonts w:eastAsia="Calibri" w:cs="Calibri"/>
          <w:sz w:val="22"/>
          <w:szCs w:val="22"/>
        </w:rPr>
        <w:t>Altus</w:t>
      </w:r>
      <w:proofErr w:type="spellEnd"/>
      <w:r w:rsidRPr="00517411">
        <w:rPr>
          <w:rFonts w:eastAsia="Calibri" w:cs="Calibri"/>
          <w:sz w:val="22"/>
          <w:szCs w:val="22"/>
        </w:rPr>
        <w:t xml:space="preserve"> TFI i zostały wyłączone z procesu konsolidacji Grupy Soho Development S.A. </w:t>
      </w:r>
    </w:p>
    <w:p w:rsidR="00EC12B2" w:rsidRPr="00517411" w:rsidRDefault="00EC12B2" w:rsidP="00EC12B2">
      <w:pPr>
        <w:autoSpaceDE w:val="0"/>
        <w:autoSpaceDN w:val="0"/>
        <w:adjustRightInd w:val="0"/>
        <w:jc w:val="both"/>
        <w:rPr>
          <w:rFonts w:eastAsia="Calibri" w:cs="Calibri"/>
          <w:sz w:val="22"/>
          <w:szCs w:val="22"/>
        </w:rPr>
      </w:pPr>
    </w:p>
    <w:p w:rsidR="00EC12B2" w:rsidRPr="00517411" w:rsidRDefault="00EC12B2" w:rsidP="00EC12B2">
      <w:pPr>
        <w:autoSpaceDE w:val="0"/>
        <w:autoSpaceDN w:val="0"/>
        <w:adjustRightInd w:val="0"/>
        <w:jc w:val="both"/>
      </w:pPr>
      <w:r w:rsidRPr="00517411">
        <w:rPr>
          <w:rFonts w:eastAsia="Calibri" w:cs="Calibri"/>
          <w:sz w:val="22"/>
          <w:szCs w:val="22"/>
        </w:rPr>
        <w:t>Spółka Próchnik S.A. posiada dwie marki – „Próchnik” oraz „</w:t>
      </w:r>
      <w:proofErr w:type="spellStart"/>
      <w:r w:rsidRPr="00517411">
        <w:rPr>
          <w:rFonts w:eastAsia="Calibri" w:cs="Calibri"/>
          <w:sz w:val="22"/>
          <w:szCs w:val="22"/>
        </w:rPr>
        <w:t>Rage</w:t>
      </w:r>
      <w:proofErr w:type="spellEnd"/>
      <w:r w:rsidRPr="00517411">
        <w:rPr>
          <w:rFonts w:eastAsia="Calibri" w:cs="Calibri"/>
          <w:sz w:val="22"/>
          <w:szCs w:val="22"/>
        </w:rPr>
        <w:t xml:space="preserve"> Age” o ugruntowanej pozycji </w:t>
      </w:r>
      <w:r w:rsidR="002B694F">
        <w:rPr>
          <w:rFonts w:eastAsia="Calibri" w:cs="Calibri"/>
          <w:sz w:val="22"/>
          <w:szCs w:val="22"/>
        </w:rPr>
        <w:br/>
      </w:r>
      <w:r w:rsidRPr="00517411">
        <w:rPr>
          <w:rFonts w:eastAsia="Calibri" w:cs="Calibri"/>
          <w:sz w:val="22"/>
          <w:szCs w:val="22"/>
        </w:rPr>
        <w:t xml:space="preserve">na polskim rynku odzieżowym. W ramach spółki przeprowadzono restrukturyzację na poziomie operacyjnym (zmiana struktury dostawców, przebudowa oferty produktowej, logistyki). </w:t>
      </w:r>
      <w:r w:rsidR="002B694F">
        <w:rPr>
          <w:rFonts w:eastAsia="Calibri" w:cs="Calibri"/>
          <w:sz w:val="22"/>
          <w:szCs w:val="22"/>
        </w:rPr>
        <w:br/>
      </w:r>
      <w:r w:rsidRPr="00517411">
        <w:rPr>
          <w:rFonts w:eastAsia="Calibri" w:cs="Calibri"/>
          <w:sz w:val="22"/>
          <w:szCs w:val="22"/>
        </w:rPr>
        <w:t>W IV kwartale 2015 r. uplasowano emisję akcji serii L i M spółki Próchnik S.A. o wartości nominalnej 12,5 mln zł oraz dokonano przydziału obligacji o wartości nominalnej 12 mln zł. Termin wykupu obligacji przypada na grudzień 2017 r., środki z obligacji zostały przeznaczone na optymalizację struktury finansowania poprzez spłatę wyemitowanych obligacji serii A i B.</w:t>
      </w:r>
    </w:p>
    <w:p w:rsidR="00EC12B2" w:rsidRPr="00517411" w:rsidRDefault="00EC12B2" w:rsidP="00EC12B2">
      <w:pPr>
        <w:pStyle w:val="Bezodstpw"/>
        <w:ind w:left="0" w:right="0" w:firstLine="0"/>
        <w:jc w:val="both"/>
        <w:rPr>
          <w:rFonts w:ascii="Times New Roman" w:hAnsi="Times New Roman" w:cs="Times New Roman"/>
          <w:b/>
          <w:lang w:val="pl-PL"/>
        </w:rPr>
      </w:pPr>
    </w:p>
    <w:p w:rsidR="00EC12B2" w:rsidRPr="004C5BEB" w:rsidRDefault="00EC12B2" w:rsidP="00EC12B2">
      <w:pPr>
        <w:pStyle w:val="Bezodstpw"/>
        <w:ind w:left="0" w:right="0" w:firstLine="0"/>
        <w:jc w:val="both"/>
        <w:rPr>
          <w:rFonts w:ascii="Times New Roman" w:eastAsia="Calibri" w:hAnsi="Times New Roman"/>
          <w:lang w:val="pl-PL"/>
        </w:rPr>
      </w:pPr>
      <w:r w:rsidRPr="004C5BEB">
        <w:rPr>
          <w:rFonts w:ascii="Times New Roman" w:eastAsia="Calibri" w:hAnsi="Times New Roman"/>
          <w:lang w:val="pl-PL"/>
        </w:rPr>
        <w:t>Wyniki spółki Próchnik S.A. publikowane w ostatnim okresie wskazują na pozytywne efekty prowadzonej optymalizacji sieci sprzedaży.</w:t>
      </w:r>
    </w:p>
    <w:p w:rsidR="008430A5" w:rsidRPr="000D3C5F" w:rsidRDefault="008430A5" w:rsidP="008430A5">
      <w:pPr>
        <w:pStyle w:val="Default"/>
        <w:jc w:val="both"/>
        <w:rPr>
          <w:rFonts w:eastAsia="Calibri" w:cs="Calibri"/>
          <w:color w:val="auto"/>
          <w:sz w:val="22"/>
          <w:szCs w:val="22"/>
        </w:rPr>
      </w:pPr>
      <w:r>
        <w:rPr>
          <w:rFonts w:eastAsia="Calibri" w:cs="Calibri"/>
          <w:color w:val="auto"/>
          <w:sz w:val="22"/>
          <w:szCs w:val="22"/>
        </w:rPr>
        <w:t xml:space="preserve"> </w:t>
      </w:r>
    </w:p>
    <w:p w:rsidR="00950E43" w:rsidRDefault="007C270C" w:rsidP="008430A5">
      <w:pPr>
        <w:pStyle w:val="Default"/>
        <w:jc w:val="both"/>
        <w:rPr>
          <w:rFonts w:eastAsia="Calibri"/>
          <w:b/>
          <w:i/>
          <w:color w:val="auto"/>
          <w:sz w:val="22"/>
          <w:szCs w:val="22"/>
        </w:rPr>
      </w:pPr>
      <w:r w:rsidRPr="00594BF3">
        <w:rPr>
          <w:rFonts w:eastAsia="Calibri"/>
          <w:b/>
          <w:i/>
          <w:color w:val="auto"/>
          <w:sz w:val="22"/>
          <w:szCs w:val="22"/>
        </w:rPr>
        <w:t>Zmiany w organizacji Grupy K</w:t>
      </w:r>
      <w:r w:rsidR="00980498" w:rsidRPr="00594BF3">
        <w:rPr>
          <w:rFonts w:eastAsia="Calibri"/>
          <w:b/>
          <w:i/>
          <w:color w:val="auto"/>
          <w:sz w:val="22"/>
          <w:szCs w:val="22"/>
        </w:rPr>
        <w:t xml:space="preserve">apitałowej </w:t>
      </w:r>
      <w:r w:rsidR="003421A8" w:rsidRPr="00594BF3">
        <w:rPr>
          <w:rFonts w:eastAsia="Calibri"/>
          <w:b/>
          <w:i/>
          <w:color w:val="auto"/>
          <w:sz w:val="22"/>
          <w:szCs w:val="22"/>
        </w:rPr>
        <w:t>Soho Development</w:t>
      </w:r>
      <w:r w:rsidR="00980498" w:rsidRPr="00594BF3">
        <w:rPr>
          <w:rFonts w:eastAsia="Calibri"/>
          <w:b/>
          <w:i/>
          <w:color w:val="auto"/>
          <w:sz w:val="22"/>
          <w:szCs w:val="22"/>
        </w:rPr>
        <w:t xml:space="preserve"> S.A.</w:t>
      </w:r>
    </w:p>
    <w:p w:rsidR="00733443" w:rsidRDefault="00733443" w:rsidP="00517411">
      <w:pPr>
        <w:autoSpaceDE w:val="0"/>
        <w:autoSpaceDN w:val="0"/>
        <w:adjustRightInd w:val="0"/>
        <w:jc w:val="both"/>
      </w:pPr>
    </w:p>
    <w:p w:rsidR="006356C6" w:rsidRPr="00B46AFD" w:rsidRDefault="006356C6" w:rsidP="006356C6">
      <w:pPr>
        <w:autoSpaceDE w:val="0"/>
        <w:autoSpaceDN w:val="0"/>
        <w:adjustRightInd w:val="0"/>
        <w:jc w:val="both"/>
        <w:rPr>
          <w:sz w:val="22"/>
          <w:szCs w:val="22"/>
        </w:rPr>
      </w:pPr>
      <w:r w:rsidRPr="00B46AFD">
        <w:rPr>
          <w:sz w:val="22"/>
          <w:szCs w:val="22"/>
        </w:rPr>
        <w:t xml:space="preserve">Nowe spółki celowe - w związku z realizacją kolejnych etapów inwestycji Soho Faktory i Cracovia </w:t>
      </w:r>
      <w:proofErr w:type="spellStart"/>
      <w:r w:rsidRPr="00B46AFD">
        <w:rPr>
          <w:sz w:val="22"/>
          <w:szCs w:val="22"/>
        </w:rPr>
        <w:t>Property</w:t>
      </w:r>
      <w:proofErr w:type="spellEnd"/>
      <w:r w:rsidRPr="00B46AFD">
        <w:rPr>
          <w:sz w:val="22"/>
          <w:szCs w:val="22"/>
        </w:rPr>
        <w:t xml:space="preserve"> – powołan</w:t>
      </w:r>
      <w:r w:rsidR="00056995">
        <w:rPr>
          <w:sz w:val="22"/>
          <w:szCs w:val="22"/>
        </w:rPr>
        <w:t>o nowe spółki celowe- Soho Feniks</w:t>
      </w:r>
      <w:r w:rsidRPr="00B46AFD">
        <w:rPr>
          <w:sz w:val="22"/>
          <w:szCs w:val="22"/>
        </w:rPr>
        <w:t xml:space="preserve"> Sp. z o.o. SK oraz Dobra Forma 1 </w:t>
      </w:r>
      <w:r w:rsidR="002B694F">
        <w:rPr>
          <w:sz w:val="22"/>
          <w:szCs w:val="22"/>
        </w:rPr>
        <w:br/>
      </w:r>
      <w:r w:rsidRPr="00B46AFD">
        <w:rPr>
          <w:sz w:val="22"/>
          <w:szCs w:val="22"/>
        </w:rPr>
        <w:t>Sp. z o.o. 2 SK.</w:t>
      </w:r>
    </w:p>
    <w:p w:rsidR="006356C6" w:rsidRPr="00B46AFD" w:rsidRDefault="006356C6" w:rsidP="006356C6">
      <w:pPr>
        <w:autoSpaceDE w:val="0"/>
        <w:autoSpaceDN w:val="0"/>
        <w:adjustRightInd w:val="0"/>
        <w:jc w:val="both"/>
        <w:rPr>
          <w:sz w:val="22"/>
          <w:szCs w:val="22"/>
        </w:rPr>
      </w:pPr>
    </w:p>
    <w:p w:rsidR="006356C6" w:rsidRPr="00B46AFD" w:rsidRDefault="006356C6" w:rsidP="006356C6">
      <w:pPr>
        <w:autoSpaceDE w:val="0"/>
        <w:autoSpaceDN w:val="0"/>
        <w:adjustRightInd w:val="0"/>
        <w:jc w:val="both"/>
        <w:rPr>
          <w:sz w:val="22"/>
          <w:szCs w:val="22"/>
        </w:rPr>
      </w:pPr>
      <w:r w:rsidRPr="00B46AFD">
        <w:rPr>
          <w:sz w:val="22"/>
          <w:szCs w:val="22"/>
        </w:rPr>
        <w:t xml:space="preserve">Połącznie z PZOI - w dniu 10 marca 2016 r. Walne Zgromadzenie spółki PZO Investment </w:t>
      </w:r>
      <w:r w:rsidRPr="00B46AFD">
        <w:rPr>
          <w:sz w:val="22"/>
          <w:szCs w:val="22"/>
        </w:rPr>
        <w:br/>
        <w:t xml:space="preserve">Sp. z o.o. podjęło uchwałę w sprawie uchylenia likwidacji Spółki, a następnie w dniu </w:t>
      </w:r>
      <w:r w:rsidRPr="00B46AFD">
        <w:rPr>
          <w:sz w:val="22"/>
          <w:szCs w:val="22"/>
        </w:rPr>
        <w:br/>
        <w:t>28 kwietnia 2016 r uchwałę o połączeniu spółki z podmiotem Soho Development S.A.</w:t>
      </w:r>
    </w:p>
    <w:p w:rsidR="006356C6" w:rsidRPr="00B46AFD" w:rsidRDefault="006356C6" w:rsidP="00517411">
      <w:pPr>
        <w:autoSpaceDE w:val="0"/>
        <w:autoSpaceDN w:val="0"/>
        <w:adjustRightInd w:val="0"/>
        <w:jc w:val="both"/>
        <w:rPr>
          <w:sz w:val="22"/>
          <w:szCs w:val="22"/>
        </w:rPr>
      </w:pPr>
    </w:p>
    <w:p w:rsidR="0031395D" w:rsidRPr="00FE352D" w:rsidRDefault="0031395D" w:rsidP="004F35C2">
      <w:pPr>
        <w:pStyle w:val="Nagwek2"/>
        <w:numPr>
          <w:ilvl w:val="0"/>
          <w:numId w:val="5"/>
        </w:numPr>
        <w:jc w:val="both"/>
        <w:rPr>
          <w:rFonts w:cs="Times New Roman"/>
          <w:i/>
        </w:rPr>
      </w:pPr>
      <w:bookmarkStart w:id="8" w:name="_Toc452388433"/>
      <w:r w:rsidRPr="00FE352D">
        <w:rPr>
          <w:rFonts w:cs="Times New Roman"/>
        </w:rPr>
        <w:t>Ważniejsze zdarzenia mające znaczący wpływ na działalność oraz wyniki finansowe Grupy Kapitałowej i Emitenta w roku obrotowym lub w okresie do przekazania raportu finansowego</w:t>
      </w:r>
      <w:r w:rsidR="00523A64">
        <w:rPr>
          <w:rFonts w:cs="Times New Roman"/>
        </w:rPr>
        <w:t xml:space="preserve"> oraz pod dacie bilansu</w:t>
      </w:r>
      <w:bookmarkEnd w:id="8"/>
    </w:p>
    <w:p w:rsidR="00DA3BBF" w:rsidRDefault="00DA3BBF" w:rsidP="008A248D">
      <w:pPr>
        <w:spacing w:before="120"/>
        <w:ind w:right="-108"/>
        <w:jc w:val="both"/>
      </w:pPr>
    </w:p>
    <w:p w:rsidR="00517411" w:rsidRPr="006D05D7" w:rsidRDefault="00517411" w:rsidP="00517411">
      <w:pPr>
        <w:rPr>
          <w:b/>
          <w:sz w:val="20"/>
          <w:szCs w:val="22"/>
        </w:rPr>
      </w:pPr>
      <w:r w:rsidRPr="006D05D7">
        <w:rPr>
          <w:b/>
          <w:sz w:val="22"/>
          <w:u w:val="single"/>
        </w:rPr>
        <w:t>1) Segment deweloperski i nieruchomości</w:t>
      </w:r>
    </w:p>
    <w:p w:rsidR="00517411" w:rsidRDefault="00517411" w:rsidP="00517411">
      <w:pPr>
        <w:rPr>
          <w:sz w:val="22"/>
          <w:szCs w:val="22"/>
        </w:rPr>
      </w:pPr>
    </w:p>
    <w:p w:rsidR="00517411" w:rsidRPr="006D05D7" w:rsidRDefault="00517411" w:rsidP="00517411">
      <w:pPr>
        <w:jc w:val="both"/>
        <w:rPr>
          <w:b/>
          <w:i/>
          <w:sz w:val="22"/>
          <w:szCs w:val="22"/>
        </w:rPr>
      </w:pPr>
      <w:r w:rsidRPr="006D05D7">
        <w:rPr>
          <w:b/>
          <w:i/>
          <w:sz w:val="22"/>
          <w:szCs w:val="22"/>
        </w:rPr>
        <w:t xml:space="preserve">Wniesienie aportu do spółki celowej </w:t>
      </w:r>
    </w:p>
    <w:p w:rsidR="00517411" w:rsidRDefault="00517411" w:rsidP="00517411">
      <w:pPr>
        <w:jc w:val="both"/>
      </w:pPr>
    </w:p>
    <w:p w:rsidR="00517411" w:rsidRPr="006D05D7" w:rsidRDefault="00517411" w:rsidP="00517411">
      <w:pPr>
        <w:jc w:val="both"/>
        <w:rPr>
          <w:sz w:val="22"/>
          <w:szCs w:val="22"/>
        </w:rPr>
      </w:pPr>
      <w:r w:rsidRPr="006D05D7">
        <w:rPr>
          <w:sz w:val="22"/>
          <w:szCs w:val="22"/>
        </w:rPr>
        <w:t xml:space="preserve">W dniu 1 października 2015 r. Emitent nabył działki o nr 576/68 oraz 576/70 o łącznej powierzchni 0,5035 ha zlokalizowane w Krakowie od spółki Cracovia </w:t>
      </w:r>
      <w:proofErr w:type="spellStart"/>
      <w:r w:rsidRPr="006D05D7">
        <w:rPr>
          <w:sz w:val="22"/>
          <w:szCs w:val="22"/>
        </w:rPr>
        <w:t>Property</w:t>
      </w:r>
      <w:proofErr w:type="spellEnd"/>
      <w:r w:rsidRPr="006D05D7">
        <w:rPr>
          <w:sz w:val="22"/>
          <w:szCs w:val="22"/>
        </w:rPr>
        <w:t xml:space="preserve"> Sp. z o.o. Powyższe nieruchomości zostały wniesione aportem do spółki Dobra Forma </w:t>
      </w:r>
      <w:r w:rsidR="00DF60B2">
        <w:rPr>
          <w:sz w:val="22"/>
          <w:szCs w:val="22"/>
        </w:rPr>
        <w:t>1</w:t>
      </w:r>
      <w:r w:rsidR="00DF60B2" w:rsidRPr="00DF60B2">
        <w:rPr>
          <w:sz w:val="22"/>
          <w:szCs w:val="22"/>
        </w:rPr>
        <w:t xml:space="preserve"> </w:t>
      </w:r>
      <w:r w:rsidR="00DF60B2" w:rsidRPr="00517411">
        <w:rPr>
          <w:sz w:val="22"/>
          <w:szCs w:val="22"/>
        </w:rPr>
        <w:t>Sp. z o.o.</w:t>
      </w:r>
      <w:r w:rsidR="00DF60B2" w:rsidRPr="006D05D7">
        <w:rPr>
          <w:sz w:val="22"/>
          <w:szCs w:val="22"/>
        </w:rPr>
        <w:t xml:space="preserve"> </w:t>
      </w:r>
      <w:r w:rsidRPr="006D05D7">
        <w:rPr>
          <w:sz w:val="22"/>
          <w:szCs w:val="22"/>
        </w:rPr>
        <w:t>SK, spółki celowej realizującej I etap inwestycji w Krakowie.</w:t>
      </w:r>
    </w:p>
    <w:p w:rsidR="00517411" w:rsidRDefault="00517411" w:rsidP="00517411">
      <w:pPr>
        <w:jc w:val="both"/>
        <w:rPr>
          <w:b/>
          <w:i/>
          <w:sz w:val="22"/>
          <w:szCs w:val="22"/>
        </w:rPr>
      </w:pPr>
    </w:p>
    <w:p w:rsidR="00517411" w:rsidRPr="006D05D7" w:rsidRDefault="00517411" w:rsidP="00517411">
      <w:pPr>
        <w:jc w:val="both"/>
        <w:rPr>
          <w:b/>
          <w:i/>
          <w:sz w:val="22"/>
          <w:szCs w:val="22"/>
        </w:rPr>
      </w:pPr>
      <w:r w:rsidRPr="006D05D7">
        <w:rPr>
          <w:b/>
          <w:i/>
          <w:sz w:val="22"/>
          <w:szCs w:val="22"/>
        </w:rPr>
        <w:t>Uzyskanie pozwolenia na budowę pierwszego etapu osiedla Dobra Forma w Krakowie</w:t>
      </w:r>
    </w:p>
    <w:p w:rsidR="00517411" w:rsidRPr="006D05D7" w:rsidRDefault="00517411" w:rsidP="00517411">
      <w:pPr>
        <w:jc w:val="both"/>
        <w:rPr>
          <w:sz w:val="22"/>
          <w:szCs w:val="22"/>
        </w:rPr>
      </w:pPr>
    </w:p>
    <w:p w:rsidR="00517411" w:rsidRPr="006D05D7" w:rsidRDefault="00517411" w:rsidP="00517411">
      <w:pPr>
        <w:jc w:val="both"/>
        <w:rPr>
          <w:sz w:val="22"/>
          <w:szCs w:val="22"/>
        </w:rPr>
      </w:pPr>
      <w:r w:rsidRPr="006D05D7">
        <w:rPr>
          <w:sz w:val="22"/>
          <w:szCs w:val="22"/>
        </w:rPr>
        <w:t xml:space="preserve">W dniu 10 listopada 2015 r. spółka zależna Cracovia </w:t>
      </w:r>
      <w:proofErr w:type="spellStart"/>
      <w:r w:rsidRPr="006D05D7">
        <w:rPr>
          <w:sz w:val="22"/>
          <w:szCs w:val="22"/>
        </w:rPr>
        <w:t>Property</w:t>
      </w:r>
      <w:proofErr w:type="spellEnd"/>
      <w:r w:rsidRPr="006D05D7">
        <w:rPr>
          <w:sz w:val="22"/>
          <w:szCs w:val="22"/>
        </w:rPr>
        <w:t xml:space="preserve"> </w:t>
      </w:r>
      <w:r w:rsidR="00DF60B2">
        <w:rPr>
          <w:sz w:val="22"/>
          <w:szCs w:val="22"/>
        </w:rPr>
        <w:t>S</w:t>
      </w:r>
      <w:r w:rsidR="00DF60B2" w:rsidRPr="006D05D7">
        <w:rPr>
          <w:sz w:val="22"/>
          <w:szCs w:val="22"/>
        </w:rPr>
        <w:t>p</w:t>
      </w:r>
      <w:r w:rsidRPr="006D05D7">
        <w:rPr>
          <w:sz w:val="22"/>
          <w:szCs w:val="22"/>
        </w:rPr>
        <w:t xml:space="preserve">. z o.o. uzyskała prawomocne pozwolenie na budowę budynku mieszkalnego wielorodzinnego z garażem podziemnym, na działce ewidencyjnej nr 576/68 i 576/70 </w:t>
      </w:r>
      <w:proofErr w:type="spellStart"/>
      <w:r w:rsidRPr="006D05D7">
        <w:rPr>
          <w:sz w:val="22"/>
          <w:szCs w:val="22"/>
        </w:rPr>
        <w:t>obr</w:t>
      </w:r>
      <w:proofErr w:type="spellEnd"/>
      <w:r w:rsidRPr="006D05D7">
        <w:rPr>
          <w:sz w:val="22"/>
          <w:szCs w:val="22"/>
        </w:rPr>
        <w:t xml:space="preserve">. 61 jedn. </w:t>
      </w:r>
      <w:proofErr w:type="spellStart"/>
      <w:r w:rsidRPr="006D05D7">
        <w:rPr>
          <w:sz w:val="22"/>
          <w:szCs w:val="22"/>
        </w:rPr>
        <w:t>ewid</w:t>
      </w:r>
      <w:proofErr w:type="spellEnd"/>
      <w:r w:rsidRPr="006D05D7">
        <w:rPr>
          <w:sz w:val="22"/>
          <w:szCs w:val="22"/>
        </w:rPr>
        <w:t>. Kraków Pogórze.</w:t>
      </w:r>
    </w:p>
    <w:p w:rsidR="00517411" w:rsidRPr="006D05D7" w:rsidRDefault="00517411" w:rsidP="00517411">
      <w:pPr>
        <w:jc w:val="both"/>
        <w:rPr>
          <w:sz w:val="22"/>
          <w:szCs w:val="22"/>
        </w:rPr>
      </w:pPr>
    </w:p>
    <w:p w:rsidR="00517411" w:rsidRDefault="00517411" w:rsidP="00517411">
      <w:pPr>
        <w:jc w:val="both"/>
        <w:rPr>
          <w:sz w:val="22"/>
          <w:szCs w:val="22"/>
        </w:rPr>
      </w:pPr>
      <w:r w:rsidRPr="006D05D7">
        <w:rPr>
          <w:sz w:val="22"/>
          <w:szCs w:val="22"/>
        </w:rPr>
        <w:t>Budynek składać się będzie z dwóch części naziemnych dwunastokondygnacyjnych. W części A planowane jest 117 mieszkań, a w części B planowane jest 125 – łącznie 242 mieszkania, o łącznej powierzchni użytkowej 10.</w:t>
      </w:r>
      <w:r>
        <w:rPr>
          <w:sz w:val="22"/>
          <w:szCs w:val="22"/>
        </w:rPr>
        <w:t>489</w:t>
      </w:r>
      <w:r w:rsidRPr="006D05D7">
        <w:rPr>
          <w:sz w:val="22"/>
          <w:szCs w:val="22"/>
        </w:rPr>
        <w:t xml:space="preserve"> m2. Pozwolenie na budowę dotyczy pierwszego etapu inwestycji osiedla Dobra Forma, powstającego w Krakowie przy ul. Bochenka. </w:t>
      </w:r>
    </w:p>
    <w:p w:rsidR="00517411" w:rsidRDefault="00517411" w:rsidP="00517411">
      <w:pPr>
        <w:jc w:val="both"/>
        <w:rPr>
          <w:sz w:val="22"/>
          <w:szCs w:val="22"/>
        </w:rPr>
      </w:pPr>
    </w:p>
    <w:p w:rsidR="00517411" w:rsidRPr="006D05D7" w:rsidRDefault="00517411" w:rsidP="00517411">
      <w:pPr>
        <w:jc w:val="both"/>
        <w:rPr>
          <w:b/>
          <w:i/>
          <w:sz w:val="22"/>
          <w:szCs w:val="22"/>
        </w:rPr>
      </w:pPr>
      <w:r w:rsidRPr="006D05D7">
        <w:rPr>
          <w:b/>
          <w:i/>
          <w:sz w:val="22"/>
          <w:szCs w:val="22"/>
        </w:rPr>
        <w:t xml:space="preserve">Zawarcie umowy kredytu inwestycyjnego na budowę osiedla „Dobra Forma” w Krakowie </w:t>
      </w:r>
    </w:p>
    <w:p w:rsidR="00517411" w:rsidRDefault="00517411" w:rsidP="00517411">
      <w:pPr>
        <w:jc w:val="both"/>
      </w:pPr>
    </w:p>
    <w:p w:rsidR="00517411" w:rsidRDefault="00517411" w:rsidP="00517411">
      <w:pPr>
        <w:jc w:val="both"/>
        <w:rPr>
          <w:sz w:val="22"/>
          <w:szCs w:val="22"/>
        </w:rPr>
      </w:pPr>
      <w:r w:rsidRPr="006D05D7">
        <w:rPr>
          <w:sz w:val="22"/>
          <w:szCs w:val="22"/>
        </w:rPr>
        <w:t xml:space="preserve">W dniu 30 listopada 2015 r. Dobra Forma 1 </w:t>
      </w:r>
      <w:r w:rsidR="00DF60B2">
        <w:rPr>
          <w:sz w:val="22"/>
          <w:szCs w:val="22"/>
        </w:rPr>
        <w:t>S</w:t>
      </w:r>
      <w:r w:rsidRPr="006D05D7">
        <w:rPr>
          <w:sz w:val="22"/>
          <w:szCs w:val="22"/>
        </w:rPr>
        <w:t xml:space="preserve">p. z o.o. SK zawarła z Getin Noble Bank S.A. umowę kredytu inwestycyjnego. W związku z powyższym pozyskano finansowanie do kwoty 36 mln zł </w:t>
      </w:r>
      <w:r w:rsidR="002B694F">
        <w:rPr>
          <w:sz w:val="22"/>
          <w:szCs w:val="22"/>
        </w:rPr>
        <w:br/>
      </w:r>
      <w:r w:rsidRPr="006D05D7">
        <w:rPr>
          <w:sz w:val="22"/>
          <w:szCs w:val="22"/>
        </w:rPr>
        <w:t xml:space="preserve">z przeznaczeniem na pokrycie kosztów brutto budowy I etapu Osiedla Dobra Forma. Kredyt powinien zostać spłacony w terminie do dnia 31.03.2018 r. </w:t>
      </w:r>
    </w:p>
    <w:p w:rsidR="00517411" w:rsidRDefault="00517411" w:rsidP="00517411">
      <w:pPr>
        <w:jc w:val="both"/>
        <w:rPr>
          <w:sz w:val="22"/>
          <w:szCs w:val="22"/>
        </w:rPr>
      </w:pPr>
    </w:p>
    <w:p w:rsidR="00517411" w:rsidRDefault="00517411" w:rsidP="00517411">
      <w:pPr>
        <w:jc w:val="both"/>
        <w:rPr>
          <w:sz w:val="22"/>
          <w:szCs w:val="22"/>
        </w:rPr>
      </w:pPr>
      <w:r w:rsidRPr="006D05D7">
        <w:rPr>
          <w:sz w:val="22"/>
          <w:szCs w:val="22"/>
        </w:rPr>
        <w:t xml:space="preserve">Zabezpieczenie spłaty Kredytu: </w:t>
      </w:r>
    </w:p>
    <w:p w:rsidR="00517411" w:rsidRDefault="00517411" w:rsidP="00517411">
      <w:pPr>
        <w:jc w:val="both"/>
        <w:rPr>
          <w:sz w:val="22"/>
          <w:szCs w:val="22"/>
        </w:rPr>
      </w:pPr>
      <w:r w:rsidRPr="006D05D7">
        <w:rPr>
          <w:sz w:val="22"/>
          <w:szCs w:val="22"/>
        </w:rPr>
        <w:t xml:space="preserve">1) hipoteka łączna do kwoty 54.000.000,00 zł ustanowiona na pierwszym miejscu na: </w:t>
      </w:r>
    </w:p>
    <w:p w:rsidR="00517411" w:rsidRDefault="00517411" w:rsidP="00517411">
      <w:pPr>
        <w:jc w:val="both"/>
        <w:rPr>
          <w:sz w:val="22"/>
          <w:szCs w:val="22"/>
        </w:rPr>
      </w:pPr>
      <w:r w:rsidRPr="006D05D7">
        <w:rPr>
          <w:sz w:val="22"/>
          <w:szCs w:val="22"/>
        </w:rPr>
        <w:t xml:space="preserve">a) nieruchomości położonej w Krakowie, przy ul. Adama Bochenka złożonej z działek o nr ew. 576/68 oraz 576/70 z obrębu 0061 o powierzchni 0,5035 ha, stanowiącej teren Inwestycji; </w:t>
      </w:r>
    </w:p>
    <w:p w:rsidR="00517411" w:rsidRDefault="00517411" w:rsidP="00517411">
      <w:pPr>
        <w:jc w:val="both"/>
        <w:rPr>
          <w:sz w:val="22"/>
          <w:szCs w:val="22"/>
        </w:rPr>
      </w:pPr>
      <w:r w:rsidRPr="006D05D7">
        <w:rPr>
          <w:sz w:val="22"/>
          <w:szCs w:val="22"/>
        </w:rPr>
        <w:t xml:space="preserve">b) nieruchomości położonej w Krakowie, przy ul. Adama Bochenka stanowiącej działkę o nr ew. 576/50 z obrębu 0061 o powierzchni 0,3751 ha, stanowiącą własność spółki zależnej Emitenta – Cracovia </w:t>
      </w:r>
      <w:proofErr w:type="spellStart"/>
      <w:r w:rsidRPr="006D05D7">
        <w:rPr>
          <w:sz w:val="22"/>
          <w:szCs w:val="22"/>
        </w:rPr>
        <w:t>Property</w:t>
      </w:r>
      <w:proofErr w:type="spellEnd"/>
      <w:r w:rsidRPr="006D05D7">
        <w:rPr>
          <w:sz w:val="22"/>
          <w:szCs w:val="22"/>
        </w:rPr>
        <w:t>, przy czym zabezpieczenie będzie utrzymywane do momentu uzyskania sprzedaży na poziomie 60% powierzchni użytkowej mieszkań realizowanej w ramach I etapu Osiedla Dobra Forma;</w:t>
      </w:r>
    </w:p>
    <w:p w:rsidR="00517411" w:rsidRDefault="00517411" w:rsidP="00517411">
      <w:pPr>
        <w:jc w:val="both"/>
        <w:rPr>
          <w:sz w:val="22"/>
          <w:szCs w:val="22"/>
        </w:rPr>
      </w:pPr>
      <w:r w:rsidRPr="006D05D7">
        <w:rPr>
          <w:sz w:val="22"/>
          <w:szCs w:val="22"/>
        </w:rPr>
        <w:t xml:space="preserve">2) przelew wierzytelności z umów z nabywcami lokali realizowanych w ramach I etapu Osiedla Dobra Forma, umów ubezpieczenia budowy oraz umowy z generalnym wykonawcą; </w:t>
      </w:r>
    </w:p>
    <w:p w:rsidR="00517411" w:rsidRDefault="00517411" w:rsidP="00517411">
      <w:pPr>
        <w:jc w:val="both"/>
        <w:rPr>
          <w:sz w:val="22"/>
          <w:szCs w:val="22"/>
        </w:rPr>
      </w:pPr>
      <w:r w:rsidRPr="006D05D7">
        <w:rPr>
          <w:sz w:val="22"/>
          <w:szCs w:val="22"/>
        </w:rPr>
        <w:t xml:space="preserve">3) zastaw na 100% udziałów w kapitale zakładowym komplementariusza Kredytobiorcy tj. Dobra Forma 1 </w:t>
      </w:r>
      <w:r w:rsidR="00DF60B2">
        <w:rPr>
          <w:sz w:val="22"/>
          <w:szCs w:val="22"/>
        </w:rPr>
        <w:t>S</w:t>
      </w:r>
      <w:r w:rsidRPr="006D05D7">
        <w:rPr>
          <w:sz w:val="22"/>
          <w:szCs w:val="22"/>
        </w:rPr>
        <w:t xml:space="preserve">p. z o.o.; </w:t>
      </w:r>
    </w:p>
    <w:p w:rsidR="00517411" w:rsidRDefault="00517411" w:rsidP="00517411">
      <w:pPr>
        <w:jc w:val="both"/>
        <w:rPr>
          <w:sz w:val="22"/>
          <w:szCs w:val="22"/>
        </w:rPr>
      </w:pPr>
      <w:r w:rsidRPr="006D05D7">
        <w:rPr>
          <w:sz w:val="22"/>
          <w:szCs w:val="22"/>
        </w:rPr>
        <w:t>4) poręczenie cywilne SOHO Development S.A., przy czym zabezpieczenie będzie utrzymywane do momentu uzyskania sprzedaży na poziomie 60% powierzchni użytkowej mieszkań realizowanej w ramach Inwestycji.</w:t>
      </w:r>
    </w:p>
    <w:p w:rsidR="00517411" w:rsidRDefault="00517411" w:rsidP="00517411">
      <w:pPr>
        <w:jc w:val="both"/>
        <w:rPr>
          <w:sz w:val="22"/>
          <w:szCs w:val="22"/>
        </w:rPr>
      </w:pPr>
    </w:p>
    <w:p w:rsidR="00517411" w:rsidRDefault="00517411" w:rsidP="00517411">
      <w:pPr>
        <w:jc w:val="both"/>
        <w:rPr>
          <w:sz w:val="22"/>
          <w:szCs w:val="22"/>
        </w:rPr>
      </w:pPr>
      <w:r w:rsidRPr="006D05D7">
        <w:rPr>
          <w:sz w:val="22"/>
          <w:szCs w:val="22"/>
        </w:rPr>
        <w:t xml:space="preserve"> Uruchomienie finansowania w ramach powyższej umowy kredytowej </w:t>
      </w:r>
      <w:r>
        <w:rPr>
          <w:sz w:val="22"/>
          <w:szCs w:val="22"/>
        </w:rPr>
        <w:t>nastąpiło</w:t>
      </w:r>
      <w:r w:rsidRPr="006D05D7">
        <w:rPr>
          <w:sz w:val="22"/>
          <w:szCs w:val="22"/>
        </w:rPr>
        <w:t xml:space="preserve"> w I</w:t>
      </w:r>
      <w:r>
        <w:rPr>
          <w:sz w:val="22"/>
          <w:szCs w:val="22"/>
        </w:rPr>
        <w:t xml:space="preserve"> kwartale</w:t>
      </w:r>
      <w:r w:rsidRPr="006D05D7">
        <w:rPr>
          <w:sz w:val="22"/>
          <w:szCs w:val="22"/>
        </w:rPr>
        <w:t xml:space="preserve"> 2016 r.</w:t>
      </w:r>
    </w:p>
    <w:p w:rsidR="00517411" w:rsidRDefault="00517411" w:rsidP="00517411">
      <w:pPr>
        <w:jc w:val="both"/>
        <w:rPr>
          <w:sz w:val="22"/>
          <w:szCs w:val="22"/>
        </w:rPr>
      </w:pPr>
    </w:p>
    <w:p w:rsidR="00517411" w:rsidRPr="006D05D7" w:rsidRDefault="00517411" w:rsidP="00517411">
      <w:pPr>
        <w:jc w:val="both"/>
        <w:rPr>
          <w:b/>
          <w:i/>
          <w:sz w:val="22"/>
          <w:szCs w:val="22"/>
        </w:rPr>
      </w:pPr>
      <w:r w:rsidRPr="006D05D7">
        <w:rPr>
          <w:b/>
          <w:i/>
          <w:sz w:val="22"/>
          <w:szCs w:val="22"/>
        </w:rPr>
        <w:t xml:space="preserve">Zawarcie umowy o generalne wykonawstwo budynku na osiedlu </w:t>
      </w:r>
      <w:r w:rsidRPr="00E900FC">
        <w:rPr>
          <w:b/>
          <w:i/>
          <w:sz w:val="22"/>
          <w:szCs w:val="22"/>
        </w:rPr>
        <w:t xml:space="preserve">„Dobra Forma” </w:t>
      </w:r>
      <w:r w:rsidRPr="006D05D7">
        <w:rPr>
          <w:b/>
          <w:i/>
          <w:sz w:val="22"/>
          <w:szCs w:val="22"/>
        </w:rPr>
        <w:t>w Krakowie</w:t>
      </w:r>
    </w:p>
    <w:p w:rsidR="00517411" w:rsidRDefault="00517411" w:rsidP="00517411">
      <w:pPr>
        <w:jc w:val="both"/>
        <w:rPr>
          <w:b/>
          <w:i/>
          <w:sz w:val="22"/>
          <w:szCs w:val="22"/>
        </w:rPr>
      </w:pPr>
    </w:p>
    <w:p w:rsidR="00517411" w:rsidRDefault="00517411" w:rsidP="00517411">
      <w:pPr>
        <w:jc w:val="both"/>
        <w:rPr>
          <w:sz w:val="22"/>
          <w:szCs w:val="22"/>
        </w:rPr>
      </w:pPr>
      <w:r w:rsidRPr="006D05D7">
        <w:rPr>
          <w:sz w:val="22"/>
          <w:szCs w:val="22"/>
        </w:rPr>
        <w:t xml:space="preserve">W dniu 9 marca 2016 r. </w:t>
      </w:r>
      <w:r w:rsidRPr="00E900FC">
        <w:rPr>
          <w:sz w:val="22"/>
          <w:szCs w:val="22"/>
        </w:rPr>
        <w:t xml:space="preserve">Dobra Forma 1 sp. z o.o. SK zawarła </w:t>
      </w:r>
      <w:r w:rsidRPr="006D05D7">
        <w:rPr>
          <w:sz w:val="22"/>
          <w:szCs w:val="22"/>
        </w:rPr>
        <w:t xml:space="preserve">z „Inżynieria Zbigniew Witkowski” </w:t>
      </w:r>
      <w:r w:rsidR="002B694F">
        <w:rPr>
          <w:sz w:val="22"/>
          <w:szCs w:val="22"/>
        </w:rPr>
        <w:br/>
      </w:r>
      <w:r w:rsidRPr="006D05D7">
        <w:rPr>
          <w:sz w:val="22"/>
          <w:szCs w:val="22"/>
        </w:rPr>
        <w:t xml:space="preserve">z siedzibą w Krakowie umowę o generalne wykonawstwo budynku mieszkalnego w ramach inwestycji na osiedlu Dobra Forma przy ul. Bochenka w Krakowie. </w:t>
      </w:r>
      <w:r>
        <w:rPr>
          <w:sz w:val="22"/>
          <w:szCs w:val="22"/>
        </w:rPr>
        <w:t>Umowa o</w:t>
      </w:r>
      <w:r w:rsidRPr="006D05D7">
        <w:rPr>
          <w:sz w:val="22"/>
          <w:szCs w:val="22"/>
        </w:rPr>
        <w:t>bejmuje wybudowanie budynku mieszkalnego wielorodzinnego z dwupoziomowym garażem podziemnym, z 12 kondygnacjami naziemnymi o szacowanych parametrach: 242 lokale mieszkalne, 156 stanowisk parkingowych w garażu podziemnym,</w:t>
      </w:r>
      <w:r w:rsidRPr="0004346C">
        <w:rPr>
          <w:sz w:val="22"/>
          <w:szCs w:val="22"/>
        </w:rPr>
        <w:t xml:space="preserve"> 54 komórki lokatorskie, ok. 10</w:t>
      </w:r>
      <w:r>
        <w:rPr>
          <w:sz w:val="22"/>
          <w:szCs w:val="22"/>
        </w:rPr>
        <w:t>.489</w:t>
      </w:r>
      <w:r w:rsidRPr="006D05D7">
        <w:rPr>
          <w:sz w:val="22"/>
          <w:szCs w:val="22"/>
        </w:rPr>
        <w:t xml:space="preserve"> m2 powierzchni mieszkalnej. Zakres </w:t>
      </w:r>
      <w:r>
        <w:rPr>
          <w:sz w:val="22"/>
          <w:szCs w:val="22"/>
        </w:rPr>
        <w:t xml:space="preserve">tej </w:t>
      </w:r>
      <w:r w:rsidRPr="0004346C">
        <w:rPr>
          <w:sz w:val="22"/>
          <w:szCs w:val="22"/>
        </w:rPr>
        <w:t>umowy</w:t>
      </w:r>
      <w:r>
        <w:rPr>
          <w:sz w:val="22"/>
          <w:szCs w:val="22"/>
        </w:rPr>
        <w:t xml:space="preserve"> </w:t>
      </w:r>
      <w:r w:rsidRPr="006D05D7">
        <w:rPr>
          <w:sz w:val="22"/>
          <w:szCs w:val="22"/>
        </w:rPr>
        <w:t xml:space="preserve">nie obejmuje prac wykonanych w pierwszym etapie budowy (robót ziemnych oraz stanu surowego poziomu „0”). </w:t>
      </w:r>
    </w:p>
    <w:p w:rsidR="00517411" w:rsidRDefault="00517411" w:rsidP="00517411">
      <w:pPr>
        <w:jc w:val="both"/>
        <w:rPr>
          <w:sz w:val="22"/>
          <w:szCs w:val="22"/>
        </w:rPr>
      </w:pPr>
    </w:p>
    <w:p w:rsidR="00517411" w:rsidRDefault="00517411" w:rsidP="00517411">
      <w:pPr>
        <w:jc w:val="both"/>
        <w:rPr>
          <w:sz w:val="22"/>
          <w:szCs w:val="22"/>
        </w:rPr>
      </w:pPr>
      <w:r w:rsidRPr="006D05D7">
        <w:rPr>
          <w:sz w:val="22"/>
          <w:szCs w:val="22"/>
        </w:rPr>
        <w:t xml:space="preserve">Budynek powstanie na działkach gruntowych o numerze ewidencyjnym 576/70 i 576/68 z obrębu 61 o łącznej powierzchni 0,5035 ha położonych przy ul. Bochenka w Krakowie, Dzielnica Podgórze. Projektantem Budynku jest Biuro Architektoniczne Lewicki </w:t>
      </w:r>
      <w:proofErr w:type="spellStart"/>
      <w:r w:rsidRPr="006D05D7">
        <w:rPr>
          <w:sz w:val="22"/>
          <w:szCs w:val="22"/>
        </w:rPr>
        <w:t>Łatak</w:t>
      </w:r>
      <w:proofErr w:type="spellEnd"/>
      <w:r w:rsidRPr="006D05D7">
        <w:rPr>
          <w:sz w:val="22"/>
          <w:szCs w:val="22"/>
        </w:rPr>
        <w:t xml:space="preserve"> Sp. z o.o. </w:t>
      </w:r>
      <w:r w:rsidR="00DF60B2">
        <w:rPr>
          <w:sz w:val="22"/>
          <w:szCs w:val="22"/>
        </w:rPr>
        <w:t>SK</w:t>
      </w:r>
      <w:r w:rsidRPr="006D05D7">
        <w:rPr>
          <w:sz w:val="22"/>
          <w:szCs w:val="22"/>
        </w:rPr>
        <w:t xml:space="preserve">, z siedzibą w Krakowie. Jako datę zakończenia budowy Budynku wskazano wrzesień 2017 r. </w:t>
      </w:r>
    </w:p>
    <w:p w:rsidR="00517411" w:rsidRDefault="00517411" w:rsidP="00517411">
      <w:pPr>
        <w:jc w:val="both"/>
        <w:rPr>
          <w:sz w:val="22"/>
          <w:szCs w:val="22"/>
        </w:rPr>
      </w:pPr>
    </w:p>
    <w:p w:rsidR="00517411" w:rsidRPr="006D05D7" w:rsidRDefault="00517411" w:rsidP="00517411">
      <w:pPr>
        <w:jc w:val="both"/>
        <w:rPr>
          <w:sz w:val="22"/>
          <w:szCs w:val="22"/>
        </w:rPr>
      </w:pPr>
      <w:r w:rsidRPr="006D05D7">
        <w:rPr>
          <w:sz w:val="22"/>
          <w:szCs w:val="22"/>
        </w:rPr>
        <w:t xml:space="preserve">Wynagrodzenie za wykonanie Umowy ustalono w formie ryczałtowej na kwotę netto: 26.100.000,00 PLN (słownie: dwadzieścia sześć milionów sto tysięcy złotych). W Umowie przewidziano standardowe rozwiązania dla tego typu umów w tym między innymi kary umowne za opóźnienia w realizacji </w:t>
      </w:r>
      <w:r w:rsidR="00056604">
        <w:rPr>
          <w:sz w:val="22"/>
          <w:szCs w:val="22"/>
        </w:rPr>
        <w:t>b</w:t>
      </w:r>
      <w:r w:rsidRPr="006D05D7">
        <w:rPr>
          <w:sz w:val="22"/>
          <w:szCs w:val="22"/>
        </w:rPr>
        <w:t>udynku oraz za nieusunięcie wad budowy. Kary umowne nie przekroczą 12% wynagrodzenia ryczałtowego.</w:t>
      </w:r>
    </w:p>
    <w:p w:rsidR="00517411" w:rsidRDefault="00517411" w:rsidP="00517411">
      <w:pPr>
        <w:jc w:val="both"/>
        <w:rPr>
          <w:b/>
          <w:i/>
          <w:sz w:val="22"/>
          <w:szCs w:val="22"/>
        </w:rPr>
      </w:pPr>
    </w:p>
    <w:p w:rsidR="00517411" w:rsidRPr="006D05D7" w:rsidRDefault="00517411" w:rsidP="00517411">
      <w:pPr>
        <w:jc w:val="both"/>
        <w:rPr>
          <w:b/>
          <w:i/>
          <w:sz w:val="22"/>
          <w:szCs w:val="22"/>
        </w:rPr>
      </w:pPr>
      <w:r w:rsidRPr="006D05D7">
        <w:rPr>
          <w:b/>
          <w:i/>
          <w:sz w:val="22"/>
          <w:szCs w:val="22"/>
        </w:rPr>
        <w:lastRenderedPageBreak/>
        <w:t>Uzy</w:t>
      </w:r>
      <w:r w:rsidRPr="00525910">
        <w:rPr>
          <w:b/>
          <w:i/>
          <w:sz w:val="22"/>
          <w:szCs w:val="22"/>
        </w:rPr>
        <w:t>skanie pozwolenia na budowę bud</w:t>
      </w:r>
      <w:r>
        <w:rPr>
          <w:b/>
          <w:i/>
          <w:sz w:val="22"/>
          <w:szCs w:val="22"/>
        </w:rPr>
        <w:t>ynku</w:t>
      </w:r>
      <w:r w:rsidRPr="006D05D7">
        <w:rPr>
          <w:b/>
          <w:i/>
          <w:sz w:val="22"/>
          <w:szCs w:val="22"/>
        </w:rPr>
        <w:t xml:space="preserve"> </w:t>
      </w:r>
      <w:r w:rsidRPr="00E900FC">
        <w:rPr>
          <w:b/>
          <w:i/>
          <w:sz w:val="22"/>
          <w:szCs w:val="22"/>
        </w:rPr>
        <w:t>„F”</w:t>
      </w:r>
      <w:r w:rsidR="00FE35B9">
        <w:rPr>
          <w:b/>
          <w:i/>
          <w:sz w:val="22"/>
          <w:szCs w:val="22"/>
        </w:rPr>
        <w:t xml:space="preserve"> (Feniks)</w:t>
      </w:r>
    </w:p>
    <w:p w:rsidR="00517411" w:rsidRDefault="00517411" w:rsidP="00517411">
      <w:pPr>
        <w:jc w:val="both"/>
      </w:pPr>
    </w:p>
    <w:p w:rsidR="00517411" w:rsidRDefault="00517411" w:rsidP="00517411">
      <w:pPr>
        <w:jc w:val="both"/>
      </w:pPr>
      <w:r w:rsidRPr="003E38A9">
        <w:rPr>
          <w:sz w:val="22"/>
          <w:szCs w:val="22"/>
        </w:rPr>
        <w:t xml:space="preserve">W dniu </w:t>
      </w:r>
      <w:r>
        <w:rPr>
          <w:sz w:val="22"/>
          <w:szCs w:val="22"/>
        </w:rPr>
        <w:t>09 marca</w:t>
      </w:r>
      <w:r w:rsidRPr="006D05D7">
        <w:rPr>
          <w:sz w:val="22"/>
          <w:szCs w:val="22"/>
        </w:rPr>
        <w:t xml:space="preserve"> 201</w:t>
      </w:r>
      <w:r>
        <w:rPr>
          <w:sz w:val="22"/>
          <w:szCs w:val="22"/>
        </w:rPr>
        <w:t>6</w:t>
      </w:r>
      <w:r w:rsidRPr="006D05D7">
        <w:rPr>
          <w:sz w:val="22"/>
          <w:szCs w:val="22"/>
        </w:rPr>
        <w:t xml:space="preserve"> r. spółka zależna Soho Factory Sp. z o.o. uzyskała</w:t>
      </w:r>
      <w:r>
        <w:rPr>
          <w:sz w:val="22"/>
          <w:szCs w:val="22"/>
        </w:rPr>
        <w:t xml:space="preserve"> </w:t>
      </w:r>
      <w:r w:rsidRPr="006D05D7">
        <w:rPr>
          <w:sz w:val="22"/>
          <w:szCs w:val="22"/>
        </w:rPr>
        <w:t>prawomocne pozwolenie na budowę budynk</w:t>
      </w:r>
      <w:r w:rsidRPr="00865545">
        <w:rPr>
          <w:sz w:val="22"/>
          <w:szCs w:val="22"/>
        </w:rPr>
        <w:t xml:space="preserve">u mieszkalnego wielorodzinnego </w:t>
      </w:r>
      <w:r w:rsidRPr="006D05D7">
        <w:rPr>
          <w:sz w:val="22"/>
          <w:szCs w:val="22"/>
        </w:rPr>
        <w:t xml:space="preserve">z usługami i parkingiem podziemnym, </w:t>
      </w:r>
      <w:r>
        <w:rPr>
          <w:sz w:val="22"/>
          <w:szCs w:val="22"/>
        </w:rPr>
        <w:t xml:space="preserve">oznaczonego literką </w:t>
      </w:r>
      <w:r w:rsidRPr="006D05D7">
        <w:rPr>
          <w:sz w:val="22"/>
          <w:szCs w:val="22"/>
        </w:rPr>
        <w:t xml:space="preserve">„F”, który zostanie posadowiony u zbiegu ulic Mińskiej, Żupniczej i Chodakowskiej </w:t>
      </w:r>
      <w:r w:rsidR="002B694F">
        <w:rPr>
          <w:sz w:val="22"/>
          <w:szCs w:val="22"/>
        </w:rPr>
        <w:br/>
      </w:r>
      <w:r w:rsidRPr="006D05D7">
        <w:rPr>
          <w:sz w:val="22"/>
          <w:szCs w:val="22"/>
        </w:rPr>
        <w:t>w Warszawie. Dla budynku „F” została przyjęta nazwa „Feniks”</w:t>
      </w:r>
      <w:r>
        <w:t>.</w:t>
      </w:r>
    </w:p>
    <w:p w:rsidR="00517411" w:rsidRDefault="00517411" w:rsidP="00517411">
      <w:pPr>
        <w:jc w:val="both"/>
      </w:pPr>
    </w:p>
    <w:p w:rsidR="00517411" w:rsidRDefault="00517411" w:rsidP="00517411">
      <w:pPr>
        <w:jc w:val="both"/>
        <w:rPr>
          <w:sz w:val="22"/>
          <w:szCs w:val="22"/>
        </w:rPr>
      </w:pPr>
      <w:r w:rsidRPr="006D05D7">
        <w:rPr>
          <w:sz w:val="22"/>
          <w:szCs w:val="22"/>
        </w:rPr>
        <w:t>Budynek Feniks będzie miał zróżnicowaną wysokościowo bryłę do 12 kondygnacji. W Budynku planowane jest 2</w:t>
      </w:r>
      <w:r>
        <w:rPr>
          <w:sz w:val="22"/>
          <w:szCs w:val="22"/>
        </w:rPr>
        <w:t>10</w:t>
      </w:r>
      <w:r w:rsidRPr="006D05D7">
        <w:rPr>
          <w:sz w:val="22"/>
          <w:szCs w:val="22"/>
        </w:rPr>
        <w:t xml:space="preserve"> lokali mieszkalnych, 2 lokale usługowe, 213 miejsc parkingowych w halach garażowych oraz 26 miejsc parkingowych zewnętrznych. Planowana powierzchnia użytkow</w:t>
      </w:r>
      <w:r w:rsidRPr="00DA2256">
        <w:rPr>
          <w:sz w:val="22"/>
          <w:szCs w:val="22"/>
        </w:rPr>
        <w:t>a mieszkań w Budynku wynosi 11.</w:t>
      </w:r>
      <w:r>
        <w:rPr>
          <w:sz w:val="22"/>
          <w:szCs w:val="22"/>
        </w:rPr>
        <w:t>793</w:t>
      </w:r>
      <w:r w:rsidRPr="006D05D7">
        <w:rPr>
          <w:sz w:val="22"/>
          <w:szCs w:val="22"/>
        </w:rPr>
        <w:t xml:space="preserve"> m2. Planowana powierzchnia użytkowa usług wynosi: </w:t>
      </w:r>
      <w:r>
        <w:rPr>
          <w:sz w:val="22"/>
          <w:szCs w:val="22"/>
        </w:rPr>
        <w:t>252</w:t>
      </w:r>
      <w:r w:rsidRPr="006D05D7">
        <w:rPr>
          <w:sz w:val="22"/>
          <w:szCs w:val="22"/>
        </w:rPr>
        <w:t xml:space="preserve"> m2. </w:t>
      </w:r>
      <w:r>
        <w:rPr>
          <w:sz w:val="22"/>
          <w:szCs w:val="22"/>
        </w:rPr>
        <w:t>Oddanie budynku do użytkowania</w:t>
      </w:r>
      <w:r w:rsidRPr="006D05D7">
        <w:rPr>
          <w:sz w:val="22"/>
          <w:szCs w:val="22"/>
        </w:rPr>
        <w:t xml:space="preserve"> planowane jest na </w:t>
      </w:r>
      <w:r>
        <w:rPr>
          <w:sz w:val="22"/>
          <w:szCs w:val="22"/>
        </w:rPr>
        <w:t>V</w:t>
      </w:r>
      <w:r w:rsidRPr="006D05D7">
        <w:rPr>
          <w:sz w:val="22"/>
          <w:szCs w:val="22"/>
        </w:rPr>
        <w:t>I kw. 201</w:t>
      </w:r>
      <w:r>
        <w:rPr>
          <w:sz w:val="22"/>
          <w:szCs w:val="22"/>
        </w:rPr>
        <w:t>7</w:t>
      </w:r>
      <w:r w:rsidRPr="006D05D7">
        <w:rPr>
          <w:sz w:val="22"/>
          <w:szCs w:val="22"/>
        </w:rPr>
        <w:t xml:space="preserve"> r</w:t>
      </w:r>
      <w:r>
        <w:rPr>
          <w:sz w:val="22"/>
          <w:szCs w:val="22"/>
        </w:rPr>
        <w:t>.</w:t>
      </w:r>
    </w:p>
    <w:p w:rsidR="00517411" w:rsidRDefault="00517411" w:rsidP="00517411">
      <w:pPr>
        <w:jc w:val="both"/>
        <w:rPr>
          <w:sz w:val="22"/>
          <w:szCs w:val="22"/>
        </w:rPr>
      </w:pPr>
    </w:p>
    <w:p w:rsidR="00FE35B9" w:rsidRDefault="00FE35B9" w:rsidP="00517411">
      <w:pPr>
        <w:jc w:val="both"/>
        <w:rPr>
          <w:b/>
          <w:i/>
          <w:sz w:val="22"/>
          <w:szCs w:val="22"/>
        </w:rPr>
      </w:pPr>
      <w:r w:rsidRPr="006D05D7">
        <w:rPr>
          <w:b/>
          <w:i/>
          <w:sz w:val="22"/>
          <w:szCs w:val="22"/>
        </w:rPr>
        <w:t xml:space="preserve">Zawarcie umowy o generalne wykonawstwo budynku </w:t>
      </w:r>
      <w:r>
        <w:rPr>
          <w:b/>
          <w:i/>
          <w:sz w:val="22"/>
          <w:szCs w:val="22"/>
        </w:rPr>
        <w:t>„F” (Feniks)</w:t>
      </w:r>
    </w:p>
    <w:p w:rsidR="00517411" w:rsidRDefault="00FE35B9" w:rsidP="00517411">
      <w:pPr>
        <w:jc w:val="both"/>
        <w:rPr>
          <w:b/>
          <w:i/>
          <w:sz w:val="22"/>
          <w:szCs w:val="22"/>
        </w:rPr>
      </w:pPr>
      <w:r>
        <w:rPr>
          <w:b/>
          <w:i/>
          <w:sz w:val="22"/>
          <w:szCs w:val="22"/>
        </w:rPr>
        <w:t xml:space="preserve"> </w:t>
      </w:r>
    </w:p>
    <w:p w:rsidR="00FE35B9" w:rsidRPr="005533E5" w:rsidRDefault="00FE35B9" w:rsidP="00517411">
      <w:pPr>
        <w:jc w:val="both"/>
        <w:rPr>
          <w:sz w:val="22"/>
          <w:szCs w:val="22"/>
        </w:rPr>
      </w:pPr>
      <w:r w:rsidRPr="006D05D7">
        <w:rPr>
          <w:sz w:val="22"/>
          <w:szCs w:val="22"/>
        </w:rPr>
        <w:t xml:space="preserve">W dniu </w:t>
      </w:r>
      <w:r>
        <w:rPr>
          <w:sz w:val="22"/>
          <w:szCs w:val="22"/>
        </w:rPr>
        <w:t>27</w:t>
      </w:r>
      <w:r w:rsidRPr="006D05D7">
        <w:rPr>
          <w:sz w:val="22"/>
          <w:szCs w:val="22"/>
        </w:rPr>
        <w:t xml:space="preserve"> </w:t>
      </w:r>
      <w:r>
        <w:rPr>
          <w:sz w:val="22"/>
          <w:szCs w:val="22"/>
        </w:rPr>
        <w:t>kwietnia</w:t>
      </w:r>
      <w:r w:rsidRPr="006D05D7">
        <w:rPr>
          <w:sz w:val="22"/>
          <w:szCs w:val="22"/>
        </w:rPr>
        <w:t xml:space="preserve"> 2016 r. </w:t>
      </w:r>
      <w:r>
        <w:rPr>
          <w:sz w:val="22"/>
          <w:szCs w:val="22"/>
        </w:rPr>
        <w:t>Soho Factory Sp. z o.o. oraz Soho Feniks Sp. z o.o. sp.</w:t>
      </w:r>
      <w:r w:rsidR="008D2D3A">
        <w:rPr>
          <w:sz w:val="22"/>
          <w:szCs w:val="22"/>
        </w:rPr>
        <w:t xml:space="preserve">k. </w:t>
      </w:r>
      <w:r w:rsidR="008D2D3A" w:rsidRPr="00E900FC">
        <w:rPr>
          <w:sz w:val="22"/>
          <w:szCs w:val="22"/>
        </w:rPr>
        <w:t>zawarły</w:t>
      </w:r>
      <w:r w:rsidRPr="00E900FC">
        <w:rPr>
          <w:sz w:val="22"/>
          <w:szCs w:val="22"/>
        </w:rPr>
        <w:t xml:space="preserve"> </w:t>
      </w:r>
      <w:r w:rsidRPr="006D05D7">
        <w:rPr>
          <w:sz w:val="22"/>
          <w:szCs w:val="22"/>
        </w:rPr>
        <w:t xml:space="preserve">z </w:t>
      </w:r>
      <w:r w:rsidRPr="005533E5">
        <w:rPr>
          <w:sz w:val="22"/>
          <w:szCs w:val="22"/>
        </w:rPr>
        <w:t>KALTER Sp. z o.o. z siedzibą w Białystoku</w:t>
      </w:r>
      <w:r>
        <w:rPr>
          <w:sz w:val="22"/>
          <w:szCs w:val="22"/>
        </w:rPr>
        <w:t xml:space="preserve"> </w:t>
      </w:r>
      <w:r w:rsidRPr="006D05D7">
        <w:rPr>
          <w:sz w:val="22"/>
          <w:szCs w:val="22"/>
        </w:rPr>
        <w:t>umow</w:t>
      </w:r>
      <w:r>
        <w:rPr>
          <w:sz w:val="22"/>
          <w:szCs w:val="22"/>
        </w:rPr>
        <w:t>y</w:t>
      </w:r>
      <w:r w:rsidRPr="006D05D7">
        <w:rPr>
          <w:sz w:val="22"/>
          <w:szCs w:val="22"/>
        </w:rPr>
        <w:t xml:space="preserve"> o generalne wykonawstwo </w:t>
      </w:r>
      <w:r w:rsidR="008D2D3A" w:rsidRPr="006D05D7">
        <w:rPr>
          <w:sz w:val="22"/>
          <w:szCs w:val="22"/>
        </w:rPr>
        <w:t xml:space="preserve">budynku </w:t>
      </w:r>
      <w:r w:rsidR="008D2D3A">
        <w:rPr>
          <w:sz w:val="22"/>
          <w:szCs w:val="22"/>
        </w:rPr>
        <w:t>„F</w:t>
      </w:r>
      <w:r>
        <w:rPr>
          <w:sz w:val="22"/>
          <w:szCs w:val="22"/>
        </w:rPr>
        <w:t xml:space="preserve">” (Feniks) </w:t>
      </w:r>
      <w:r w:rsidRPr="006D05D7">
        <w:rPr>
          <w:sz w:val="22"/>
          <w:szCs w:val="22"/>
        </w:rPr>
        <w:t xml:space="preserve">w ramach inwestycji na osiedlu </w:t>
      </w:r>
      <w:r>
        <w:rPr>
          <w:sz w:val="22"/>
          <w:szCs w:val="22"/>
        </w:rPr>
        <w:t>Soho Factory</w:t>
      </w:r>
      <w:r w:rsidRPr="006D05D7">
        <w:rPr>
          <w:sz w:val="22"/>
          <w:szCs w:val="22"/>
        </w:rPr>
        <w:t xml:space="preserve"> przy ul. </w:t>
      </w:r>
      <w:r>
        <w:rPr>
          <w:sz w:val="22"/>
          <w:szCs w:val="22"/>
        </w:rPr>
        <w:t xml:space="preserve">Mińskiej 25 </w:t>
      </w:r>
      <w:r w:rsidRPr="006D05D7">
        <w:rPr>
          <w:sz w:val="22"/>
          <w:szCs w:val="22"/>
        </w:rPr>
        <w:t xml:space="preserve">w </w:t>
      </w:r>
      <w:r>
        <w:rPr>
          <w:sz w:val="22"/>
          <w:szCs w:val="22"/>
        </w:rPr>
        <w:t>Warszawie</w:t>
      </w:r>
      <w:r w:rsidRPr="006D05D7">
        <w:rPr>
          <w:sz w:val="22"/>
          <w:szCs w:val="22"/>
        </w:rPr>
        <w:t xml:space="preserve">. </w:t>
      </w:r>
      <w:r>
        <w:rPr>
          <w:sz w:val="22"/>
          <w:szCs w:val="22"/>
        </w:rPr>
        <w:t xml:space="preserve">Umowa </w:t>
      </w:r>
      <w:r w:rsidR="005533E5" w:rsidRPr="005533E5">
        <w:rPr>
          <w:sz w:val="22"/>
          <w:szCs w:val="22"/>
        </w:rPr>
        <w:t xml:space="preserve">obejmuje wybudowanie budynku mieszkalnego wielorodzinnego z garażem podziemnym oraz garażem w parterze, z 6, 9 i 12 kondygnacjami naziemnymi z ilością: 210 lokali mieszkalnych, 2 lokali usługowych, 213 stanowisk parkingowych w halach garażowych i 26 stanowisk parkingowych </w:t>
      </w:r>
      <w:r w:rsidR="002B694F">
        <w:rPr>
          <w:sz w:val="22"/>
          <w:szCs w:val="22"/>
        </w:rPr>
        <w:br/>
      </w:r>
      <w:r w:rsidR="005533E5" w:rsidRPr="005533E5">
        <w:rPr>
          <w:sz w:val="22"/>
          <w:szCs w:val="22"/>
        </w:rPr>
        <w:t xml:space="preserve">na terenie, 40 </w:t>
      </w:r>
      <w:proofErr w:type="spellStart"/>
      <w:r w:rsidR="005533E5" w:rsidRPr="005533E5">
        <w:rPr>
          <w:sz w:val="22"/>
          <w:szCs w:val="22"/>
        </w:rPr>
        <w:t>boxów</w:t>
      </w:r>
      <w:proofErr w:type="spellEnd"/>
      <w:r w:rsidR="005533E5" w:rsidRPr="005533E5">
        <w:rPr>
          <w:sz w:val="22"/>
          <w:szCs w:val="22"/>
        </w:rPr>
        <w:t xml:space="preserve"> garażowych (komórki lokatorskie oraz pomieszczenia na jednoślady zlokalizowane w halach garażowych) o p</w:t>
      </w:r>
      <w:r w:rsidR="00056604">
        <w:rPr>
          <w:sz w:val="22"/>
          <w:szCs w:val="22"/>
        </w:rPr>
        <w:t>owierzchni mieszkalnej 11.793</w:t>
      </w:r>
      <w:r w:rsidR="005533E5" w:rsidRPr="005533E5">
        <w:rPr>
          <w:sz w:val="22"/>
          <w:szCs w:val="22"/>
        </w:rPr>
        <w:t xml:space="preserve"> m2 i powi</w:t>
      </w:r>
      <w:r w:rsidR="00056604">
        <w:rPr>
          <w:sz w:val="22"/>
          <w:szCs w:val="22"/>
        </w:rPr>
        <w:t>erzchni lokali usługowych 252 </w:t>
      </w:r>
      <w:r w:rsidR="005533E5" w:rsidRPr="005533E5">
        <w:rPr>
          <w:sz w:val="22"/>
          <w:szCs w:val="22"/>
        </w:rPr>
        <w:t>m2</w:t>
      </w:r>
      <w:r w:rsidR="005533E5">
        <w:rPr>
          <w:sz w:val="22"/>
          <w:szCs w:val="22"/>
        </w:rPr>
        <w:t>. Kontrahent</w:t>
      </w:r>
      <w:r w:rsidR="005533E5" w:rsidRPr="005533E5">
        <w:rPr>
          <w:sz w:val="22"/>
          <w:szCs w:val="22"/>
        </w:rPr>
        <w:t xml:space="preserve"> został wybrany w ramach procedury przetargowej i dysponuje szerokim doświadczeniem w zakresie realizacji obiektów mieszkaniowych i usługowych.</w:t>
      </w:r>
    </w:p>
    <w:p w:rsidR="005533E5" w:rsidRDefault="005533E5" w:rsidP="00517411">
      <w:pPr>
        <w:jc w:val="both"/>
      </w:pPr>
    </w:p>
    <w:p w:rsidR="00056604" w:rsidRDefault="00056604" w:rsidP="00517411">
      <w:pPr>
        <w:jc w:val="both"/>
        <w:rPr>
          <w:sz w:val="22"/>
          <w:szCs w:val="22"/>
        </w:rPr>
      </w:pPr>
      <w:r w:rsidRPr="00056604">
        <w:rPr>
          <w:sz w:val="22"/>
          <w:szCs w:val="22"/>
        </w:rPr>
        <w:t xml:space="preserve">Budynek Feniks stanowi kolejny etap projektu Soho Factory zlokalizowanego przy ul. Mińskiej 25 </w:t>
      </w:r>
      <w:r w:rsidR="00FC4724">
        <w:rPr>
          <w:sz w:val="22"/>
          <w:szCs w:val="22"/>
        </w:rPr>
        <w:br/>
      </w:r>
      <w:r w:rsidRPr="00056604">
        <w:rPr>
          <w:sz w:val="22"/>
          <w:szCs w:val="22"/>
        </w:rPr>
        <w:t xml:space="preserve">w Warszawie. Jako datę zakończenia budowy </w:t>
      </w:r>
      <w:r>
        <w:rPr>
          <w:sz w:val="22"/>
          <w:szCs w:val="22"/>
        </w:rPr>
        <w:t>b</w:t>
      </w:r>
      <w:r w:rsidRPr="00056604">
        <w:rPr>
          <w:sz w:val="22"/>
          <w:szCs w:val="22"/>
        </w:rPr>
        <w:t xml:space="preserve">udynku Feniks wskazano grudzień 2017 r. </w:t>
      </w:r>
    </w:p>
    <w:p w:rsidR="00056604" w:rsidRDefault="00056604" w:rsidP="00517411">
      <w:pPr>
        <w:jc w:val="both"/>
        <w:rPr>
          <w:sz w:val="22"/>
          <w:szCs w:val="22"/>
        </w:rPr>
      </w:pPr>
    </w:p>
    <w:p w:rsidR="00056604" w:rsidRDefault="00056604" w:rsidP="00517411">
      <w:pPr>
        <w:jc w:val="both"/>
        <w:rPr>
          <w:sz w:val="22"/>
          <w:szCs w:val="22"/>
        </w:rPr>
      </w:pPr>
      <w:r w:rsidRPr="006D05D7">
        <w:rPr>
          <w:sz w:val="22"/>
          <w:szCs w:val="22"/>
        </w:rPr>
        <w:t>Wynagrodzenie za wykonanie Umowy</w:t>
      </w:r>
      <w:r w:rsidRPr="00056604">
        <w:rPr>
          <w:sz w:val="22"/>
          <w:szCs w:val="22"/>
        </w:rPr>
        <w:t xml:space="preserve"> ustalono w formie ryczałtowej na kwotę 39.624.102,00 PLN (słownie: trzydzieści dziewięć milionów sześćset dwadzieścia cztery tysiące sto dwa złote) netto. W Umowie przewidziano standardowe rozwiązania dla tego typu umów w tym między innymi kary umowne za opóźnienia w realizacji </w:t>
      </w:r>
      <w:r>
        <w:rPr>
          <w:sz w:val="22"/>
          <w:szCs w:val="22"/>
        </w:rPr>
        <w:t>b</w:t>
      </w:r>
      <w:r w:rsidRPr="00056604">
        <w:rPr>
          <w:sz w:val="22"/>
          <w:szCs w:val="22"/>
        </w:rPr>
        <w:t>udynku.</w:t>
      </w:r>
    </w:p>
    <w:p w:rsidR="00056604" w:rsidRDefault="00056604" w:rsidP="00517411">
      <w:pPr>
        <w:jc w:val="both"/>
        <w:rPr>
          <w:sz w:val="22"/>
          <w:szCs w:val="22"/>
        </w:rPr>
      </w:pPr>
    </w:p>
    <w:p w:rsidR="00517411" w:rsidRPr="006D05D7" w:rsidRDefault="00517411" w:rsidP="00517411">
      <w:pPr>
        <w:jc w:val="both"/>
        <w:rPr>
          <w:b/>
          <w:sz w:val="20"/>
          <w:szCs w:val="22"/>
          <w:u w:val="single"/>
        </w:rPr>
      </w:pPr>
      <w:r w:rsidRPr="006D05D7">
        <w:rPr>
          <w:b/>
          <w:sz w:val="22"/>
          <w:u w:val="single"/>
        </w:rPr>
        <w:t>2) Segment inwestycyjno-finansowy</w:t>
      </w:r>
    </w:p>
    <w:p w:rsidR="00517411" w:rsidRDefault="00517411" w:rsidP="00517411">
      <w:pPr>
        <w:rPr>
          <w:sz w:val="22"/>
          <w:szCs w:val="22"/>
        </w:rPr>
      </w:pPr>
    </w:p>
    <w:p w:rsidR="00517411" w:rsidRPr="006D05D7" w:rsidRDefault="00517411" w:rsidP="00517411">
      <w:pPr>
        <w:jc w:val="both"/>
        <w:rPr>
          <w:b/>
          <w:i/>
          <w:sz w:val="22"/>
          <w:szCs w:val="22"/>
        </w:rPr>
      </w:pPr>
      <w:r w:rsidRPr="006D05D7">
        <w:rPr>
          <w:b/>
          <w:i/>
          <w:sz w:val="22"/>
          <w:szCs w:val="22"/>
        </w:rPr>
        <w:t xml:space="preserve">Emisja akcji w Próchnik S.A. </w:t>
      </w:r>
    </w:p>
    <w:p w:rsidR="00517411" w:rsidRDefault="00517411" w:rsidP="00517411">
      <w:pPr>
        <w:jc w:val="both"/>
        <w:rPr>
          <w:sz w:val="22"/>
          <w:szCs w:val="22"/>
        </w:rPr>
      </w:pPr>
    </w:p>
    <w:p w:rsidR="00517411" w:rsidRDefault="00517411" w:rsidP="00517411">
      <w:pPr>
        <w:jc w:val="both"/>
        <w:rPr>
          <w:sz w:val="22"/>
          <w:szCs w:val="22"/>
        </w:rPr>
      </w:pPr>
      <w:r w:rsidRPr="006D05D7">
        <w:rPr>
          <w:sz w:val="22"/>
          <w:szCs w:val="22"/>
        </w:rPr>
        <w:t xml:space="preserve">W dniu 28 października 2015 roku zakończyła się subskrypcja prywatna na łączną kwotę 12,5 mln akcji serii L oraz M. 500 tys. akcji zostało objętych przez Członków Rady Nadzorczej i Zarządu Próchnik S.A., 10.126 tys. akcji objął dotychczasowy akcjonariusz spółki – Spółka </w:t>
      </w:r>
      <w:proofErr w:type="spellStart"/>
      <w:r w:rsidRPr="006D05D7">
        <w:rPr>
          <w:sz w:val="22"/>
          <w:szCs w:val="22"/>
        </w:rPr>
        <w:t>Listella</w:t>
      </w:r>
      <w:proofErr w:type="spellEnd"/>
      <w:r w:rsidRPr="006D05D7">
        <w:rPr>
          <w:sz w:val="22"/>
          <w:szCs w:val="22"/>
        </w:rPr>
        <w:t xml:space="preserve"> S.A., zaś pozostałe 1.874 tys. akcji trafiło do pozostałych inwestorów. Wartość emisji w kwocie 4,5 mln została opłacona poprzez potrącenie z istniejącymi wierzytelnościami, natomiast kwota 8 mln opłacona gotówką. Jednocześnie miał miejsce przyspieszony proces budowania księgi popytu istniejących akcji, w ramach którego spółka </w:t>
      </w:r>
      <w:proofErr w:type="spellStart"/>
      <w:r w:rsidRPr="006D05D7">
        <w:rPr>
          <w:sz w:val="22"/>
          <w:szCs w:val="22"/>
        </w:rPr>
        <w:t>Listella</w:t>
      </w:r>
      <w:proofErr w:type="spellEnd"/>
      <w:r w:rsidRPr="006D05D7">
        <w:rPr>
          <w:sz w:val="22"/>
          <w:szCs w:val="22"/>
        </w:rPr>
        <w:t xml:space="preserve"> S.A. sprzedała posiadane dotychczas 6.250.000 istniejących akcji Spółki, na rzecz inwestorów instytucjonalnych. Dzięki temu umożliwiono inwestorom instytucjonalnym objęcie akcji już notowanych na rynku regulowanym. Ze środków pozyskanych ze wspomnianej sprzedaży </w:t>
      </w:r>
      <w:proofErr w:type="spellStart"/>
      <w:r w:rsidRPr="006D05D7">
        <w:rPr>
          <w:sz w:val="22"/>
          <w:szCs w:val="22"/>
        </w:rPr>
        <w:t>Listella</w:t>
      </w:r>
      <w:proofErr w:type="spellEnd"/>
      <w:r w:rsidRPr="006D05D7">
        <w:rPr>
          <w:sz w:val="22"/>
          <w:szCs w:val="22"/>
        </w:rPr>
        <w:t xml:space="preserve"> sfinansowała zakup części z nowo objętych akcji nowej emisji, </w:t>
      </w:r>
      <w:r w:rsidR="00FC4724">
        <w:rPr>
          <w:sz w:val="22"/>
          <w:szCs w:val="22"/>
        </w:rPr>
        <w:br/>
      </w:r>
      <w:r w:rsidRPr="006D05D7">
        <w:rPr>
          <w:sz w:val="22"/>
          <w:szCs w:val="22"/>
        </w:rPr>
        <w:t xml:space="preserve">tj. akcji serii L oraz M. Środki pozyskane z emisji były przeznaczone na: zwiększenie nakładów na kapitał obrotowy związany z rozwojem Próchnika S.A., poszerzenie asortymentu oraz rozszerzenie modelu współpracy z nowymi dostawcami, otwieranie oraz wyposażenie nowych sklepów </w:t>
      </w:r>
      <w:r w:rsidR="00FC4724">
        <w:rPr>
          <w:sz w:val="22"/>
          <w:szCs w:val="22"/>
        </w:rPr>
        <w:br/>
      </w:r>
      <w:r w:rsidRPr="006D05D7">
        <w:rPr>
          <w:sz w:val="22"/>
          <w:szCs w:val="22"/>
        </w:rPr>
        <w:t>w perspektywicznych lokalizacjach</w:t>
      </w:r>
      <w:r w:rsidR="008D2D3A" w:rsidRPr="006D05D7">
        <w:rPr>
          <w:sz w:val="22"/>
          <w:szCs w:val="22"/>
        </w:rPr>
        <w:t>,</w:t>
      </w:r>
      <w:r w:rsidRPr="006D05D7">
        <w:rPr>
          <w:sz w:val="22"/>
          <w:szCs w:val="22"/>
        </w:rPr>
        <w:t xml:space="preserve"> działania marketingowe wspierające sprzedaż, głównie w kanale </w:t>
      </w:r>
      <w:r w:rsidR="00B845D3">
        <w:rPr>
          <w:sz w:val="22"/>
          <w:szCs w:val="22"/>
        </w:rPr>
        <w:br/>
      </w:r>
      <w:r w:rsidRPr="006D05D7">
        <w:rPr>
          <w:sz w:val="22"/>
          <w:szCs w:val="22"/>
        </w:rPr>
        <w:lastRenderedPageBreak/>
        <w:t>e-commerce i mediach społecznościowych, wykorzystanie BIG DATA oraz wprowadzenie programu lojalnościowego.</w:t>
      </w:r>
    </w:p>
    <w:p w:rsidR="00517411" w:rsidRDefault="00517411" w:rsidP="00517411">
      <w:pPr>
        <w:jc w:val="both"/>
        <w:rPr>
          <w:sz w:val="22"/>
          <w:szCs w:val="22"/>
        </w:rPr>
      </w:pPr>
    </w:p>
    <w:p w:rsidR="00517411" w:rsidRPr="006D05D7" w:rsidRDefault="00517411" w:rsidP="00517411">
      <w:pPr>
        <w:jc w:val="both"/>
        <w:rPr>
          <w:b/>
          <w:i/>
          <w:sz w:val="22"/>
          <w:szCs w:val="22"/>
        </w:rPr>
      </w:pPr>
      <w:r w:rsidRPr="006D05D7">
        <w:rPr>
          <w:b/>
          <w:i/>
          <w:sz w:val="22"/>
          <w:szCs w:val="22"/>
        </w:rPr>
        <w:t xml:space="preserve">Emisja obligacji w Próchnik S.A. </w:t>
      </w:r>
    </w:p>
    <w:p w:rsidR="00517411" w:rsidRDefault="00517411" w:rsidP="00517411">
      <w:pPr>
        <w:jc w:val="both"/>
      </w:pPr>
    </w:p>
    <w:p w:rsidR="00517411" w:rsidRDefault="00517411" w:rsidP="00517411">
      <w:pPr>
        <w:jc w:val="both"/>
        <w:rPr>
          <w:sz w:val="22"/>
          <w:szCs w:val="22"/>
        </w:rPr>
      </w:pPr>
      <w:r w:rsidRPr="006D05D7">
        <w:rPr>
          <w:sz w:val="22"/>
          <w:szCs w:val="22"/>
        </w:rPr>
        <w:t xml:space="preserve">W dniu 2 grudnia 2015 r. spółka Próchnik S.A. dokonała przydziału 10.768 sztuk zabezpieczonych, zwykłych, zdematerializowanych obligacji serii C01 na okaziciela, o wartości nominalnej 1.000,00 zł każda, o łącznej wartości nominalnej 10.768.000,00 zł. Obligacje zostały przydzielone łącznie </w:t>
      </w:r>
      <w:r w:rsidR="00FC4724">
        <w:rPr>
          <w:sz w:val="22"/>
          <w:szCs w:val="22"/>
        </w:rPr>
        <w:br/>
      </w:r>
      <w:r w:rsidRPr="006D05D7">
        <w:rPr>
          <w:sz w:val="22"/>
          <w:szCs w:val="22"/>
        </w:rPr>
        <w:t xml:space="preserve">35 podmiotom (31 osób fizycznych, 3 osoby prawne oraz 1 fundusz inwestycyjny zamknięty). Celem Emisji Obligacji Serii C01 była optymalizacja struktury finansowania poprzez wydłużenie terminu zapadalności zadłużenia spółki Próchnik S.A. poprzez spłatę wyemitowanych obligacji serii A i B. Środki pozyskane z Obligacji Serii C01 zostały w pierwszej kolejności przeznaczone na spłatę dotychczasowego zadłużenia w postaci obligacji serii A oraz serii B, pozwalając tym samym ujednolicić warunki finansowania, zarówno w kontekście terminu ich zapadalności jak i pozostałych warunków, pozwalając efektywniej zarządzać pozyskanymi przez Próchnik S.A. zasobami. Oprocentowanie Obligacji wynosi WIBOR 3M + 600 </w:t>
      </w:r>
      <w:proofErr w:type="spellStart"/>
      <w:r w:rsidRPr="006D05D7">
        <w:rPr>
          <w:sz w:val="22"/>
          <w:szCs w:val="22"/>
        </w:rPr>
        <w:t>bps</w:t>
      </w:r>
      <w:proofErr w:type="spellEnd"/>
      <w:r w:rsidRPr="006D05D7">
        <w:rPr>
          <w:sz w:val="22"/>
          <w:szCs w:val="22"/>
        </w:rPr>
        <w:t xml:space="preserve"> w skali roku, które to odsetki płatne są co trzy miesiące na ostatni dzień każdego Okresu Odsetkowego. Obligacje są obligacjami </w:t>
      </w:r>
      <w:r w:rsidR="00FC4724">
        <w:rPr>
          <w:sz w:val="22"/>
          <w:szCs w:val="22"/>
        </w:rPr>
        <w:br/>
      </w:r>
      <w:r w:rsidRPr="006D05D7">
        <w:rPr>
          <w:sz w:val="22"/>
          <w:szCs w:val="22"/>
        </w:rPr>
        <w:t>24-miesięcznymi, wykup Obligacji nastąpi w terminie 24 miesięcy od dnia przydziału Obligacji.</w:t>
      </w:r>
    </w:p>
    <w:p w:rsidR="00517411" w:rsidRDefault="00517411" w:rsidP="00517411">
      <w:pPr>
        <w:jc w:val="both"/>
        <w:rPr>
          <w:sz w:val="22"/>
          <w:szCs w:val="22"/>
        </w:rPr>
      </w:pPr>
    </w:p>
    <w:p w:rsidR="00517411" w:rsidRDefault="00517411" w:rsidP="00517411">
      <w:pPr>
        <w:jc w:val="both"/>
        <w:rPr>
          <w:sz w:val="22"/>
          <w:szCs w:val="22"/>
        </w:rPr>
      </w:pPr>
      <w:r w:rsidRPr="006D05D7">
        <w:rPr>
          <w:sz w:val="22"/>
          <w:szCs w:val="22"/>
        </w:rPr>
        <w:t xml:space="preserve">W dniu 21 grudnia 2015 r. spółka Próchnik S.A. dokonała przydziału 1.232 sztuk zabezpieczonych, zwykłych, zdematerializowanych obligacji serii C02 na okaziciela, o wartości nominalnej 1.000,00 zł każda, o łącznej wartości nominalnej 1.232.000,00 zł. Obligacje Serii C02 zostały przydzielone łącznie 13 podmiotom (13 osób fizycznych). Cele Emisji Obligacji Serii C02, były analogicznie </w:t>
      </w:r>
      <w:r w:rsidR="00FC4724">
        <w:rPr>
          <w:sz w:val="22"/>
          <w:szCs w:val="22"/>
        </w:rPr>
        <w:br/>
      </w:r>
      <w:r w:rsidRPr="006D05D7">
        <w:rPr>
          <w:sz w:val="22"/>
          <w:szCs w:val="22"/>
        </w:rPr>
        <w:t xml:space="preserve">jak dla obligacji serii C01. Oprocentowanie Obligacji Serii C02 wynosi WIBOR 3M + 600 </w:t>
      </w:r>
      <w:proofErr w:type="spellStart"/>
      <w:r w:rsidRPr="006D05D7">
        <w:rPr>
          <w:sz w:val="22"/>
          <w:szCs w:val="22"/>
        </w:rPr>
        <w:t>bps</w:t>
      </w:r>
      <w:proofErr w:type="spellEnd"/>
      <w:r w:rsidRPr="006D05D7">
        <w:rPr>
          <w:sz w:val="22"/>
          <w:szCs w:val="22"/>
        </w:rPr>
        <w:t xml:space="preserve"> w skali roku, które to odsetki płatne są co trzy miesiące na ostatni dzień każdego Okresu Odsetkowego.</w:t>
      </w:r>
    </w:p>
    <w:p w:rsidR="00517411" w:rsidRDefault="00517411" w:rsidP="00517411">
      <w:pPr>
        <w:jc w:val="both"/>
        <w:rPr>
          <w:sz w:val="22"/>
          <w:szCs w:val="22"/>
        </w:rPr>
      </w:pPr>
    </w:p>
    <w:p w:rsidR="00517411" w:rsidRDefault="00517411" w:rsidP="00517411">
      <w:pPr>
        <w:numPr>
          <w:ilvl w:val="0"/>
          <w:numId w:val="7"/>
        </w:numPr>
        <w:jc w:val="both"/>
        <w:rPr>
          <w:b/>
          <w:sz w:val="22"/>
          <w:u w:val="single"/>
        </w:rPr>
      </w:pPr>
      <w:r>
        <w:rPr>
          <w:b/>
          <w:sz w:val="22"/>
          <w:u w:val="single"/>
        </w:rPr>
        <w:t>Soho Development S.A.</w:t>
      </w:r>
    </w:p>
    <w:p w:rsidR="00517411" w:rsidRDefault="00517411" w:rsidP="00517411">
      <w:pPr>
        <w:jc w:val="both"/>
        <w:rPr>
          <w:b/>
          <w:sz w:val="22"/>
          <w:u w:val="single"/>
        </w:rPr>
      </w:pPr>
    </w:p>
    <w:p w:rsidR="00517411" w:rsidRDefault="00517411" w:rsidP="00517411">
      <w:pPr>
        <w:pStyle w:val="Default"/>
        <w:jc w:val="both"/>
        <w:rPr>
          <w:b/>
          <w:i/>
          <w:sz w:val="22"/>
          <w:szCs w:val="22"/>
        </w:rPr>
      </w:pPr>
      <w:r w:rsidRPr="006D05D7">
        <w:rPr>
          <w:b/>
          <w:i/>
          <w:sz w:val="22"/>
          <w:szCs w:val="22"/>
        </w:rPr>
        <w:t xml:space="preserve">Planowane połączenie ze spółką zależną PZO Investment sp. z o.o. </w:t>
      </w:r>
    </w:p>
    <w:p w:rsidR="00517411" w:rsidRDefault="00517411" w:rsidP="00517411">
      <w:pPr>
        <w:pStyle w:val="Default"/>
        <w:jc w:val="both"/>
        <w:rPr>
          <w:b/>
          <w:i/>
          <w:sz w:val="22"/>
          <w:szCs w:val="22"/>
        </w:rPr>
      </w:pPr>
    </w:p>
    <w:p w:rsidR="00517411" w:rsidRDefault="00517411" w:rsidP="00517411">
      <w:pPr>
        <w:jc w:val="both"/>
        <w:rPr>
          <w:sz w:val="22"/>
          <w:szCs w:val="22"/>
        </w:rPr>
      </w:pPr>
      <w:r>
        <w:rPr>
          <w:sz w:val="22"/>
          <w:szCs w:val="22"/>
        </w:rPr>
        <w:t xml:space="preserve">W dniu 25 marca przyjęto Plan Połączenia Spółek. </w:t>
      </w:r>
      <w:r w:rsidRPr="006D05D7">
        <w:rPr>
          <w:sz w:val="22"/>
          <w:szCs w:val="22"/>
        </w:rPr>
        <w:t xml:space="preserve">Połączenie nastąpi poprzez przejęcie przez Emitenta majątku </w:t>
      </w:r>
      <w:r w:rsidRPr="007868E7">
        <w:rPr>
          <w:sz w:val="22"/>
          <w:szCs w:val="22"/>
        </w:rPr>
        <w:t>spółki PZO Investment Sp. z o.o</w:t>
      </w:r>
      <w:r w:rsidRPr="006D05D7">
        <w:rPr>
          <w:sz w:val="22"/>
          <w:szCs w:val="22"/>
        </w:rPr>
        <w:t xml:space="preserve">. Z uwagi, iż Spółka PZOI jest podmiotem w 100 % zależnym od Emitenta połączenie odbędzie się w trybie uproszczonym, zgodnie z art. 516 § 6 KSH. </w:t>
      </w:r>
      <w:r w:rsidR="00FC4724">
        <w:rPr>
          <w:sz w:val="22"/>
          <w:szCs w:val="22"/>
        </w:rPr>
        <w:br/>
      </w:r>
      <w:r w:rsidRPr="006D05D7">
        <w:rPr>
          <w:sz w:val="22"/>
          <w:szCs w:val="22"/>
        </w:rPr>
        <w:t xml:space="preserve">W związku z powyższym połączenie nastąpi bez podwyższenia kapitału zakładowego oraz </w:t>
      </w:r>
      <w:r w:rsidR="00FC4724">
        <w:rPr>
          <w:sz w:val="22"/>
          <w:szCs w:val="22"/>
        </w:rPr>
        <w:br/>
      </w:r>
      <w:r w:rsidRPr="006D05D7">
        <w:rPr>
          <w:sz w:val="22"/>
          <w:szCs w:val="22"/>
        </w:rPr>
        <w:t xml:space="preserve">bez wydania nowych akcji Emitenta. </w:t>
      </w:r>
    </w:p>
    <w:p w:rsidR="00517411" w:rsidRDefault="00517411" w:rsidP="00517411">
      <w:pPr>
        <w:jc w:val="both"/>
        <w:rPr>
          <w:sz w:val="22"/>
          <w:szCs w:val="22"/>
        </w:rPr>
      </w:pPr>
    </w:p>
    <w:p w:rsidR="00517411" w:rsidRDefault="00517411" w:rsidP="00517411">
      <w:pPr>
        <w:jc w:val="both"/>
        <w:rPr>
          <w:sz w:val="22"/>
          <w:szCs w:val="22"/>
        </w:rPr>
      </w:pPr>
      <w:r w:rsidRPr="006D05D7">
        <w:rPr>
          <w:sz w:val="22"/>
          <w:szCs w:val="22"/>
        </w:rPr>
        <w:t>Emitent z dniem połączenia wstąpi we wszystkie prawa i obowiązki spółki PZOI, która ulegnie rozwiązaniu bez przeprowadzania likwidacji, zgodnie z art. 494 § 1 KSH. Główny składnik majątku spółki PZOI stanowi wierzytelność wobec Emitenta z tyt. udzielonej pożyczki z dnia 22 grudnia 2006 r., której saldo na dzień 31</w:t>
      </w:r>
      <w:r w:rsidR="00FC4724">
        <w:rPr>
          <w:sz w:val="22"/>
          <w:szCs w:val="22"/>
        </w:rPr>
        <w:t xml:space="preserve"> marca </w:t>
      </w:r>
      <w:r w:rsidRPr="006D05D7">
        <w:rPr>
          <w:sz w:val="22"/>
          <w:szCs w:val="22"/>
        </w:rPr>
        <w:t>201</w:t>
      </w:r>
      <w:r>
        <w:rPr>
          <w:sz w:val="22"/>
          <w:szCs w:val="22"/>
        </w:rPr>
        <w:t>6</w:t>
      </w:r>
      <w:r w:rsidR="00B845D3">
        <w:rPr>
          <w:sz w:val="22"/>
          <w:szCs w:val="22"/>
        </w:rPr>
        <w:t xml:space="preserve"> r. wynosi 18.</w:t>
      </w:r>
      <w:r>
        <w:rPr>
          <w:sz w:val="22"/>
          <w:szCs w:val="22"/>
        </w:rPr>
        <w:t>301</w:t>
      </w:r>
      <w:r w:rsidRPr="006D05D7">
        <w:rPr>
          <w:sz w:val="22"/>
          <w:szCs w:val="22"/>
        </w:rPr>
        <w:t xml:space="preserve"> tys. PLN.</w:t>
      </w:r>
    </w:p>
    <w:p w:rsidR="00517411" w:rsidRDefault="00517411" w:rsidP="00517411">
      <w:pPr>
        <w:jc w:val="both"/>
        <w:rPr>
          <w:sz w:val="22"/>
          <w:szCs w:val="22"/>
        </w:rPr>
      </w:pPr>
    </w:p>
    <w:p w:rsidR="00517411" w:rsidRDefault="00517411" w:rsidP="00517411">
      <w:pPr>
        <w:jc w:val="both"/>
        <w:rPr>
          <w:sz w:val="22"/>
          <w:szCs w:val="22"/>
        </w:rPr>
      </w:pPr>
      <w:r w:rsidRPr="006D05D7">
        <w:rPr>
          <w:sz w:val="22"/>
          <w:szCs w:val="22"/>
        </w:rPr>
        <w:t xml:space="preserve">W ocenie Zarządu Emitenta połączenie, mające na celu uproszczenie struktury grupy kapitałowej Emitenta, stanowi najbardziej efektywną metodę zakończenia działalności PZOI ponieważ: </w:t>
      </w:r>
    </w:p>
    <w:p w:rsidR="00517411" w:rsidRDefault="00517411" w:rsidP="00517411">
      <w:pPr>
        <w:jc w:val="both"/>
        <w:rPr>
          <w:sz w:val="22"/>
          <w:szCs w:val="22"/>
        </w:rPr>
      </w:pPr>
      <w:r w:rsidRPr="006D05D7">
        <w:rPr>
          <w:sz w:val="22"/>
          <w:szCs w:val="22"/>
        </w:rPr>
        <w:t xml:space="preserve">a) rozliczenie wierzytelności z tyt. Pożyczki przez przejęcie majątku PZOI nie pociąga za sobą skutków podatkowych, </w:t>
      </w:r>
    </w:p>
    <w:p w:rsidR="00517411" w:rsidRDefault="00517411" w:rsidP="00517411">
      <w:pPr>
        <w:jc w:val="both"/>
        <w:rPr>
          <w:sz w:val="22"/>
          <w:szCs w:val="22"/>
        </w:rPr>
      </w:pPr>
      <w:r w:rsidRPr="006D05D7">
        <w:rPr>
          <w:sz w:val="22"/>
          <w:szCs w:val="22"/>
        </w:rPr>
        <w:t xml:space="preserve">b) uproszczony tryb połączenia nie generuje zmian w strukturze właścicielskiej Emitenta, </w:t>
      </w:r>
    </w:p>
    <w:p w:rsidR="00517411" w:rsidRDefault="00517411" w:rsidP="00517411">
      <w:pPr>
        <w:jc w:val="both"/>
        <w:rPr>
          <w:sz w:val="22"/>
          <w:szCs w:val="22"/>
        </w:rPr>
      </w:pPr>
      <w:r w:rsidRPr="006D05D7">
        <w:rPr>
          <w:sz w:val="22"/>
          <w:szCs w:val="22"/>
        </w:rPr>
        <w:t xml:space="preserve">c) przejęcie praw i obowiązków PZOI nie generuje </w:t>
      </w:r>
      <w:proofErr w:type="spellStart"/>
      <w:r w:rsidRPr="006D05D7">
        <w:rPr>
          <w:sz w:val="22"/>
          <w:szCs w:val="22"/>
        </w:rPr>
        <w:t>ryzyk</w:t>
      </w:r>
      <w:proofErr w:type="spellEnd"/>
      <w:r w:rsidRPr="006D05D7">
        <w:rPr>
          <w:sz w:val="22"/>
          <w:szCs w:val="22"/>
        </w:rPr>
        <w:t xml:space="preserve"> dla działalności operacyjnej Emitenta, </w:t>
      </w:r>
    </w:p>
    <w:p w:rsidR="00FC4724" w:rsidRDefault="00517411" w:rsidP="00517411">
      <w:pPr>
        <w:jc w:val="both"/>
        <w:rPr>
          <w:sz w:val="22"/>
          <w:szCs w:val="22"/>
        </w:rPr>
      </w:pPr>
      <w:r w:rsidRPr="006D05D7">
        <w:rPr>
          <w:sz w:val="22"/>
          <w:szCs w:val="22"/>
        </w:rPr>
        <w:t>d) w efekcie połączenia aktywa netto Emitenta ulegną zwiększeniu o</w:t>
      </w:r>
      <w:r w:rsidR="0035142A">
        <w:rPr>
          <w:sz w:val="22"/>
          <w:szCs w:val="22"/>
        </w:rPr>
        <w:t xml:space="preserve"> ok.</w:t>
      </w:r>
      <w:r w:rsidRPr="006D05D7">
        <w:rPr>
          <w:sz w:val="22"/>
          <w:szCs w:val="22"/>
        </w:rPr>
        <w:t xml:space="preserve"> 17,</w:t>
      </w:r>
      <w:r w:rsidR="0035142A">
        <w:rPr>
          <w:sz w:val="22"/>
          <w:szCs w:val="22"/>
        </w:rPr>
        <w:t>6</w:t>
      </w:r>
      <w:r w:rsidRPr="006D05D7">
        <w:rPr>
          <w:sz w:val="22"/>
          <w:szCs w:val="22"/>
        </w:rPr>
        <w:t xml:space="preserve"> mln zł stanowiących wartość kapitałów własnych PZOI, co zostanie wykazane w jednostkowym sprawozdaniu finansowym oraz skonsolidowanym sprawozdaniu z całkowitych dochodów Emitenta.</w:t>
      </w:r>
    </w:p>
    <w:p w:rsidR="00517411" w:rsidRPr="006D05D7" w:rsidRDefault="00FC4724" w:rsidP="00517411">
      <w:pPr>
        <w:jc w:val="both"/>
        <w:rPr>
          <w:sz w:val="22"/>
          <w:szCs w:val="22"/>
        </w:rPr>
      </w:pPr>
      <w:r>
        <w:rPr>
          <w:sz w:val="22"/>
          <w:szCs w:val="22"/>
        </w:rPr>
        <w:br/>
      </w:r>
    </w:p>
    <w:p w:rsidR="00504A18" w:rsidRPr="00733443" w:rsidRDefault="00504A18" w:rsidP="00733443">
      <w:pPr>
        <w:jc w:val="both"/>
        <w:rPr>
          <w:sz w:val="22"/>
          <w:szCs w:val="22"/>
        </w:rPr>
      </w:pPr>
    </w:p>
    <w:p w:rsidR="00D06ACE" w:rsidRPr="007F45A7" w:rsidRDefault="00D06ACE" w:rsidP="007F45A7">
      <w:pPr>
        <w:pStyle w:val="Nagwek2"/>
        <w:numPr>
          <w:ilvl w:val="0"/>
          <w:numId w:val="5"/>
        </w:numPr>
        <w:jc w:val="both"/>
        <w:rPr>
          <w:rFonts w:cs="Times New Roman"/>
        </w:rPr>
      </w:pPr>
      <w:bookmarkStart w:id="9" w:name="_Toc452388434"/>
      <w:r>
        <w:rPr>
          <w:rFonts w:cs="Times New Roman"/>
        </w:rPr>
        <w:lastRenderedPageBreak/>
        <w:t>Wybrane dane finansowe</w:t>
      </w:r>
      <w:bookmarkEnd w:id="9"/>
    </w:p>
    <w:p w:rsidR="00D06ACE" w:rsidRDefault="00D06ACE" w:rsidP="007F45A7"/>
    <w:p w:rsidR="00D26548" w:rsidRDefault="005F1D10" w:rsidP="00D26548">
      <w:pPr>
        <w:pStyle w:val="Akapitzlist"/>
        <w:numPr>
          <w:ilvl w:val="0"/>
          <w:numId w:val="38"/>
        </w:numPr>
        <w:rPr>
          <w:rFonts w:ascii="Times New Roman" w:hAnsi="Times New Roman"/>
          <w:b/>
          <w:i/>
        </w:rPr>
      </w:pPr>
      <w:r>
        <w:rPr>
          <w:rFonts w:ascii="Times New Roman" w:hAnsi="Times New Roman"/>
          <w:b/>
          <w:i/>
        </w:rPr>
        <w:t>A</w:t>
      </w:r>
      <w:r w:rsidRPr="005F1D10">
        <w:rPr>
          <w:rFonts w:ascii="Times New Roman" w:hAnsi="Times New Roman"/>
          <w:b/>
          <w:i/>
        </w:rPr>
        <w:t xml:space="preserve">) </w:t>
      </w:r>
      <w:r w:rsidR="00BF380D" w:rsidRPr="00310E3E">
        <w:rPr>
          <w:rFonts w:ascii="Times New Roman" w:hAnsi="Times New Roman"/>
          <w:b/>
          <w:i/>
        </w:rPr>
        <w:t>Skonsolidowane sprawozdanie z całkowitych dochodów</w:t>
      </w:r>
    </w:p>
    <w:tbl>
      <w:tblPr>
        <w:tblW w:w="7000" w:type="dxa"/>
        <w:tblInd w:w="70" w:type="dxa"/>
        <w:tblCellMar>
          <w:left w:w="70" w:type="dxa"/>
          <w:right w:w="70" w:type="dxa"/>
        </w:tblCellMar>
        <w:tblLook w:val="04A0" w:firstRow="1" w:lastRow="0" w:firstColumn="1" w:lastColumn="0" w:noHBand="0" w:noVBand="1"/>
      </w:tblPr>
      <w:tblGrid>
        <w:gridCol w:w="3800"/>
        <w:gridCol w:w="1600"/>
        <w:gridCol w:w="1600"/>
      </w:tblGrid>
      <w:tr w:rsidR="003D57E0" w:rsidTr="003D57E0">
        <w:trPr>
          <w:trHeight w:val="1110"/>
        </w:trPr>
        <w:tc>
          <w:tcPr>
            <w:tcW w:w="3800" w:type="dxa"/>
            <w:tcBorders>
              <w:top w:val="single" w:sz="4" w:space="0" w:color="auto"/>
              <w:left w:val="nil"/>
              <w:bottom w:val="single" w:sz="4" w:space="0" w:color="auto"/>
              <w:right w:val="nil"/>
            </w:tcBorders>
            <w:shd w:val="clear" w:color="auto" w:fill="auto"/>
            <w:vAlign w:val="bottom"/>
            <w:hideMark/>
          </w:tcPr>
          <w:p w:rsidR="003D57E0" w:rsidRDefault="003D57E0">
            <w:pPr>
              <w:jc w:val="center"/>
              <w:rPr>
                <w:sz w:val="18"/>
                <w:szCs w:val="18"/>
              </w:rPr>
            </w:pPr>
            <w:r>
              <w:rPr>
                <w:sz w:val="18"/>
                <w:szCs w:val="18"/>
              </w:rPr>
              <w:t> </w:t>
            </w:r>
          </w:p>
        </w:tc>
        <w:tc>
          <w:tcPr>
            <w:tcW w:w="1600" w:type="dxa"/>
            <w:tcBorders>
              <w:top w:val="single" w:sz="4" w:space="0" w:color="auto"/>
              <w:left w:val="nil"/>
              <w:bottom w:val="single" w:sz="4" w:space="0" w:color="auto"/>
              <w:right w:val="nil"/>
            </w:tcBorders>
            <w:shd w:val="clear" w:color="auto" w:fill="auto"/>
            <w:vAlign w:val="center"/>
            <w:hideMark/>
          </w:tcPr>
          <w:p w:rsidR="003D57E0" w:rsidRDefault="003D57E0">
            <w:pPr>
              <w:jc w:val="center"/>
              <w:rPr>
                <w:b/>
                <w:bCs/>
                <w:sz w:val="18"/>
                <w:szCs w:val="18"/>
              </w:rPr>
            </w:pPr>
            <w:r>
              <w:rPr>
                <w:b/>
                <w:bCs/>
                <w:sz w:val="18"/>
                <w:szCs w:val="18"/>
              </w:rPr>
              <w:t xml:space="preserve">6 </w:t>
            </w:r>
            <w:r w:rsidR="008D2D3A">
              <w:rPr>
                <w:b/>
                <w:bCs/>
                <w:sz w:val="18"/>
                <w:szCs w:val="18"/>
              </w:rPr>
              <w:t>miesięcy zakończonych</w:t>
            </w:r>
            <w:r>
              <w:rPr>
                <w:b/>
                <w:bCs/>
                <w:sz w:val="18"/>
                <w:szCs w:val="18"/>
              </w:rPr>
              <w:t xml:space="preserve"> 31.03.2016 r.</w:t>
            </w:r>
          </w:p>
        </w:tc>
        <w:tc>
          <w:tcPr>
            <w:tcW w:w="1600" w:type="dxa"/>
            <w:tcBorders>
              <w:top w:val="single" w:sz="4" w:space="0" w:color="auto"/>
              <w:left w:val="nil"/>
              <w:bottom w:val="single" w:sz="4" w:space="0" w:color="auto"/>
              <w:right w:val="nil"/>
            </w:tcBorders>
            <w:shd w:val="clear" w:color="auto" w:fill="auto"/>
            <w:vAlign w:val="center"/>
            <w:hideMark/>
          </w:tcPr>
          <w:p w:rsidR="003D57E0" w:rsidRDefault="003D57E0">
            <w:pPr>
              <w:jc w:val="center"/>
              <w:rPr>
                <w:b/>
                <w:bCs/>
                <w:sz w:val="18"/>
                <w:szCs w:val="18"/>
              </w:rPr>
            </w:pPr>
            <w:r>
              <w:rPr>
                <w:b/>
                <w:bCs/>
                <w:sz w:val="18"/>
                <w:szCs w:val="18"/>
              </w:rPr>
              <w:t xml:space="preserve">6 miesięcy zakończonych 31.03.2015 r.     </w:t>
            </w:r>
          </w:p>
        </w:tc>
      </w:tr>
      <w:tr w:rsidR="003D57E0" w:rsidTr="003D57E0">
        <w:trPr>
          <w:trHeight w:val="90"/>
        </w:trPr>
        <w:tc>
          <w:tcPr>
            <w:tcW w:w="3800" w:type="dxa"/>
            <w:tcBorders>
              <w:top w:val="nil"/>
              <w:left w:val="nil"/>
              <w:bottom w:val="nil"/>
              <w:right w:val="nil"/>
            </w:tcBorders>
            <w:shd w:val="clear" w:color="auto" w:fill="auto"/>
            <w:vAlign w:val="bottom"/>
            <w:hideMark/>
          </w:tcPr>
          <w:p w:rsidR="003D57E0" w:rsidRDefault="003D57E0">
            <w:pPr>
              <w:jc w:val="center"/>
              <w:rPr>
                <w:sz w:val="18"/>
                <w:szCs w:val="18"/>
              </w:rPr>
            </w:pPr>
          </w:p>
        </w:tc>
        <w:tc>
          <w:tcPr>
            <w:tcW w:w="1600" w:type="dxa"/>
            <w:tcBorders>
              <w:top w:val="nil"/>
              <w:left w:val="nil"/>
              <w:bottom w:val="nil"/>
              <w:right w:val="nil"/>
            </w:tcBorders>
            <w:shd w:val="clear" w:color="000000" w:fill="DCE6F1"/>
            <w:noWrap/>
            <w:vAlign w:val="center"/>
            <w:hideMark/>
          </w:tcPr>
          <w:p w:rsidR="003D57E0" w:rsidRDefault="003D57E0">
            <w:pPr>
              <w:rPr>
                <w:sz w:val="16"/>
                <w:szCs w:val="16"/>
              </w:rPr>
            </w:pPr>
            <w:r>
              <w:rPr>
                <w:sz w:val="16"/>
                <w:szCs w:val="16"/>
              </w:rPr>
              <w:t> </w:t>
            </w:r>
          </w:p>
        </w:tc>
        <w:tc>
          <w:tcPr>
            <w:tcW w:w="1600" w:type="dxa"/>
            <w:tcBorders>
              <w:top w:val="nil"/>
              <w:left w:val="nil"/>
              <w:bottom w:val="nil"/>
              <w:right w:val="nil"/>
            </w:tcBorders>
            <w:shd w:val="clear" w:color="auto" w:fill="auto"/>
            <w:vAlign w:val="bottom"/>
            <w:hideMark/>
          </w:tcPr>
          <w:p w:rsidR="003D57E0" w:rsidRDefault="003D57E0">
            <w:pPr>
              <w:jc w:val="center"/>
              <w:rPr>
                <w:b/>
                <w:bCs/>
                <w:sz w:val="18"/>
                <w:szCs w:val="18"/>
              </w:rPr>
            </w:pPr>
          </w:p>
        </w:tc>
      </w:tr>
      <w:tr w:rsidR="003D57E0" w:rsidTr="003D57E0">
        <w:trPr>
          <w:trHeight w:val="240"/>
        </w:trPr>
        <w:tc>
          <w:tcPr>
            <w:tcW w:w="3800" w:type="dxa"/>
            <w:tcBorders>
              <w:top w:val="nil"/>
              <w:left w:val="nil"/>
              <w:bottom w:val="nil"/>
              <w:right w:val="nil"/>
            </w:tcBorders>
            <w:shd w:val="clear" w:color="auto" w:fill="auto"/>
            <w:vAlign w:val="center"/>
            <w:hideMark/>
          </w:tcPr>
          <w:p w:rsidR="003D57E0" w:rsidRPr="003D57E0" w:rsidRDefault="003D57E0">
            <w:pPr>
              <w:rPr>
                <w:sz w:val="16"/>
                <w:szCs w:val="16"/>
              </w:rPr>
            </w:pPr>
            <w:r w:rsidRPr="003D57E0">
              <w:rPr>
                <w:sz w:val="16"/>
                <w:szCs w:val="16"/>
              </w:rPr>
              <w:t>Przychody ze sprzedaży</w:t>
            </w:r>
          </w:p>
        </w:tc>
        <w:tc>
          <w:tcPr>
            <w:tcW w:w="1600" w:type="dxa"/>
            <w:tcBorders>
              <w:top w:val="nil"/>
              <w:left w:val="nil"/>
              <w:bottom w:val="nil"/>
              <w:right w:val="nil"/>
            </w:tcBorders>
            <w:shd w:val="clear" w:color="000000" w:fill="DCE6F1"/>
            <w:noWrap/>
            <w:vAlign w:val="center"/>
            <w:hideMark/>
          </w:tcPr>
          <w:p w:rsidR="003D57E0" w:rsidRDefault="003D57E0">
            <w:pPr>
              <w:jc w:val="right"/>
              <w:rPr>
                <w:sz w:val="16"/>
                <w:szCs w:val="16"/>
              </w:rPr>
            </w:pPr>
            <w:r>
              <w:rPr>
                <w:sz w:val="16"/>
                <w:szCs w:val="16"/>
              </w:rPr>
              <w:t>10 808</w:t>
            </w:r>
          </w:p>
        </w:tc>
        <w:tc>
          <w:tcPr>
            <w:tcW w:w="1600" w:type="dxa"/>
            <w:tcBorders>
              <w:top w:val="nil"/>
              <w:left w:val="nil"/>
              <w:bottom w:val="nil"/>
              <w:right w:val="nil"/>
            </w:tcBorders>
            <w:shd w:val="clear" w:color="auto" w:fill="auto"/>
            <w:noWrap/>
            <w:vAlign w:val="center"/>
            <w:hideMark/>
          </w:tcPr>
          <w:p w:rsidR="003D57E0" w:rsidRDefault="003D57E0">
            <w:pPr>
              <w:jc w:val="right"/>
              <w:rPr>
                <w:sz w:val="16"/>
                <w:szCs w:val="16"/>
              </w:rPr>
            </w:pPr>
            <w:r>
              <w:rPr>
                <w:sz w:val="16"/>
                <w:szCs w:val="16"/>
              </w:rPr>
              <w:t>34 499</w:t>
            </w:r>
          </w:p>
        </w:tc>
      </w:tr>
      <w:tr w:rsidR="003D57E0" w:rsidTr="003D57E0">
        <w:trPr>
          <w:trHeight w:val="240"/>
        </w:trPr>
        <w:tc>
          <w:tcPr>
            <w:tcW w:w="3800" w:type="dxa"/>
            <w:tcBorders>
              <w:top w:val="nil"/>
              <w:left w:val="nil"/>
              <w:bottom w:val="nil"/>
              <w:right w:val="nil"/>
            </w:tcBorders>
            <w:shd w:val="clear" w:color="auto" w:fill="auto"/>
            <w:vAlign w:val="center"/>
            <w:hideMark/>
          </w:tcPr>
          <w:p w:rsidR="003D57E0" w:rsidRPr="003D57E0" w:rsidRDefault="003D57E0">
            <w:pPr>
              <w:rPr>
                <w:color w:val="000000"/>
                <w:sz w:val="16"/>
                <w:szCs w:val="16"/>
              </w:rPr>
            </w:pPr>
            <w:r w:rsidRPr="003D57E0">
              <w:rPr>
                <w:color w:val="000000"/>
                <w:sz w:val="16"/>
                <w:szCs w:val="16"/>
              </w:rPr>
              <w:t>Koszt własny sprzedaży</w:t>
            </w:r>
          </w:p>
        </w:tc>
        <w:tc>
          <w:tcPr>
            <w:tcW w:w="1600" w:type="dxa"/>
            <w:tcBorders>
              <w:top w:val="nil"/>
              <w:left w:val="nil"/>
              <w:bottom w:val="nil"/>
              <w:right w:val="nil"/>
            </w:tcBorders>
            <w:shd w:val="clear" w:color="000000" w:fill="DCE6F1"/>
            <w:noWrap/>
            <w:vAlign w:val="center"/>
            <w:hideMark/>
          </w:tcPr>
          <w:p w:rsidR="003D57E0" w:rsidRDefault="003D57E0">
            <w:pPr>
              <w:jc w:val="right"/>
              <w:rPr>
                <w:sz w:val="16"/>
                <w:szCs w:val="16"/>
              </w:rPr>
            </w:pPr>
            <w:r>
              <w:rPr>
                <w:sz w:val="16"/>
                <w:szCs w:val="16"/>
              </w:rPr>
              <w:t>-7 982</w:t>
            </w:r>
          </w:p>
        </w:tc>
        <w:tc>
          <w:tcPr>
            <w:tcW w:w="1600" w:type="dxa"/>
            <w:tcBorders>
              <w:top w:val="nil"/>
              <w:left w:val="nil"/>
              <w:bottom w:val="nil"/>
              <w:right w:val="nil"/>
            </w:tcBorders>
            <w:shd w:val="clear" w:color="auto" w:fill="auto"/>
            <w:noWrap/>
            <w:vAlign w:val="center"/>
            <w:hideMark/>
          </w:tcPr>
          <w:p w:rsidR="003D57E0" w:rsidRDefault="003D57E0">
            <w:pPr>
              <w:jc w:val="right"/>
              <w:rPr>
                <w:sz w:val="16"/>
                <w:szCs w:val="16"/>
              </w:rPr>
            </w:pPr>
            <w:r>
              <w:rPr>
                <w:sz w:val="16"/>
                <w:szCs w:val="16"/>
              </w:rPr>
              <w:t>-21 851</w:t>
            </w:r>
          </w:p>
        </w:tc>
      </w:tr>
      <w:tr w:rsidR="003D57E0" w:rsidTr="003D57E0">
        <w:trPr>
          <w:trHeight w:val="270"/>
        </w:trPr>
        <w:tc>
          <w:tcPr>
            <w:tcW w:w="3800" w:type="dxa"/>
            <w:tcBorders>
              <w:top w:val="nil"/>
              <w:left w:val="nil"/>
              <w:bottom w:val="nil"/>
              <w:right w:val="nil"/>
            </w:tcBorders>
            <w:shd w:val="clear" w:color="auto" w:fill="auto"/>
            <w:vAlign w:val="center"/>
            <w:hideMark/>
          </w:tcPr>
          <w:p w:rsidR="003D57E0" w:rsidRPr="003D57E0" w:rsidRDefault="003D57E0">
            <w:pPr>
              <w:rPr>
                <w:color w:val="000000"/>
                <w:sz w:val="16"/>
                <w:szCs w:val="16"/>
              </w:rPr>
            </w:pPr>
            <w:r w:rsidRPr="003D57E0">
              <w:rPr>
                <w:color w:val="000000"/>
                <w:sz w:val="16"/>
                <w:szCs w:val="16"/>
              </w:rPr>
              <w:t>Zysk (strata) brutto ze sprzedaży</w:t>
            </w:r>
          </w:p>
        </w:tc>
        <w:tc>
          <w:tcPr>
            <w:tcW w:w="1600" w:type="dxa"/>
            <w:tcBorders>
              <w:top w:val="nil"/>
              <w:left w:val="nil"/>
              <w:bottom w:val="nil"/>
              <w:right w:val="nil"/>
            </w:tcBorders>
            <w:shd w:val="clear" w:color="000000" w:fill="DCE6F1"/>
            <w:noWrap/>
            <w:vAlign w:val="center"/>
            <w:hideMark/>
          </w:tcPr>
          <w:p w:rsidR="003D57E0" w:rsidRDefault="003D57E0">
            <w:pPr>
              <w:jc w:val="right"/>
              <w:rPr>
                <w:color w:val="000000"/>
                <w:sz w:val="16"/>
                <w:szCs w:val="16"/>
              </w:rPr>
            </w:pPr>
            <w:r>
              <w:rPr>
                <w:color w:val="000000"/>
                <w:sz w:val="16"/>
                <w:szCs w:val="16"/>
              </w:rPr>
              <w:t>2 826</w:t>
            </w:r>
          </w:p>
        </w:tc>
        <w:tc>
          <w:tcPr>
            <w:tcW w:w="1600" w:type="dxa"/>
            <w:tcBorders>
              <w:top w:val="nil"/>
              <w:left w:val="nil"/>
              <w:bottom w:val="nil"/>
              <w:right w:val="nil"/>
            </w:tcBorders>
            <w:shd w:val="clear" w:color="auto" w:fill="auto"/>
            <w:noWrap/>
            <w:vAlign w:val="center"/>
            <w:hideMark/>
          </w:tcPr>
          <w:p w:rsidR="003D57E0" w:rsidRDefault="003D57E0">
            <w:pPr>
              <w:jc w:val="right"/>
              <w:rPr>
                <w:sz w:val="16"/>
                <w:szCs w:val="16"/>
              </w:rPr>
            </w:pPr>
            <w:r>
              <w:rPr>
                <w:sz w:val="16"/>
                <w:szCs w:val="16"/>
              </w:rPr>
              <w:t>12 648</w:t>
            </w:r>
          </w:p>
        </w:tc>
      </w:tr>
      <w:tr w:rsidR="003D57E0" w:rsidTr="003D57E0">
        <w:trPr>
          <w:trHeight w:val="300"/>
        </w:trPr>
        <w:tc>
          <w:tcPr>
            <w:tcW w:w="3800" w:type="dxa"/>
            <w:tcBorders>
              <w:top w:val="nil"/>
              <w:left w:val="nil"/>
              <w:bottom w:val="nil"/>
              <w:right w:val="nil"/>
            </w:tcBorders>
            <w:shd w:val="clear" w:color="auto" w:fill="auto"/>
            <w:vAlign w:val="center"/>
            <w:hideMark/>
          </w:tcPr>
          <w:p w:rsidR="003D57E0" w:rsidRPr="003D57E0" w:rsidRDefault="003D57E0">
            <w:pPr>
              <w:rPr>
                <w:color w:val="000000"/>
                <w:sz w:val="16"/>
                <w:szCs w:val="16"/>
              </w:rPr>
            </w:pPr>
            <w:r w:rsidRPr="003D57E0">
              <w:rPr>
                <w:color w:val="000000"/>
                <w:sz w:val="16"/>
                <w:szCs w:val="16"/>
              </w:rPr>
              <w:t>Zysk (strata) ze sprzedaży</w:t>
            </w:r>
          </w:p>
        </w:tc>
        <w:tc>
          <w:tcPr>
            <w:tcW w:w="1600" w:type="dxa"/>
            <w:tcBorders>
              <w:top w:val="nil"/>
              <w:left w:val="nil"/>
              <w:bottom w:val="nil"/>
              <w:right w:val="nil"/>
            </w:tcBorders>
            <w:shd w:val="clear" w:color="000000" w:fill="DCE6F1"/>
            <w:noWrap/>
            <w:vAlign w:val="center"/>
            <w:hideMark/>
          </w:tcPr>
          <w:p w:rsidR="003D57E0" w:rsidRDefault="003D57E0">
            <w:pPr>
              <w:jc w:val="right"/>
              <w:rPr>
                <w:color w:val="000000"/>
                <w:sz w:val="16"/>
                <w:szCs w:val="16"/>
              </w:rPr>
            </w:pPr>
            <w:r>
              <w:rPr>
                <w:color w:val="000000"/>
                <w:sz w:val="16"/>
                <w:szCs w:val="16"/>
              </w:rPr>
              <w:t>-2 801</w:t>
            </w:r>
          </w:p>
        </w:tc>
        <w:tc>
          <w:tcPr>
            <w:tcW w:w="1600" w:type="dxa"/>
            <w:tcBorders>
              <w:top w:val="nil"/>
              <w:left w:val="nil"/>
              <w:bottom w:val="nil"/>
              <w:right w:val="nil"/>
            </w:tcBorders>
            <w:shd w:val="clear" w:color="auto" w:fill="auto"/>
            <w:noWrap/>
            <w:vAlign w:val="center"/>
            <w:hideMark/>
          </w:tcPr>
          <w:p w:rsidR="003D57E0" w:rsidRDefault="003D57E0">
            <w:pPr>
              <w:jc w:val="right"/>
              <w:rPr>
                <w:sz w:val="16"/>
                <w:szCs w:val="16"/>
              </w:rPr>
            </w:pPr>
            <w:r>
              <w:rPr>
                <w:sz w:val="16"/>
                <w:szCs w:val="16"/>
              </w:rPr>
              <w:t>-6 628</w:t>
            </w:r>
          </w:p>
        </w:tc>
      </w:tr>
      <w:tr w:rsidR="003D57E0" w:rsidTr="003D57E0">
        <w:trPr>
          <w:trHeight w:val="240"/>
        </w:trPr>
        <w:tc>
          <w:tcPr>
            <w:tcW w:w="3800" w:type="dxa"/>
            <w:tcBorders>
              <w:top w:val="nil"/>
              <w:left w:val="nil"/>
              <w:bottom w:val="nil"/>
              <w:right w:val="nil"/>
            </w:tcBorders>
            <w:shd w:val="clear" w:color="auto" w:fill="auto"/>
            <w:vAlign w:val="center"/>
            <w:hideMark/>
          </w:tcPr>
          <w:p w:rsidR="003D57E0" w:rsidRPr="003D57E0" w:rsidRDefault="003D57E0">
            <w:pPr>
              <w:rPr>
                <w:color w:val="000000"/>
                <w:sz w:val="16"/>
                <w:szCs w:val="16"/>
              </w:rPr>
            </w:pPr>
            <w:r w:rsidRPr="003D57E0">
              <w:rPr>
                <w:color w:val="000000"/>
                <w:sz w:val="16"/>
                <w:szCs w:val="16"/>
              </w:rPr>
              <w:t>Zysk (strata) z działalności operacyjnej</w:t>
            </w:r>
          </w:p>
        </w:tc>
        <w:tc>
          <w:tcPr>
            <w:tcW w:w="1600" w:type="dxa"/>
            <w:tcBorders>
              <w:top w:val="nil"/>
              <w:left w:val="nil"/>
              <w:bottom w:val="nil"/>
              <w:right w:val="nil"/>
            </w:tcBorders>
            <w:shd w:val="clear" w:color="000000" w:fill="DCE6F1"/>
            <w:noWrap/>
            <w:vAlign w:val="center"/>
            <w:hideMark/>
          </w:tcPr>
          <w:p w:rsidR="003D57E0" w:rsidRDefault="003D57E0">
            <w:pPr>
              <w:jc w:val="right"/>
              <w:rPr>
                <w:color w:val="000000"/>
                <w:sz w:val="16"/>
                <w:szCs w:val="16"/>
              </w:rPr>
            </w:pPr>
            <w:r>
              <w:rPr>
                <w:color w:val="000000"/>
                <w:sz w:val="16"/>
                <w:szCs w:val="16"/>
              </w:rPr>
              <w:t>2 233</w:t>
            </w:r>
          </w:p>
        </w:tc>
        <w:tc>
          <w:tcPr>
            <w:tcW w:w="1600" w:type="dxa"/>
            <w:tcBorders>
              <w:top w:val="nil"/>
              <w:left w:val="nil"/>
              <w:bottom w:val="nil"/>
              <w:right w:val="nil"/>
            </w:tcBorders>
            <w:shd w:val="clear" w:color="auto" w:fill="auto"/>
            <w:noWrap/>
            <w:vAlign w:val="center"/>
            <w:hideMark/>
          </w:tcPr>
          <w:p w:rsidR="003D57E0" w:rsidRDefault="003D57E0">
            <w:pPr>
              <w:jc w:val="right"/>
              <w:rPr>
                <w:sz w:val="16"/>
                <w:szCs w:val="16"/>
              </w:rPr>
            </w:pPr>
            <w:r>
              <w:rPr>
                <w:sz w:val="16"/>
                <w:szCs w:val="16"/>
              </w:rPr>
              <w:t>-6 106</w:t>
            </w:r>
          </w:p>
        </w:tc>
      </w:tr>
      <w:tr w:rsidR="003D57E0" w:rsidTr="003D57E0">
        <w:trPr>
          <w:trHeight w:val="240"/>
        </w:trPr>
        <w:tc>
          <w:tcPr>
            <w:tcW w:w="3800" w:type="dxa"/>
            <w:tcBorders>
              <w:top w:val="nil"/>
              <w:left w:val="nil"/>
              <w:bottom w:val="nil"/>
              <w:right w:val="nil"/>
            </w:tcBorders>
            <w:shd w:val="clear" w:color="auto" w:fill="auto"/>
            <w:vAlign w:val="center"/>
            <w:hideMark/>
          </w:tcPr>
          <w:p w:rsidR="003D57E0" w:rsidRPr="003D57E0" w:rsidRDefault="003D57E0">
            <w:pPr>
              <w:rPr>
                <w:color w:val="000000"/>
                <w:sz w:val="16"/>
                <w:szCs w:val="16"/>
              </w:rPr>
            </w:pPr>
            <w:r w:rsidRPr="003D57E0">
              <w:rPr>
                <w:color w:val="000000"/>
                <w:sz w:val="16"/>
                <w:szCs w:val="16"/>
              </w:rPr>
              <w:t>Zysk (strata) przed opodatkowaniem</w:t>
            </w:r>
          </w:p>
        </w:tc>
        <w:tc>
          <w:tcPr>
            <w:tcW w:w="1600" w:type="dxa"/>
            <w:tcBorders>
              <w:top w:val="nil"/>
              <w:left w:val="nil"/>
              <w:bottom w:val="nil"/>
              <w:right w:val="nil"/>
            </w:tcBorders>
            <w:shd w:val="clear" w:color="000000" w:fill="DCE6F1"/>
            <w:noWrap/>
            <w:vAlign w:val="center"/>
            <w:hideMark/>
          </w:tcPr>
          <w:p w:rsidR="003D57E0" w:rsidRDefault="003D57E0">
            <w:pPr>
              <w:jc w:val="right"/>
              <w:rPr>
                <w:sz w:val="16"/>
                <w:szCs w:val="16"/>
              </w:rPr>
            </w:pPr>
            <w:r>
              <w:rPr>
                <w:sz w:val="16"/>
                <w:szCs w:val="16"/>
              </w:rPr>
              <w:t>17 952</w:t>
            </w:r>
          </w:p>
        </w:tc>
        <w:tc>
          <w:tcPr>
            <w:tcW w:w="1600" w:type="dxa"/>
            <w:tcBorders>
              <w:top w:val="nil"/>
              <w:left w:val="nil"/>
              <w:bottom w:val="nil"/>
              <w:right w:val="nil"/>
            </w:tcBorders>
            <w:shd w:val="clear" w:color="auto" w:fill="auto"/>
            <w:noWrap/>
            <w:vAlign w:val="center"/>
            <w:hideMark/>
          </w:tcPr>
          <w:p w:rsidR="003D57E0" w:rsidRDefault="003D57E0">
            <w:pPr>
              <w:jc w:val="right"/>
              <w:rPr>
                <w:sz w:val="16"/>
                <w:szCs w:val="16"/>
              </w:rPr>
            </w:pPr>
            <w:r>
              <w:rPr>
                <w:sz w:val="16"/>
                <w:szCs w:val="16"/>
              </w:rPr>
              <w:t>-9 645</w:t>
            </w:r>
          </w:p>
        </w:tc>
      </w:tr>
      <w:tr w:rsidR="003D57E0" w:rsidTr="003D57E0">
        <w:trPr>
          <w:trHeight w:val="240"/>
        </w:trPr>
        <w:tc>
          <w:tcPr>
            <w:tcW w:w="3800" w:type="dxa"/>
            <w:tcBorders>
              <w:top w:val="nil"/>
              <w:left w:val="nil"/>
              <w:bottom w:val="nil"/>
              <w:right w:val="nil"/>
            </w:tcBorders>
            <w:shd w:val="clear" w:color="auto" w:fill="auto"/>
            <w:vAlign w:val="center"/>
            <w:hideMark/>
          </w:tcPr>
          <w:p w:rsidR="003D57E0" w:rsidRPr="003D57E0" w:rsidRDefault="003D57E0">
            <w:pPr>
              <w:rPr>
                <w:color w:val="000000"/>
                <w:sz w:val="16"/>
                <w:szCs w:val="16"/>
              </w:rPr>
            </w:pPr>
            <w:r w:rsidRPr="003D57E0">
              <w:rPr>
                <w:color w:val="000000"/>
                <w:sz w:val="16"/>
                <w:szCs w:val="16"/>
              </w:rPr>
              <w:t>Podatek dochodowy</w:t>
            </w:r>
          </w:p>
        </w:tc>
        <w:tc>
          <w:tcPr>
            <w:tcW w:w="1600" w:type="dxa"/>
            <w:tcBorders>
              <w:top w:val="nil"/>
              <w:left w:val="nil"/>
              <w:bottom w:val="nil"/>
              <w:right w:val="nil"/>
            </w:tcBorders>
            <w:shd w:val="clear" w:color="000000" w:fill="DCE6F1"/>
            <w:noWrap/>
            <w:vAlign w:val="center"/>
            <w:hideMark/>
          </w:tcPr>
          <w:p w:rsidR="003D57E0" w:rsidRDefault="003D57E0">
            <w:pPr>
              <w:jc w:val="right"/>
              <w:rPr>
                <w:color w:val="000000"/>
                <w:sz w:val="16"/>
                <w:szCs w:val="16"/>
              </w:rPr>
            </w:pPr>
            <w:r>
              <w:rPr>
                <w:color w:val="000000"/>
                <w:sz w:val="16"/>
                <w:szCs w:val="16"/>
              </w:rPr>
              <w:t>764</w:t>
            </w:r>
          </w:p>
        </w:tc>
        <w:tc>
          <w:tcPr>
            <w:tcW w:w="1600" w:type="dxa"/>
            <w:tcBorders>
              <w:top w:val="nil"/>
              <w:left w:val="nil"/>
              <w:bottom w:val="nil"/>
              <w:right w:val="nil"/>
            </w:tcBorders>
            <w:shd w:val="clear" w:color="auto" w:fill="auto"/>
            <w:noWrap/>
            <w:vAlign w:val="center"/>
            <w:hideMark/>
          </w:tcPr>
          <w:p w:rsidR="003D57E0" w:rsidRDefault="003D57E0">
            <w:pPr>
              <w:jc w:val="right"/>
              <w:rPr>
                <w:sz w:val="16"/>
                <w:szCs w:val="16"/>
              </w:rPr>
            </w:pPr>
            <w:r>
              <w:rPr>
                <w:sz w:val="16"/>
                <w:szCs w:val="16"/>
              </w:rPr>
              <w:t>-259</w:t>
            </w:r>
          </w:p>
        </w:tc>
      </w:tr>
      <w:tr w:rsidR="003D57E0" w:rsidTr="003D57E0">
        <w:trPr>
          <w:trHeight w:val="240"/>
        </w:trPr>
        <w:tc>
          <w:tcPr>
            <w:tcW w:w="3800" w:type="dxa"/>
            <w:tcBorders>
              <w:top w:val="nil"/>
              <w:left w:val="nil"/>
              <w:bottom w:val="nil"/>
              <w:right w:val="nil"/>
            </w:tcBorders>
            <w:shd w:val="clear" w:color="auto" w:fill="auto"/>
            <w:vAlign w:val="center"/>
            <w:hideMark/>
          </w:tcPr>
          <w:p w:rsidR="003D57E0" w:rsidRPr="003D57E0" w:rsidRDefault="003D57E0">
            <w:pPr>
              <w:rPr>
                <w:sz w:val="16"/>
                <w:szCs w:val="16"/>
              </w:rPr>
            </w:pPr>
            <w:r w:rsidRPr="003D57E0">
              <w:rPr>
                <w:sz w:val="16"/>
                <w:szCs w:val="16"/>
              </w:rPr>
              <w:t>Zysk (strata) netto za okres</w:t>
            </w:r>
          </w:p>
        </w:tc>
        <w:tc>
          <w:tcPr>
            <w:tcW w:w="1600" w:type="dxa"/>
            <w:tcBorders>
              <w:top w:val="nil"/>
              <w:left w:val="nil"/>
              <w:bottom w:val="nil"/>
              <w:right w:val="nil"/>
            </w:tcBorders>
            <w:shd w:val="clear" w:color="000000" w:fill="DCE6F1"/>
            <w:noWrap/>
            <w:vAlign w:val="center"/>
            <w:hideMark/>
          </w:tcPr>
          <w:p w:rsidR="003D57E0" w:rsidRDefault="003D57E0">
            <w:pPr>
              <w:jc w:val="right"/>
              <w:rPr>
                <w:sz w:val="16"/>
                <w:szCs w:val="16"/>
              </w:rPr>
            </w:pPr>
            <w:r>
              <w:rPr>
                <w:sz w:val="16"/>
                <w:szCs w:val="16"/>
              </w:rPr>
              <w:t>18 716</w:t>
            </w:r>
          </w:p>
        </w:tc>
        <w:tc>
          <w:tcPr>
            <w:tcW w:w="1600" w:type="dxa"/>
            <w:tcBorders>
              <w:top w:val="nil"/>
              <w:left w:val="nil"/>
              <w:bottom w:val="nil"/>
              <w:right w:val="nil"/>
            </w:tcBorders>
            <w:shd w:val="clear" w:color="auto" w:fill="auto"/>
            <w:noWrap/>
            <w:vAlign w:val="center"/>
            <w:hideMark/>
          </w:tcPr>
          <w:p w:rsidR="003D57E0" w:rsidRDefault="003D57E0">
            <w:pPr>
              <w:jc w:val="right"/>
              <w:rPr>
                <w:sz w:val="16"/>
                <w:szCs w:val="16"/>
              </w:rPr>
            </w:pPr>
            <w:r>
              <w:rPr>
                <w:sz w:val="16"/>
                <w:szCs w:val="16"/>
              </w:rPr>
              <w:t>-9 904</w:t>
            </w:r>
          </w:p>
        </w:tc>
      </w:tr>
      <w:tr w:rsidR="003D57E0" w:rsidTr="003D57E0">
        <w:trPr>
          <w:trHeight w:val="450"/>
        </w:trPr>
        <w:tc>
          <w:tcPr>
            <w:tcW w:w="3800" w:type="dxa"/>
            <w:tcBorders>
              <w:top w:val="nil"/>
              <w:left w:val="nil"/>
              <w:bottom w:val="nil"/>
              <w:right w:val="nil"/>
            </w:tcBorders>
            <w:shd w:val="clear" w:color="auto" w:fill="auto"/>
            <w:vAlign w:val="center"/>
            <w:hideMark/>
          </w:tcPr>
          <w:p w:rsidR="003D57E0" w:rsidRPr="003D57E0" w:rsidRDefault="003D57E0">
            <w:pPr>
              <w:rPr>
                <w:sz w:val="16"/>
                <w:szCs w:val="16"/>
              </w:rPr>
            </w:pPr>
            <w:r w:rsidRPr="003D57E0">
              <w:rPr>
                <w:sz w:val="16"/>
                <w:szCs w:val="16"/>
              </w:rPr>
              <w:t>Zysk (strata) za okres przypadający na akcjonariuszy Emitenta</w:t>
            </w:r>
          </w:p>
        </w:tc>
        <w:tc>
          <w:tcPr>
            <w:tcW w:w="1600" w:type="dxa"/>
            <w:tcBorders>
              <w:top w:val="nil"/>
              <w:left w:val="nil"/>
              <w:bottom w:val="nil"/>
              <w:right w:val="nil"/>
            </w:tcBorders>
            <w:shd w:val="clear" w:color="000000" w:fill="DCE6F1"/>
            <w:noWrap/>
            <w:vAlign w:val="center"/>
            <w:hideMark/>
          </w:tcPr>
          <w:p w:rsidR="003D57E0" w:rsidRDefault="003D57E0">
            <w:pPr>
              <w:jc w:val="right"/>
              <w:rPr>
                <w:sz w:val="16"/>
                <w:szCs w:val="16"/>
              </w:rPr>
            </w:pPr>
            <w:r>
              <w:rPr>
                <w:sz w:val="16"/>
                <w:szCs w:val="16"/>
              </w:rPr>
              <w:t>18 625</w:t>
            </w:r>
          </w:p>
        </w:tc>
        <w:tc>
          <w:tcPr>
            <w:tcW w:w="1600" w:type="dxa"/>
            <w:tcBorders>
              <w:top w:val="nil"/>
              <w:left w:val="nil"/>
              <w:bottom w:val="nil"/>
              <w:right w:val="nil"/>
            </w:tcBorders>
            <w:shd w:val="clear" w:color="auto" w:fill="auto"/>
            <w:noWrap/>
            <w:vAlign w:val="center"/>
            <w:hideMark/>
          </w:tcPr>
          <w:p w:rsidR="003D57E0" w:rsidRDefault="003D57E0">
            <w:pPr>
              <w:jc w:val="right"/>
              <w:rPr>
                <w:sz w:val="16"/>
                <w:szCs w:val="16"/>
              </w:rPr>
            </w:pPr>
            <w:r>
              <w:rPr>
                <w:sz w:val="16"/>
                <w:szCs w:val="16"/>
              </w:rPr>
              <w:t>-8 890</w:t>
            </w:r>
          </w:p>
        </w:tc>
      </w:tr>
    </w:tbl>
    <w:p w:rsidR="003D57E0" w:rsidRDefault="003D57E0" w:rsidP="003D57E0">
      <w:pPr>
        <w:rPr>
          <w:b/>
          <w:i/>
        </w:rPr>
      </w:pPr>
    </w:p>
    <w:p w:rsidR="00B41FFF" w:rsidRDefault="003F4EE3" w:rsidP="008D7221">
      <w:pPr>
        <w:ind w:right="-108"/>
        <w:jc w:val="both"/>
        <w:rPr>
          <w:sz w:val="22"/>
        </w:rPr>
      </w:pPr>
      <w:r>
        <w:rPr>
          <w:sz w:val="22"/>
        </w:rPr>
        <w:t xml:space="preserve">Przychody z działalności deweloperskiej w okresie objętym </w:t>
      </w:r>
      <w:r w:rsidR="008D2D3A">
        <w:rPr>
          <w:sz w:val="22"/>
        </w:rPr>
        <w:t>sprawozdaniem wyniosły</w:t>
      </w:r>
      <w:r>
        <w:rPr>
          <w:sz w:val="22"/>
        </w:rPr>
        <w:t xml:space="preserve"> 5 082 tys. zł </w:t>
      </w:r>
      <w:r w:rsidR="005F1D10">
        <w:rPr>
          <w:sz w:val="22"/>
        </w:rPr>
        <w:br/>
      </w:r>
      <w:r>
        <w:rPr>
          <w:sz w:val="22"/>
        </w:rPr>
        <w:t>i stanowiły 47% przychodów grupy</w:t>
      </w:r>
      <w:r w:rsidRPr="005F1D10">
        <w:rPr>
          <w:sz w:val="22"/>
        </w:rPr>
        <w:t>.</w:t>
      </w:r>
      <w:r w:rsidR="00540CFE" w:rsidRPr="005F1D10">
        <w:rPr>
          <w:rFonts w:eastAsia="Calibri"/>
          <w:sz w:val="22"/>
          <w:szCs w:val="22"/>
        </w:rPr>
        <w:t xml:space="preserve"> W </w:t>
      </w:r>
      <w:r w:rsidR="005F1D10">
        <w:rPr>
          <w:rFonts w:eastAsia="Calibri"/>
          <w:sz w:val="22"/>
          <w:szCs w:val="22"/>
        </w:rPr>
        <w:t xml:space="preserve">raportowanym </w:t>
      </w:r>
      <w:r w:rsidR="00540CFE" w:rsidRPr="005F1D10">
        <w:rPr>
          <w:rFonts w:eastAsia="Calibri"/>
          <w:sz w:val="22"/>
          <w:szCs w:val="22"/>
        </w:rPr>
        <w:t xml:space="preserve">okresie prezentowały się one na niższym poziomie niż w okresie </w:t>
      </w:r>
      <w:r w:rsidR="00EB1A55" w:rsidRPr="005F1D10">
        <w:rPr>
          <w:rFonts w:eastAsia="Calibri"/>
          <w:sz w:val="22"/>
          <w:szCs w:val="22"/>
        </w:rPr>
        <w:t>poprzednim</w:t>
      </w:r>
      <w:r w:rsidR="00540CFE" w:rsidRPr="005F1D10">
        <w:rPr>
          <w:rFonts w:eastAsia="Calibri"/>
          <w:sz w:val="22"/>
          <w:szCs w:val="22"/>
        </w:rPr>
        <w:t xml:space="preserve">, z uwagi na praktycznie całkowitą sprzedaż oferty </w:t>
      </w:r>
      <w:r w:rsidR="005F1D10">
        <w:rPr>
          <w:rFonts w:eastAsia="Calibri"/>
          <w:sz w:val="22"/>
          <w:szCs w:val="22"/>
        </w:rPr>
        <w:br/>
      </w:r>
      <w:r w:rsidR="00540CFE" w:rsidRPr="005F1D10">
        <w:rPr>
          <w:rFonts w:eastAsia="Calibri"/>
          <w:sz w:val="22"/>
          <w:szCs w:val="22"/>
        </w:rPr>
        <w:t xml:space="preserve">w </w:t>
      </w:r>
      <w:r w:rsidR="008D2D3A" w:rsidRPr="005F1D10">
        <w:rPr>
          <w:rFonts w:eastAsia="Calibri"/>
          <w:sz w:val="22"/>
          <w:szCs w:val="22"/>
        </w:rPr>
        <w:t>zakończonych budynkach</w:t>
      </w:r>
      <w:r w:rsidR="00540CFE" w:rsidRPr="005F1D10">
        <w:rPr>
          <w:rFonts w:eastAsia="Calibri"/>
          <w:sz w:val="22"/>
          <w:szCs w:val="22"/>
        </w:rPr>
        <w:t xml:space="preserve">. </w:t>
      </w:r>
      <w:r w:rsidR="00540CFE" w:rsidRPr="005F1D10">
        <w:rPr>
          <w:sz w:val="22"/>
        </w:rPr>
        <w:t>W okresie objętym sprawozdaniem nie</w:t>
      </w:r>
      <w:r w:rsidR="005F1D10">
        <w:rPr>
          <w:sz w:val="22"/>
        </w:rPr>
        <w:t xml:space="preserve"> przekazano i</w:t>
      </w:r>
      <w:r w:rsidR="00540CFE" w:rsidRPr="005F1D10">
        <w:rPr>
          <w:sz w:val="22"/>
        </w:rPr>
        <w:t xml:space="preserve"> rozliczono </w:t>
      </w:r>
      <w:r w:rsidR="005F1D10">
        <w:rPr>
          <w:sz w:val="22"/>
        </w:rPr>
        <w:t xml:space="preserve">żadnego </w:t>
      </w:r>
    </w:p>
    <w:p w:rsidR="00A14193" w:rsidRPr="005F1D10" w:rsidRDefault="005F1D10" w:rsidP="008D7221">
      <w:pPr>
        <w:ind w:right="-108"/>
        <w:jc w:val="both"/>
        <w:rPr>
          <w:sz w:val="22"/>
          <w:szCs w:val="22"/>
        </w:rPr>
      </w:pPr>
      <w:r>
        <w:rPr>
          <w:sz w:val="22"/>
        </w:rPr>
        <w:t xml:space="preserve">z </w:t>
      </w:r>
      <w:r w:rsidR="00540CFE" w:rsidRPr="005F1D10">
        <w:rPr>
          <w:sz w:val="22"/>
        </w:rPr>
        <w:t xml:space="preserve">prowadzonych projektów deweloperskich, ich zakończenie planowane jest </w:t>
      </w:r>
      <w:r w:rsidR="00A635EA" w:rsidRPr="005F1D10">
        <w:rPr>
          <w:sz w:val="22"/>
        </w:rPr>
        <w:t>w latach kolejnych.</w:t>
      </w:r>
      <w:r w:rsidR="00F34B65" w:rsidRPr="005F1D10">
        <w:rPr>
          <w:rFonts w:eastAsia="Calibri"/>
          <w:sz w:val="22"/>
          <w:szCs w:val="22"/>
        </w:rPr>
        <w:t xml:space="preserve"> </w:t>
      </w:r>
      <w:r w:rsidR="00BE60FC" w:rsidRPr="005F1D10">
        <w:rPr>
          <w:sz w:val="22"/>
          <w:szCs w:val="22"/>
        </w:rPr>
        <w:t xml:space="preserve">Obecnie w ofercie znajdują się budynki Wars oraz </w:t>
      </w:r>
      <w:r w:rsidR="008D2669" w:rsidRPr="005F1D10">
        <w:rPr>
          <w:sz w:val="22"/>
          <w:szCs w:val="22"/>
        </w:rPr>
        <w:t>Feniks</w:t>
      </w:r>
      <w:r w:rsidR="00BE60FC" w:rsidRPr="005F1D10">
        <w:rPr>
          <w:sz w:val="22"/>
          <w:szCs w:val="22"/>
        </w:rPr>
        <w:t xml:space="preserve"> w Warszawie oraz Dobra Forma I </w:t>
      </w:r>
      <w:r w:rsidR="00B41FFF">
        <w:rPr>
          <w:sz w:val="22"/>
          <w:szCs w:val="22"/>
        </w:rPr>
        <w:br/>
      </w:r>
      <w:r w:rsidR="00BE60FC" w:rsidRPr="005F1D10">
        <w:rPr>
          <w:sz w:val="22"/>
          <w:szCs w:val="22"/>
        </w:rPr>
        <w:t>w Krakowie. Poziom sprzedaży mieszkań, w najbardziej zaawansowanym projekcie – Wars, wynosi ponad 70%</w:t>
      </w:r>
      <w:r w:rsidR="008D2669" w:rsidRPr="005F1D10">
        <w:rPr>
          <w:sz w:val="22"/>
          <w:szCs w:val="22"/>
        </w:rPr>
        <w:t xml:space="preserve"> (planowany termin oddania budynku do użytkowania to I kwartał 2017 r.)</w:t>
      </w:r>
      <w:r w:rsidR="00BE60FC" w:rsidRPr="005F1D10">
        <w:rPr>
          <w:sz w:val="22"/>
          <w:szCs w:val="22"/>
        </w:rPr>
        <w:t xml:space="preserve">. </w:t>
      </w:r>
      <w:r w:rsidR="00027133" w:rsidRPr="005F1D10">
        <w:rPr>
          <w:sz w:val="22"/>
          <w:szCs w:val="22"/>
        </w:rPr>
        <w:t xml:space="preserve">Zgodnie </w:t>
      </w:r>
      <w:r w:rsidR="00B41FFF">
        <w:rPr>
          <w:sz w:val="22"/>
          <w:szCs w:val="22"/>
        </w:rPr>
        <w:br/>
      </w:r>
      <w:r w:rsidR="00027133" w:rsidRPr="005F1D10">
        <w:rPr>
          <w:sz w:val="22"/>
          <w:szCs w:val="22"/>
        </w:rPr>
        <w:t>z polityką rachunkowości Grupy, tylko mieszkania z podpisanym końcowym aktem przenoszącym własność lokalu są wykazywane w wyniku Grupy.</w:t>
      </w:r>
      <w:r w:rsidR="00A14193" w:rsidRPr="005F1D10">
        <w:rPr>
          <w:sz w:val="22"/>
          <w:szCs w:val="22"/>
        </w:rPr>
        <w:t xml:space="preserve"> </w:t>
      </w:r>
      <w:r w:rsidR="008D7221" w:rsidRPr="005F1D10">
        <w:rPr>
          <w:sz w:val="22"/>
        </w:rPr>
        <w:t xml:space="preserve">Przychody z najmu powierzchni 4 211 tys. zł i stanowiły 39% ogółu przychodów. </w:t>
      </w:r>
    </w:p>
    <w:p w:rsidR="00A14193" w:rsidRPr="005F1D10" w:rsidRDefault="00A14193" w:rsidP="008D7221">
      <w:pPr>
        <w:ind w:right="-108"/>
        <w:jc w:val="both"/>
        <w:rPr>
          <w:sz w:val="22"/>
        </w:rPr>
      </w:pPr>
    </w:p>
    <w:p w:rsidR="008D7221" w:rsidRDefault="008D7221" w:rsidP="008D7221">
      <w:pPr>
        <w:ind w:right="-108"/>
        <w:jc w:val="both"/>
        <w:rPr>
          <w:sz w:val="22"/>
        </w:rPr>
      </w:pPr>
      <w:r w:rsidRPr="005F1D10">
        <w:rPr>
          <w:sz w:val="22"/>
        </w:rPr>
        <w:t xml:space="preserve">Z uwagi </w:t>
      </w:r>
      <w:r>
        <w:rPr>
          <w:sz w:val="22"/>
        </w:rPr>
        <w:t>na wyłącznie</w:t>
      </w:r>
      <w:r w:rsidR="00D61462">
        <w:rPr>
          <w:sz w:val="22"/>
        </w:rPr>
        <w:t xml:space="preserve"> </w:t>
      </w:r>
      <w:r>
        <w:rPr>
          <w:sz w:val="22"/>
        </w:rPr>
        <w:t xml:space="preserve">z konsolidacji spółki Próchnik S.A. nie odnotowano przychodów ze sprzedaży produktów oraz sprzedaży towarów i materiałów, które w okresie 6 miesięcy zakończonych w marcu 2015 r., stanowił odpowiednio 40% i </w:t>
      </w:r>
      <w:r w:rsidR="00A14193">
        <w:rPr>
          <w:sz w:val="22"/>
        </w:rPr>
        <w:t>19% przychodów ze sprzedaży.</w:t>
      </w:r>
    </w:p>
    <w:p w:rsidR="008B3A61" w:rsidRDefault="008B3A61" w:rsidP="008D7221">
      <w:pPr>
        <w:ind w:right="-108"/>
        <w:jc w:val="both"/>
        <w:rPr>
          <w:rFonts w:eastAsia="Calibri"/>
          <w:color w:val="FF0000"/>
          <w:sz w:val="22"/>
          <w:szCs w:val="22"/>
          <w:highlight w:val="lightGray"/>
        </w:rPr>
      </w:pPr>
    </w:p>
    <w:tbl>
      <w:tblPr>
        <w:tblW w:w="9935" w:type="dxa"/>
        <w:tblInd w:w="-214" w:type="dxa"/>
        <w:tblCellMar>
          <w:left w:w="70" w:type="dxa"/>
          <w:right w:w="70" w:type="dxa"/>
        </w:tblCellMar>
        <w:tblLook w:val="04A0" w:firstRow="1" w:lastRow="0" w:firstColumn="1" w:lastColumn="0" w:noHBand="0" w:noVBand="1"/>
      </w:tblPr>
      <w:tblGrid>
        <w:gridCol w:w="180"/>
        <w:gridCol w:w="1095"/>
        <w:gridCol w:w="611"/>
        <w:gridCol w:w="955"/>
        <w:gridCol w:w="955"/>
        <w:gridCol w:w="1069"/>
        <w:gridCol w:w="578"/>
        <w:gridCol w:w="878"/>
        <w:gridCol w:w="1031"/>
        <w:gridCol w:w="578"/>
        <w:gridCol w:w="993"/>
        <w:gridCol w:w="1012"/>
      </w:tblGrid>
      <w:tr w:rsidR="008F5D7C" w:rsidRPr="008F5D7C" w:rsidTr="008F5D7C">
        <w:trPr>
          <w:trHeight w:val="773"/>
        </w:trPr>
        <w:tc>
          <w:tcPr>
            <w:tcW w:w="180"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color w:val="000000"/>
                <w:sz w:val="16"/>
                <w:szCs w:val="18"/>
              </w:rPr>
            </w:pPr>
            <w:r w:rsidRPr="008F5D7C">
              <w:rPr>
                <w:color w:val="000000"/>
                <w:sz w:val="16"/>
                <w:szCs w:val="18"/>
              </w:rPr>
              <w:t> </w:t>
            </w:r>
          </w:p>
        </w:tc>
        <w:tc>
          <w:tcPr>
            <w:tcW w:w="1095"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 </w:t>
            </w:r>
          </w:p>
        </w:tc>
        <w:tc>
          <w:tcPr>
            <w:tcW w:w="611"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Ilość umów</w:t>
            </w:r>
          </w:p>
        </w:tc>
        <w:tc>
          <w:tcPr>
            <w:tcW w:w="955"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Przychody</w:t>
            </w:r>
          </w:p>
        </w:tc>
        <w:tc>
          <w:tcPr>
            <w:tcW w:w="955"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KWS</w:t>
            </w:r>
          </w:p>
        </w:tc>
        <w:tc>
          <w:tcPr>
            <w:tcW w:w="1069"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marża bez kosztów sprzedaży</w:t>
            </w:r>
          </w:p>
        </w:tc>
        <w:tc>
          <w:tcPr>
            <w:tcW w:w="578"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w:t>
            </w:r>
          </w:p>
        </w:tc>
        <w:tc>
          <w:tcPr>
            <w:tcW w:w="878"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koszty sprzedaży</w:t>
            </w:r>
          </w:p>
        </w:tc>
        <w:tc>
          <w:tcPr>
            <w:tcW w:w="1031"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marża z kosztami sprzedaży</w:t>
            </w:r>
          </w:p>
        </w:tc>
        <w:tc>
          <w:tcPr>
            <w:tcW w:w="578"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w:t>
            </w:r>
          </w:p>
        </w:tc>
        <w:tc>
          <w:tcPr>
            <w:tcW w:w="993"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wartość gruntu w koszcie</w:t>
            </w:r>
          </w:p>
        </w:tc>
        <w:tc>
          <w:tcPr>
            <w:tcW w:w="1012" w:type="dxa"/>
            <w:tcBorders>
              <w:top w:val="single" w:sz="4" w:space="0" w:color="808080"/>
              <w:left w:val="nil"/>
              <w:bottom w:val="single" w:sz="8" w:space="0" w:color="808080"/>
              <w:right w:val="nil"/>
            </w:tcBorders>
            <w:shd w:val="clear" w:color="auto" w:fill="auto"/>
            <w:vAlign w:val="center"/>
            <w:hideMark/>
          </w:tcPr>
          <w:p w:rsidR="008F5D7C" w:rsidRPr="008F5D7C" w:rsidRDefault="008F5D7C">
            <w:pPr>
              <w:jc w:val="center"/>
              <w:rPr>
                <w:b/>
                <w:bCs/>
                <w:color w:val="000000"/>
                <w:sz w:val="16"/>
                <w:szCs w:val="18"/>
              </w:rPr>
            </w:pPr>
            <w:r w:rsidRPr="008F5D7C">
              <w:rPr>
                <w:b/>
                <w:bCs/>
                <w:color w:val="000000"/>
                <w:sz w:val="16"/>
                <w:szCs w:val="18"/>
              </w:rPr>
              <w:t>wpływ operacyjny netto</w:t>
            </w:r>
          </w:p>
        </w:tc>
      </w:tr>
      <w:tr w:rsidR="008F5D7C" w:rsidRPr="008F5D7C" w:rsidTr="008F5D7C">
        <w:trPr>
          <w:trHeight w:val="303"/>
        </w:trPr>
        <w:tc>
          <w:tcPr>
            <w:tcW w:w="6321" w:type="dxa"/>
            <w:gridSpan w:val="8"/>
            <w:tcBorders>
              <w:top w:val="nil"/>
              <w:left w:val="nil"/>
              <w:bottom w:val="nil"/>
              <w:right w:val="nil"/>
            </w:tcBorders>
            <w:shd w:val="clear" w:color="auto" w:fill="auto"/>
            <w:noWrap/>
            <w:vAlign w:val="bottom"/>
            <w:hideMark/>
          </w:tcPr>
          <w:p w:rsidR="008F5D7C" w:rsidRPr="008F5D7C" w:rsidRDefault="008F5D7C">
            <w:pPr>
              <w:rPr>
                <w:b/>
                <w:bCs/>
                <w:color w:val="000000"/>
                <w:sz w:val="16"/>
                <w:szCs w:val="18"/>
              </w:rPr>
            </w:pPr>
            <w:r w:rsidRPr="008F5D7C">
              <w:rPr>
                <w:b/>
                <w:bCs/>
                <w:color w:val="000000"/>
                <w:sz w:val="16"/>
                <w:szCs w:val="18"/>
              </w:rPr>
              <w:t>Wykaz umów przeniesienia własności, zaprezentowany w wyniku Grupy</w:t>
            </w:r>
          </w:p>
        </w:tc>
        <w:tc>
          <w:tcPr>
            <w:tcW w:w="1031" w:type="dxa"/>
            <w:tcBorders>
              <w:top w:val="nil"/>
              <w:left w:val="nil"/>
              <w:bottom w:val="nil"/>
              <w:right w:val="nil"/>
            </w:tcBorders>
            <w:shd w:val="clear" w:color="auto" w:fill="auto"/>
            <w:noWrap/>
            <w:vAlign w:val="center"/>
            <w:hideMark/>
          </w:tcPr>
          <w:p w:rsidR="008F5D7C" w:rsidRPr="008F5D7C" w:rsidRDefault="008F5D7C">
            <w:pPr>
              <w:jc w:val="center"/>
              <w:rPr>
                <w:i/>
                <w:iCs/>
                <w:color w:val="000000"/>
                <w:sz w:val="16"/>
                <w:szCs w:val="18"/>
              </w:rPr>
            </w:pPr>
          </w:p>
        </w:tc>
        <w:tc>
          <w:tcPr>
            <w:tcW w:w="578" w:type="dxa"/>
            <w:tcBorders>
              <w:top w:val="nil"/>
              <w:left w:val="nil"/>
              <w:bottom w:val="nil"/>
              <w:right w:val="nil"/>
            </w:tcBorders>
            <w:shd w:val="clear" w:color="auto" w:fill="auto"/>
            <w:noWrap/>
            <w:vAlign w:val="center"/>
            <w:hideMark/>
          </w:tcPr>
          <w:p w:rsidR="008F5D7C" w:rsidRPr="008F5D7C" w:rsidRDefault="008F5D7C">
            <w:pPr>
              <w:jc w:val="center"/>
              <w:rPr>
                <w:i/>
                <w:iCs/>
                <w:color w:val="000000"/>
                <w:sz w:val="16"/>
                <w:szCs w:val="18"/>
              </w:rPr>
            </w:pPr>
          </w:p>
        </w:tc>
        <w:tc>
          <w:tcPr>
            <w:tcW w:w="993" w:type="dxa"/>
            <w:tcBorders>
              <w:top w:val="nil"/>
              <w:left w:val="nil"/>
              <w:bottom w:val="nil"/>
              <w:right w:val="nil"/>
            </w:tcBorders>
            <w:shd w:val="clear" w:color="auto" w:fill="auto"/>
            <w:noWrap/>
            <w:vAlign w:val="center"/>
            <w:hideMark/>
          </w:tcPr>
          <w:p w:rsidR="008F5D7C" w:rsidRPr="008F5D7C" w:rsidRDefault="008F5D7C">
            <w:pPr>
              <w:jc w:val="center"/>
              <w:rPr>
                <w:i/>
                <w:iCs/>
                <w:color w:val="000000"/>
                <w:sz w:val="16"/>
                <w:szCs w:val="18"/>
              </w:rPr>
            </w:pPr>
          </w:p>
        </w:tc>
        <w:tc>
          <w:tcPr>
            <w:tcW w:w="1012" w:type="dxa"/>
            <w:tcBorders>
              <w:top w:val="nil"/>
              <w:left w:val="nil"/>
              <w:bottom w:val="nil"/>
              <w:right w:val="nil"/>
            </w:tcBorders>
            <w:shd w:val="clear" w:color="auto" w:fill="auto"/>
            <w:noWrap/>
            <w:vAlign w:val="center"/>
            <w:hideMark/>
          </w:tcPr>
          <w:p w:rsidR="008F5D7C" w:rsidRPr="008F5D7C" w:rsidRDefault="008F5D7C">
            <w:pPr>
              <w:jc w:val="center"/>
              <w:rPr>
                <w:i/>
                <w:iCs/>
                <w:color w:val="000000"/>
                <w:sz w:val="16"/>
                <w:szCs w:val="18"/>
              </w:rPr>
            </w:pPr>
          </w:p>
        </w:tc>
      </w:tr>
      <w:tr w:rsidR="008F5D7C" w:rsidRPr="008F5D7C" w:rsidTr="008F5D7C">
        <w:trPr>
          <w:trHeight w:val="485"/>
        </w:trPr>
        <w:tc>
          <w:tcPr>
            <w:tcW w:w="180" w:type="dxa"/>
            <w:tcBorders>
              <w:top w:val="nil"/>
              <w:left w:val="nil"/>
              <w:bottom w:val="nil"/>
              <w:right w:val="nil"/>
            </w:tcBorders>
            <w:shd w:val="clear" w:color="auto" w:fill="auto"/>
            <w:noWrap/>
            <w:vAlign w:val="bottom"/>
            <w:hideMark/>
          </w:tcPr>
          <w:p w:rsidR="008F5D7C" w:rsidRPr="008F5D7C" w:rsidRDefault="008F5D7C">
            <w:pPr>
              <w:rPr>
                <w:color w:val="000000"/>
                <w:sz w:val="16"/>
                <w:szCs w:val="18"/>
              </w:rPr>
            </w:pPr>
          </w:p>
        </w:tc>
        <w:tc>
          <w:tcPr>
            <w:tcW w:w="1095" w:type="dxa"/>
            <w:tcBorders>
              <w:top w:val="nil"/>
              <w:left w:val="nil"/>
              <w:bottom w:val="nil"/>
              <w:right w:val="nil"/>
            </w:tcBorders>
            <w:shd w:val="clear" w:color="auto" w:fill="auto"/>
            <w:vAlign w:val="center"/>
            <w:hideMark/>
          </w:tcPr>
          <w:p w:rsidR="008F5D7C" w:rsidRPr="008F5D7C" w:rsidRDefault="008F5D7C">
            <w:pPr>
              <w:rPr>
                <w:color w:val="000000"/>
                <w:sz w:val="16"/>
                <w:szCs w:val="18"/>
              </w:rPr>
            </w:pPr>
            <w:r w:rsidRPr="008F5D7C">
              <w:rPr>
                <w:color w:val="000000"/>
                <w:sz w:val="16"/>
                <w:szCs w:val="18"/>
              </w:rPr>
              <w:t xml:space="preserve">Budynek </w:t>
            </w:r>
            <w:r w:rsidR="00D26548">
              <w:rPr>
                <w:color w:val="000000"/>
                <w:sz w:val="16"/>
                <w:szCs w:val="18"/>
              </w:rPr>
              <w:br/>
            </w:r>
            <w:r w:rsidRPr="008F5D7C">
              <w:rPr>
                <w:color w:val="000000"/>
                <w:sz w:val="16"/>
                <w:szCs w:val="18"/>
              </w:rPr>
              <w:t>B i C</w:t>
            </w:r>
          </w:p>
        </w:tc>
        <w:tc>
          <w:tcPr>
            <w:tcW w:w="611" w:type="dxa"/>
            <w:tcBorders>
              <w:top w:val="nil"/>
              <w:left w:val="nil"/>
              <w:bottom w:val="nil"/>
              <w:right w:val="nil"/>
            </w:tcBorders>
            <w:shd w:val="clear" w:color="auto" w:fill="auto"/>
            <w:noWrap/>
            <w:vAlign w:val="center"/>
            <w:hideMark/>
          </w:tcPr>
          <w:p w:rsidR="008F5D7C" w:rsidRPr="008F5D7C" w:rsidRDefault="008F5D7C">
            <w:pPr>
              <w:jc w:val="right"/>
              <w:rPr>
                <w:color w:val="000000"/>
                <w:sz w:val="16"/>
                <w:szCs w:val="18"/>
              </w:rPr>
            </w:pPr>
            <w:r w:rsidRPr="008F5D7C">
              <w:rPr>
                <w:color w:val="000000"/>
                <w:sz w:val="16"/>
                <w:szCs w:val="18"/>
              </w:rPr>
              <w:t>10</w:t>
            </w:r>
          </w:p>
        </w:tc>
        <w:tc>
          <w:tcPr>
            <w:tcW w:w="955" w:type="dxa"/>
            <w:tcBorders>
              <w:top w:val="nil"/>
              <w:left w:val="nil"/>
              <w:bottom w:val="nil"/>
              <w:right w:val="nil"/>
            </w:tcBorders>
            <w:shd w:val="clear" w:color="auto" w:fill="auto"/>
            <w:noWrap/>
            <w:vAlign w:val="center"/>
            <w:hideMark/>
          </w:tcPr>
          <w:p w:rsidR="008F5D7C" w:rsidRPr="008F5D7C" w:rsidRDefault="008F5D7C">
            <w:pPr>
              <w:jc w:val="right"/>
              <w:rPr>
                <w:color w:val="000000"/>
                <w:sz w:val="16"/>
                <w:szCs w:val="18"/>
              </w:rPr>
            </w:pPr>
            <w:r w:rsidRPr="008F5D7C">
              <w:rPr>
                <w:color w:val="000000"/>
                <w:sz w:val="16"/>
                <w:szCs w:val="18"/>
              </w:rPr>
              <w:t>5 072 981</w:t>
            </w:r>
          </w:p>
        </w:tc>
        <w:tc>
          <w:tcPr>
            <w:tcW w:w="955" w:type="dxa"/>
            <w:tcBorders>
              <w:top w:val="nil"/>
              <w:left w:val="nil"/>
              <w:bottom w:val="nil"/>
              <w:right w:val="nil"/>
            </w:tcBorders>
            <w:shd w:val="clear" w:color="auto" w:fill="auto"/>
            <w:noWrap/>
            <w:vAlign w:val="center"/>
            <w:hideMark/>
          </w:tcPr>
          <w:p w:rsidR="008F5D7C" w:rsidRPr="008F5D7C" w:rsidRDefault="008F5D7C">
            <w:pPr>
              <w:jc w:val="right"/>
              <w:rPr>
                <w:color w:val="000000"/>
                <w:sz w:val="16"/>
                <w:szCs w:val="18"/>
              </w:rPr>
            </w:pPr>
            <w:r w:rsidRPr="008F5D7C">
              <w:rPr>
                <w:color w:val="000000"/>
                <w:sz w:val="16"/>
                <w:szCs w:val="18"/>
              </w:rPr>
              <w:t>-3 798 068</w:t>
            </w:r>
          </w:p>
        </w:tc>
        <w:tc>
          <w:tcPr>
            <w:tcW w:w="1069" w:type="dxa"/>
            <w:tcBorders>
              <w:top w:val="nil"/>
              <w:left w:val="nil"/>
              <w:bottom w:val="nil"/>
              <w:right w:val="nil"/>
            </w:tcBorders>
            <w:shd w:val="clear" w:color="auto" w:fill="auto"/>
            <w:noWrap/>
            <w:vAlign w:val="center"/>
            <w:hideMark/>
          </w:tcPr>
          <w:p w:rsidR="008F5D7C" w:rsidRPr="008F5D7C" w:rsidRDefault="008F5D7C">
            <w:pPr>
              <w:jc w:val="right"/>
              <w:rPr>
                <w:color w:val="000000"/>
                <w:sz w:val="16"/>
                <w:szCs w:val="18"/>
              </w:rPr>
            </w:pPr>
            <w:r w:rsidRPr="008F5D7C">
              <w:rPr>
                <w:color w:val="000000"/>
                <w:sz w:val="16"/>
                <w:szCs w:val="18"/>
              </w:rPr>
              <w:t>1 274 913</w:t>
            </w:r>
          </w:p>
        </w:tc>
        <w:tc>
          <w:tcPr>
            <w:tcW w:w="578" w:type="dxa"/>
            <w:tcBorders>
              <w:top w:val="nil"/>
              <w:left w:val="nil"/>
              <w:bottom w:val="nil"/>
              <w:right w:val="nil"/>
            </w:tcBorders>
            <w:shd w:val="clear" w:color="auto" w:fill="auto"/>
            <w:noWrap/>
            <w:vAlign w:val="center"/>
            <w:hideMark/>
          </w:tcPr>
          <w:p w:rsidR="008F5D7C" w:rsidRPr="008F5D7C" w:rsidRDefault="008F5D7C">
            <w:pPr>
              <w:jc w:val="right"/>
              <w:rPr>
                <w:color w:val="000000"/>
                <w:sz w:val="16"/>
                <w:szCs w:val="18"/>
              </w:rPr>
            </w:pPr>
            <w:r w:rsidRPr="008F5D7C">
              <w:rPr>
                <w:color w:val="000000"/>
                <w:sz w:val="16"/>
                <w:szCs w:val="18"/>
              </w:rPr>
              <w:t>25,1%</w:t>
            </w:r>
          </w:p>
        </w:tc>
        <w:tc>
          <w:tcPr>
            <w:tcW w:w="878" w:type="dxa"/>
            <w:tcBorders>
              <w:top w:val="nil"/>
              <w:left w:val="nil"/>
              <w:bottom w:val="nil"/>
              <w:right w:val="nil"/>
            </w:tcBorders>
            <w:shd w:val="clear" w:color="auto" w:fill="auto"/>
            <w:noWrap/>
            <w:vAlign w:val="center"/>
            <w:hideMark/>
          </w:tcPr>
          <w:p w:rsidR="008F5D7C" w:rsidRPr="008F5D7C" w:rsidRDefault="008F5D7C">
            <w:pPr>
              <w:jc w:val="right"/>
              <w:rPr>
                <w:color w:val="000000"/>
                <w:sz w:val="16"/>
                <w:szCs w:val="18"/>
              </w:rPr>
            </w:pPr>
            <w:r w:rsidRPr="008F5D7C">
              <w:rPr>
                <w:color w:val="000000"/>
                <w:sz w:val="16"/>
                <w:szCs w:val="18"/>
              </w:rPr>
              <w:t>-264 708</w:t>
            </w:r>
          </w:p>
        </w:tc>
        <w:tc>
          <w:tcPr>
            <w:tcW w:w="1031" w:type="dxa"/>
            <w:tcBorders>
              <w:top w:val="nil"/>
              <w:left w:val="nil"/>
              <w:bottom w:val="nil"/>
              <w:right w:val="nil"/>
            </w:tcBorders>
            <w:shd w:val="clear" w:color="auto" w:fill="auto"/>
            <w:noWrap/>
            <w:vAlign w:val="center"/>
            <w:hideMark/>
          </w:tcPr>
          <w:p w:rsidR="008F5D7C" w:rsidRPr="008F5D7C" w:rsidRDefault="008F5D7C">
            <w:pPr>
              <w:jc w:val="right"/>
              <w:rPr>
                <w:color w:val="000000"/>
                <w:sz w:val="16"/>
                <w:szCs w:val="18"/>
              </w:rPr>
            </w:pPr>
            <w:r w:rsidRPr="008F5D7C">
              <w:rPr>
                <w:color w:val="000000"/>
                <w:sz w:val="16"/>
                <w:szCs w:val="18"/>
              </w:rPr>
              <w:t>1 010 205</w:t>
            </w:r>
          </w:p>
        </w:tc>
        <w:tc>
          <w:tcPr>
            <w:tcW w:w="578" w:type="dxa"/>
            <w:tcBorders>
              <w:top w:val="nil"/>
              <w:left w:val="nil"/>
              <w:bottom w:val="nil"/>
              <w:right w:val="nil"/>
            </w:tcBorders>
            <w:shd w:val="clear" w:color="auto" w:fill="auto"/>
            <w:noWrap/>
            <w:vAlign w:val="center"/>
            <w:hideMark/>
          </w:tcPr>
          <w:p w:rsidR="008F5D7C" w:rsidRPr="008F5D7C" w:rsidRDefault="008F5D7C">
            <w:pPr>
              <w:jc w:val="right"/>
              <w:rPr>
                <w:color w:val="000000"/>
                <w:sz w:val="16"/>
                <w:szCs w:val="18"/>
              </w:rPr>
            </w:pPr>
            <w:r w:rsidRPr="008F5D7C">
              <w:rPr>
                <w:color w:val="000000"/>
                <w:sz w:val="16"/>
                <w:szCs w:val="18"/>
              </w:rPr>
              <w:t>19,9%</w:t>
            </w:r>
          </w:p>
        </w:tc>
        <w:tc>
          <w:tcPr>
            <w:tcW w:w="993" w:type="dxa"/>
            <w:tcBorders>
              <w:top w:val="nil"/>
              <w:left w:val="nil"/>
              <w:bottom w:val="nil"/>
              <w:right w:val="nil"/>
            </w:tcBorders>
            <w:shd w:val="clear" w:color="auto" w:fill="auto"/>
            <w:noWrap/>
            <w:vAlign w:val="center"/>
            <w:hideMark/>
          </w:tcPr>
          <w:p w:rsidR="008F5D7C" w:rsidRPr="008F5D7C" w:rsidRDefault="008F5D7C">
            <w:pPr>
              <w:jc w:val="right"/>
              <w:rPr>
                <w:color w:val="000000"/>
                <w:sz w:val="16"/>
                <w:szCs w:val="18"/>
              </w:rPr>
            </w:pPr>
            <w:r w:rsidRPr="008F5D7C">
              <w:rPr>
                <w:color w:val="000000"/>
                <w:sz w:val="16"/>
                <w:szCs w:val="18"/>
              </w:rPr>
              <w:t>10 048 432</w:t>
            </w:r>
          </w:p>
        </w:tc>
        <w:tc>
          <w:tcPr>
            <w:tcW w:w="1012" w:type="dxa"/>
            <w:tcBorders>
              <w:top w:val="nil"/>
              <w:left w:val="nil"/>
              <w:bottom w:val="nil"/>
              <w:right w:val="nil"/>
            </w:tcBorders>
            <w:shd w:val="clear" w:color="auto" w:fill="auto"/>
            <w:noWrap/>
            <w:vAlign w:val="center"/>
            <w:hideMark/>
          </w:tcPr>
          <w:p w:rsidR="008F5D7C" w:rsidRPr="008F5D7C" w:rsidRDefault="008F5D7C">
            <w:pPr>
              <w:jc w:val="right"/>
              <w:rPr>
                <w:color w:val="000000"/>
                <w:sz w:val="16"/>
                <w:szCs w:val="18"/>
              </w:rPr>
            </w:pPr>
            <w:r w:rsidRPr="008F5D7C">
              <w:rPr>
                <w:color w:val="000000"/>
                <w:sz w:val="16"/>
                <w:szCs w:val="18"/>
              </w:rPr>
              <w:t>11 058 637</w:t>
            </w:r>
          </w:p>
        </w:tc>
      </w:tr>
    </w:tbl>
    <w:p w:rsidR="008F5D7C" w:rsidRDefault="008F5D7C" w:rsidP="008D7221">
      <w:pPr>
        <w:ind w:right="-108"/>
        <w:jc w:val="both"/>
        <w:rPr>
          <w:rFonts w:eastAsia="Calibri"/>
          <w:color w:val="FF0000"/>
          <w:sz w:val="22"/>
          <w:szCs w:val="22"/>
          <w:highlight w:val="lightGray"/>
        </w:rPr>
      </w:pPr>
    </w:p>
    <w:p w:rsidR="00A553AD" w:rsidRDefault="0035142A" w:rsidP="0035142A">
      <w:pPr>
        <w:jc w:val="both"/>
        <w:rPr>
          <w:sz w:val="22"/>
        </w:rPr>
      </w:pPr>
      <w:r w:rsidRPr="0035142A">
        <w:rPr>
          <w:sz w:val="22"/>
        </w:rPr>
        <w:t xml:space="preserve">W bieżącym półroczu przekazywano lokale znajdujące się w już ukończonych inwestycjach </w:t>
      </w:r>
      <w:r w:rsidR="00B41FFF">
        <w:rPr>
          <w:sz w:val="22"/>
        </w:rPr>
        <w:br/>
      </w:r>
      <w:r w:rsidRPr="0035142A">
        <w:rPr>
          <w:sz w:val="22"/>
        </w:rPr>
        <w:t xml:space="preserve">tj. budynku C – Kamion Cross, B – </w:t>
      </w:r>
      <w:proofErr w:type="spellStart"/>
      <w:r w:rsidRPr="0035142A">
        <w:rPr>
          <w:sz w:val="22"/>
        </w:rPr>
        <w:t>Rebel</w:t>
      </w:r>
      <w:proofErr w:type="spellEnd"/>
      <w:r w:rsidRPr="0035142A">
        <w:rPr>
          <w:sz w:val="22"/>
        </w:rPr>
        <w:t xml:space="preserve"> One. Na przekazanych 10 lokalach (9 mieszkań i 1 lokal usługowy) uzyskano marżę </w:t>
      </w:r>
      <w:r w:rsidR="008D2D3A" w:rsidRPr="0035142A">
        <w:rPr>
          <w:sz w:val="22"/>
        </w:rPr>
        <w:t>nieuwzględniającą</w:t>
      </w:r>
      <w:r w:rsidRPr="0035142A">
        <w:rPr>
          <w:sz w:val="22"/>
        </w:rPr>
        <w:t xml:space="preserve"> kosztów sprzedaży w wysokości 25,1%, zaś wraz </w:t>
      </w:r>
    </w:p>
    <w:p w:rsidR="00A553AD" w:rsidRDefault="0035142A" w:rsidP="0035142A">
      <w:pPr>
        <w:jc w:val="both"/>
        <w:rPr>
          <w:color w:val="1F497D"/>
        </w:rPr>
      </w:pPr>
      <w:r w:rsidRPr="0035142A">
        <w:rPr>
          <w:sz w:val="22"/>
        </w:rPr>
        <w:t xml:space="preserve">z kosztami sprzedaży, przypisanymi bezpośrednio do tych lokali, marża wyniosła 19,9%. W bieżącym roku obrotowym będą przekazywane jedynie lokale ze zrealizowanych już inwestycji. Na początku 2017 roku planowane jest oddanie do użytkowania budynku Wars, a co za tym idzie, rozpocznie się proces przekazywania </w:t>
      </w:r>
      <w:r w:rsidR="00A553AD">
        <w:rPr>
          <w:sz w:val="22"/>
        </w:rPr>
        <w:t xml:space="preserve">lokali z tej inwestycji </w:t>
      </w:r>
      <w:r w:rsidRPr="0035142A">
        <w:rPr>
          <w:sz w:val="22"/>
        </w:rPr>
        <w:t>ich nabywcom</w:t>
      </w:r>
      <w:r>
        <w:rPr>
          <w:color w:val="1F497D"/>
        </w:rPr>
        <w:t>.</w:t>
      </w:r>
    </w:p>
    <w:p w:rsidR="0035142A" w:rsidRDefault="00A553AD" w:rsidP="0035142A">
      <w:pPr>
        <w:jc w:val="both"/>
        <w:rPr>
          <w:color w:val="1F497D"/>
        </w:rPr>
      </w:pPr>
      <w:r>
        <w:rPr>
          <w:color w:val="1F497D"/>
        </w:rPr>
        <w:br/>
      </w:r>
    </w:p>
    <w:p w:rsidR="00A553AD" w:rsidRDefault="00A553AD" w:rsidP="0035142A">
      <w:pPr>
        <w:jc w:val="both"/>
        <w:rPr>
          <w:color w:val="1F497D"/>
        </w:rPr>
      </w:pPr>
    </w:p>
    <w:p w:rsidR="008B3A61" w:rsidRDefault="008B3A61" w:rsidP="00BF380D">
      <w:pPr>
        <w:jc w:val="both"/>
      </w:pPr>
    </w:p>
    <w:p w:rsidR="00D06ACE" w:rsidRPr="007F45A7" w:rsidRDefault="00BF380D" w:rsidP="00BF380D">
      <w:pPr>
        <w:jc w:val="both"/>
        <w:rPr>
          <w:b/>
          <w:i/>
          <w:sz w:val="22"/>
        </w:rPr>
      </w:pPr>
      <w:r w:rsidRPr="007F45A7">
        <w:rPr>
          <w:b/>
          <w:i/>
          <w:sz w:val="22"/>
        </w:rPr>
        <w:t xml:space="preserve">B) Skonsolidowane sprawozdanie z sytuacji finansowej </w:t>
      </w:r>
    </w:p>
    <w:p w:rsidR="00310E3E" w:rsidRDefault="00310E3E" w:rsidP="00D06ACE">
      <w:pPr>
        <w:jc w:val="both"/>
      </w:pPr>
    </w:p>
    <w:tbl>
      <w:tblPr>
        <w:tblW w:w="6620" w:type="dxa"/>
        <w:tblInd w:w="70" w:type="dxa"/>
        <w:tblCellMar>
          <w:left w:w="70" w:type="dxa"/>
          <w:right w:w="70" w:type="dxa"/>
        </w:tblCellMar>
        <w:tblLook w:val="04A0" w:firstRow="1" w:lastRow="0" w:firstColumn="1" w:lastColumn="0" w:noHBand="0" w:noVBand="1"/>
      </w:tblPr>
      <w:tblGrid>
        <w:gridCol w:w="3880"/>
        <w:gridCol w:w="1240"/>
        <w:gridCol w:w="1500"/>
      </w:tblGrid>
      <w:tr w:rsidR="0024460D" w:rsidTr="0024460D">
        <w:trPr>
          <w:trHeight w:val="585"/>
        </w:trPr>
        <w:tc>
          <w:tcPr>
            <w:tcW w:w="3880" w:type="dxa"/>
            <w:tcBorders>
              <w:top w:val="single" w:sz="4" w:space="0" w:color="auto"/>
              <w:left w:val="nil"/>
              <w:bottom w:val="single" w:sz="4" w:space="0" w:color="auto"/>
              <w:right w:val="nil"/>
            </w:tcBorders>
            <w:shd w:val="clear" w:color="auto" w:fill="auto"/>
            <w:vAlign w:val="center"/>
            <w:hideMark/>
          </w:tcPr>
          <w:p w:rsidR="0024460D" w:rsidRDefault="0024460D">
            <w:pPr>
              <w:jc w:val="center"/>
              <w:rPr>
                <w:sz w:val="18"/>
                <w:szCs w:val="18"/>
              </w:rPr>
            </w:pPr>
            <w:r>
              <w:rPr>
                <w:sz w:val="18"/>
                <w:szCs w:val="18"/>
              </w:rPr>
              <w:t> </w:t>
            </w:r>
          </w:p>
        </w:tc>
        <w:tc>
          <w:tcPr>
            <w:tcW w:w="1240" w:type="dxa"/>
            <w:tcBorders>
              <w:top w:val="single" w:sz="4" w:space="0" w:color="auto"/>
              <w:left w:val="nil"/>
              <w:bottom w:val="single" w:sz="4" w:space="0" w:color="auto"/>
              <w:right w:val="nil"/>
            </w:tcBorders>
            <w:shd w:val="clear" w:color="auto" w:fill="auto"/>
            <w:vAlign w:val="center"/>
            <w:hideMark/>
          </w:tcPr>
          <w:p w:rsidR="0024460D" w:rsidRDefault="0024460D">
            <w:pPr>
              <w:jc w:val="center"/>
              <w:rPr>
                <w:sz w:val="18"/>
                <w:szCs w:val="18"/>
              </w:rPr>
            </w:pPr>
            <w:r>
              <w:rPr>
                <w:sz w:val="18"/>
                <w:szCs w:val="18"/>
              </w:rPr>
              <w:t>31.03.2016 r.</w:t>
            </w:r>
          </w:p>
        </w:tc>
        <w:tc>
          <w:tcPr>
            <w:tcW w:w="1500" w:type="dxa"/>
            <w:tcBorders>
              <w:top w:val="single" w:sz="4" w:space="0" w:color="auto"/>
              <w:left w:val="nil"/>
              <w:bottom w:val="single" w:sz="4" w:space="0" w:color="auto"/>
              <w:right w:val="nil"/>
            </w:tcBorders>
            <w:shd w:val="clear" w:color="auto" w:fill="auto"/>
            <w:vAlign w:val="center"/>
            <w:hideMark/>
          </w:tcPr>
          <w:p w:rsidR="0024460D" w:rsidRDefault="0024460D">
            <w:pPr>
              <w:jc w:val="center"/>
              <w:rPr>
                <w:sz w:val="18"/>
                <w:szCs w:val="18"/>
              </w:rPr>
            </w:pPr>
            <w:r>
              <w:rPr>
                <w:sz w:val="18"/>
                <w:szCs w:val="18"/>
              </w:rPr>
              <w:t>31.03.2015 r.</w:t>
            </w:r>
          </w:p>
        </w:tc>
      </w:tr>
      <w:tr w:rsidR="0024460D" w:rsidTr="0024460D">
        <w:trPr>
          <w:trHeight w:val="90"/>
        </w:trPr>
        <w:tc>
          <w:tcPr>
            <w:tcW w:w="3880" w:type="dxa"/>
            <w:tcBorders>
              <w:top w:val="nil"/>
              <w:left w:val="nil"/>
              <w:bottom w:val="nil"/>
              <w:right w:val="nil"/>
            </w:tcBorders>
            <w:shd w:val="clear" w:color="auto" w:fill="auto"/>
            <w:vAlign w:val="center"/>
            <w:hideMark/>
          </w:tcPr>
          <w:p w:rsidR="0024460D" w:rsidRDefault="0024460D">
            <w:pPr>
              <w:jc w:val="center"/>
              <w:rPr>
                <w:sz w:val="18"/>
                <w:szCs w:val="18"/>
              </w:rPr>
            </w:pPr>
          </w:p>
        </w:tc>
        <w:tc>
          <w:tcPr>
            <w:tcW w:w="1240" w:type="dxa"/>
            <w:tcBorders>
              <w:top w:val="nil"/>
              <w:left w:val="nil"/>
              <w:bottom w:val="nil"/>
              <w:right w:val="nil"/>
            </w:tcBorders>
            <w:shd w:val="clear" w:color="000000" w:fill="DCE6F1"/>
            <w:vAlign w:val="center"/>
            <w:hideMark/>
          </w:tcPr>
          <w:p w:rsidR="0024460D" w:rsidRDefault="0024460D">
            <w:pPr>
              <w:jc w:val="center"/>
              <w:rPr>
                <w:sz w:val="18"/>
                <w:szCs w:val="18"/>
              </w:rPr>
            </w:pPr>
            <w:r>
              <w:rPr>
                <w:sz w:val="18"/>
                <w:szCs w:val="18"/>
              </w:rPr>
              <w:t> </w:t>
            </w:r>
          </w:p>
        </w:tc>
        <w:tc>
          <w:tcPr>
            <w:tcW w:w="1500" w:type="dxa"/>
            <w:tcBorders>
              <w:top w:val="nil"/>
              <w:left w:val="nil"/>
              <w:bottom w:val="nil"/>
              <w:right w:val="nil"/>
            </w:tcBorders>
            <w:shd w:val="clear" w:color="auto" w:fill="auto"/>
            <w:vAlign w:val="center"/>
            <w:hideMark/>
          </w:tcPr>
          <w:p w:rsidR="0024460D" w:rsidRDefault="0024460D">
            <w:pPr>
              <w:jc w:val="center"/>
              <w:rPr>
                <w:sz w:val="18"/>
                <w:szCs w:val="18"/>
              </w:rPr>
            </w:pPr>
          </w:p>
        </w:tc>
      </w:tr>
      <w:tr w:rsidR="0024460D" w:rsidTr="0024460D">
        <w:trPr>
          <w:trHeight w:val="330"/>
        </w:trPr>
        <w:tc>
          <w:tcPr>
            <w:tcW w:w="3880" w:type="dxa"/>
            <w:tcBorders>
              <w:top w:val="nil"/>
              <w:left w:val="nil"/>
              <w:bottom w:val="nil"/>
              <w:right w:val="nil"/>
            </w:tcBorders>
            <w:shd w:val="clear" w:color="auto" w:fill="auto"/>
            <w:vAlign w:val="center"/>
            <w:hideMark/>
          </w:tcPr>
          <w:p w:rsidR="0024460D" w:rsidRDefault="0024460D">
            <w:pPr>
              <w:rPr>
                <w:sz w:val="16"/>
                <w:szCs w:val="16"/>
              </w:rPr>
            </w:pPr>
            <w:r>
              <w:rPr>
                <w:sz w:val="16"/>
                <w:szCs w:val="16"/>
              </w:rPr>
              <w:t>Aktywa trwałe</w:t>
            </w:r>
          </w:p>
        </w:tc>
        <w:tc>
          <w:tcPr>
            <w:tcW w:w="1240" w:type="dxa"/>
            <w:tcBorders>
              <w:top w:val="nil"/>
              <w:left w:val="nil"/>
              <w:bottom w:val="nil"/>
              <w:right w:val="nil"/>
            </w:tcBorders>
            <w:shd w:val="clear" w:color="000000" w:fill="DCE6F1"/>
            <w:noWrap/>
            <w:vAlign w:val="center"/>
            <w:hideMark/>
          </w:tcPr>
          <w:p w:rsidR="0024460D" w:rsidRDefault="0024460D">
            <w:pPr>
              <w:jc w:val="right"/>
              <w:rPr>
                <w:sz w:val="16"/>
                <w:szCs w:val="16"/>
              </w:rPr>
            </w:pPr>
            <w:r>
              <w:rPr>
                <w:sz w:val="16"/>
                <w:szCs w:val="16"/>
              </w:rPr>
              <w:t>356 377</w:t>
            </w:r>
          </w:p>
        </w:tc>
        <w:tc>
          <w:tcPr>
            <w:tcW w:w="1500" w:type="dxa"/>
            <w:tcBorders>
              <w:top w:val="nil"/>
              <w:left w:val="nil"/>
              <w:bottom w:val="nil"/>
              <w:right w:val="nil"/>
            </w:tcBorders>
            <w:shd w:val="clear" w:color="auto" w:fill="auto"/>
            <w:noWrap/>
            <w:vAlign w:val="center"/>
            <w:hideMark/>
          </w:tcPr>
          <w:p w:rsidR="0024460D" w:rsidRDefault="0024460D">
            <w:pPr>
              <w:jc w:val="right"/>
              <w:rPr>
                <w:sz w:val="16"/>
                <w:szCs w:val="16"/>
              </w:rPr>
            </w:pPr>
            <w:r>
              <w:rPr>
                <w:sz w:val="16"/>
                <w:szCs w:val="16"/>
              </w:rPr>
              <w:t>360 798</w:t>
            </w:r>
          </w:p>
        </w:tc>
      </w:tr>
      <w:tr w:rsidR="0024460D" w:rsidTr="0024460D">
        <w:trPr>
          <w:trHeight w:val="315"/>
        </w:trPr>
        <w:tc>
          <w:tcPr>
            <w:tcW w:w="3880" w:type="dxa"/>
            <w:tcBorders>
              <w:top w:val="nil"/>
              <w:left w:val="nil"/>
              <w:bottom w:val="nil"/>
              <w:right w:val="nil"/>
            </w:tcBorders>
            <w:shd w:val="clear" w:color="auto" w:fill="auto"/>
            <w:vAlign w:val="center"/>
            <w:hideMark/>
          </w:tcPr>
          <w:p w:rsidR="0024460D" w:rsidRDefault="0024460D">
            <w:pPr>
              <w:rPr>
                <w:sz w:val="16"/>
                <w:szCs w:val="16"/>
              </w:rPr>
            </w:pPr>
            <w:r>
              <w:rPr>
                <w:sz w:val="16"/>
                <w:szCs w:val="16"/>
              </w:rPr>
              <w:t>Aktywa obrotowe</w:t>
            </w:r>
          </w:p>
        </w:tc>
        <w:tc>
          <w:tcPr>
            <w:tcW w:w="1240" w:type="dxa"/>
            <w:tcBorders>
              <w:top w:val="nil"/>
              <w:left w:val="nil"/>
              <w:bottom w:val="nil"/>
              <w:right w:val="nil"/>
            </w:tcBorders>
            <w:shd w:val="clear" w:color="000000" w:fill="DCE6F1"/>
            <w:noWrap/>
            <w:vAlign w:val="center"/>
            <w:hideMark/>
          </w:tcPr>
          <w:p w:rsidR="0024460D" w:rsidRDefault="0024460D">
            <w:pPr>
              <w:jc w:val="right"/>
              <w:rPr>
                <w:sz w:val="16"/>
                <w:szCs w:val="16"/>
              </w:rPr>
            </w:pPr>
            <w:r>
              <w:rPr>
                <w:sz w:val="16"/>
                <w:szCs w:val="16"/>
              </w:rPr>
              <w:t>117 652</w:t>
            </w:r>
          </w:p>
        </w:tc>
        <w:tc>
          <w:tcPr>
            <w:tcW w:w="1500" w:type="dxa"/>
            <w:tcBorders>
              <w:top w:val="nil"/>
              <w:left w:val="nil"/>
              <w:bottom w:val="nil"/>
              <w:right w:val="nil"/>
            </w:tcBorders>
            <w:shd w:val="clear" w:color="auto" w:fill="auto"/>
            <w:noWrap/>
            <w:vAlign w:val="center"/>
            <w:hideMark/>
          </w:tcPr>
          <w:p w:rsidR="0024460D" w:rsidRDefault="0024460D">
            <w:pPr>
              <w:jc w:val="right"/>
              <w:rPr>
                <w:sz w:val="16"/>
                <w:szCs w:val="16"/>
              </w:rPr>
            </w:pPr>
            <w:r>
              <w:rPr>
                <w:sz w:val="16"/>
                <w:szCs w:val="16"/>
              </w:rPr>
              <w:t>170 566</w:t>
            </w:r>
          </w:p>
        </w:tc>
      </w:tr>
      <w:tr w:rsidR="0024460D" w:rsidTr="0024460D">
        <w:trPr>
          <w:trHeight w:val="420"/>
        </w:trPr>
        <w:tc>
          <w:tcPr>
            <w:tcW w:w="3880" w:type="dxa"/>
            <w:tcBorders>
              <w:top w:val="nil"/>
              <w:left w:val="nil"/>
              <w:bottom w:val="nil"/>
              <w:right w:val="nil"/>
            </w:tcBorders>
            <w:shd w:val="clear" w:color="auto" w:fill="auto"/>
            <w:vAlign w:val="center"/>
            <w:hideMark/>
          </w:tcPr>
          <w:p w:rsidR="0024460D" w:rsidRDefault="0024460D">
            <w:pPr>
              <w:rPr>
                <w:sz w:val="16"/>
                <w:szCs w:val="16"/>
              </w:rPr>
            </w:pPr>
            <w:r>
              <w:rPr>
                <w:sz w:val="16"/>
                <w:szCs w:val="16"/>
              </w:rPr>
              <w:t>Kapitał własny przypadający akcjonariuszom Emitenta</w:t>
            </w:r>
          </w:p>
        </w:tc>
        <w:tc>
          <w:tcPr>
            <w:tcW w:w="1240" w:type="dxa"/>
            <w:tcBorders>
              <w:top w:val="nil"/>
              <w:left w:val="nil"/>
              <w:bottom w:val="nil"/>
              <w:right w:val="nil"/>
            </w:tcBorders>
            <w:shd w:val="clear" w:color="000000" w:fill="DCE6F1"/>
            <w:noWrap/>
            <w:vAlign w:val="center"/>
            <w:hideMark/>
          </w:tcPr>
          <w:p w:rsidR="0024460D" w:rsidRDefault="0024460D">
            <w:pPr>
              <w:jc w:val="right"/>
              <w:rPr>
                <w:sz w:val="16"/>
                <w:szCs w:val="16"/>
              </w:rPr>
            </w:pPr>
            <w:r>
              <w:rPr>
                <w:sz w:val="16"/>
                <w:szCs w:val="16"/>
              </w:rPr>
              <w:t>335 612</w:t>
            </w:r>
          </w:p>
        </w:tc>
        <w:tc>
          <w:tcPr>
            <w:tcW w:w="1500" w:type="dxa"/>
            <w:tcBorders>
              <w:top w:val="nil"/>
              <w:left w:val="nil"/>
              <w:bottom w:val="nil"/>
              <w:right w:val="nil"/>
            </w:tcBorders>
            <w:shd w:val="clear" w:color="auto" w:fill="auto"/>
            <w:noWrap/>
            <w:vAlign w:val="center"/>
            <w:hideMark/>
          </w:tcPr>
          <w:p w:rsidR="0024460D" w:rsidRDefault="0024460D">
            <w:pPr>
              <w:jc w:val="right"/>
              <w:rPr>
                <w:sz w:val="16"/>
                <w:szCs w:val="16"/>
              </w:rPr>
            </w:pPr>
            <w:r>
              <w:rPr>
                <w:sz w:val="16"/>
                <w:szCs w:val="16"/>
              </w:rPr>
              <w:t>306 906</w:t>
            </w:r>
          </w:p>
        </w:tc>
      </w:tr>
      <w:tr w:rsidR="0024460D" w:rsidTr="0024460D">
        <w:trPr>
          <w:trHeight w:val="345"/>
        </w:trPr>
        <w:tc>
          <w:tcPr>
            <w:tcW w:w="3880" w:type="dxa"/>
            <w:tcBorders>
              <w:top w:val="nil"/>
              <w:left w:val="nil"/>
              <w:bottom w:val="nil"/>
              <w:right w:val="nil"/>
            </w:tcBorders>
            <w:shd w:val="clear" w:color="auto" w:fill="auto"/>
            <w:vAlign w:val="center"/>
            <w:hideMark/>
          </w:tcPr>
          <w:p w:rsidR="0024460D" w:rsidRDefault="0024460D">
            <w:pPr>
              <w:rPr>
                <w:sz w:val="16"/>
                <w:szCs w:val="16"/>
              </w:rPr>
            </w:pPr>
            <w:r>
              <w:rPr>
                <w:sz w:val="16"/>
                <w:szCs w:val="16"/>
              </w:rPr>
              <w:t>Udziały niesprawujące kontroli</w:t>
            </w:r>
          </w:p>
        </w:tc>
        <w:tc>
          <w:tcPr>
            <w:tcW w:w="1240" w:type="dxa"/>
            <w:tcBorders>
              <w:top w:val="nil"/>
              <w:left w:val="nil"/>
              <w:bottom w:val="nil"/>
              <w:right w:val="nil"/>
            </w:tcBorders>
            <w:shd w:val="clear" w:color="000000" w:fill="DCE6F1"/>
            <w:noWrap/>
            <w:vAlign w:val="center"/>
            <w:hideMark/>
          </w:tcPr>
          <w:p w:rsidR="0024460D" w:rsidRDefault="0024460D">
            <w:pPr>
              <w:jc w:val="right"/>
              <w:rPr>
                <w:sz w:val="16"/>
                <w:szCs w:val="16"/>
              </w:rPr>
            </w:pPr>
            <w:r>
              <w:rPr>
                <w:sz w:val="16"/>
                <w:szCs w:val="16"/>
              </w:rPr>
              <w:t>55</w:t>
            </w:r>
          </w:p>
        </w:tc>
        <w:tc>
          <w:tcPr>
            <w:tcW w:w="1500" w:type="dxa"/>
            <w:tcBorders>
              <w:top w:val="nil"/>
              <w:left w:val="nil"/>
              <w:bottom w:val="nil"/>
              <w:right w:val="nil"/>
            </w:tcBorders>
            <w:shd w:val="clear" w:color="auto" w:fill="auto"/>
            <w:noWrap/>
            <w:vAlign w:val="center"/>
            <w:hideMark/>
          </w:tcPr>
          <w:p w:rsidR="0024460D" w:rsidRDefault="0024460D">
            <w:pPr>
              <w:jc w:val="right"/>
              <w:rPr>
                <w:sz w:val="16"/>
                <w:szCs w:val="16"/>
              </w:rPr>
            </w:pPr>
            <w:r>
              <w:rPr>
                <w:sz w:val="16"/>
                <w:szCs w:val="16"/>
              </w:rPr>
              <w:t>37 555</w:t>
            </w:r>
          </w:p>
        </w:tc>
      </w:tr>
      <w:tr w:rsidR="0024460D" w:rsidTr="0024460D">
        <w:trPr>
          <w:trHeight w:val="360"/>
        </w:trPr>
        <w:tc>
          <w:tcPr>
            <w:tcW w:w="3880" w:type="dxa"/>
            <w:tcBorders>
              <w:top w:val="nil"/>
              <w:left w:val="nil"/>
              <w:bottom w:val="nil"/>
              <w:right w:val="nil"/>
            </w:tcBorders>
            <w:shd w:val="clear" w:color="auto" w:fill="auto"/>
            <w:vAlign w:val="center"/>
            <w:hideMark/>
          </w:tcPr>
          <w:p w:rsidR="0024460D" w:rsidRDefault="0024460D">
            <w:pPr>
              <w:rPr>
                <w:sz w:val="16"/>
                <w:szCs w:val="16"/>
              </w:rPr>
            </w:pPr>
            <w:r>
              <w:rPr>
                <w:sz w:val="16"/>
                <w:szCs w:val="16"/>
              </w:rPr>
              <w:t>Zobowiązania długoterminowe</w:t>
            </w:r>
          </w:p>
        </w:tc>
        <w:tc>
          <w:tcPr>
            <w:tcW w:w="1240" w:type="dxa"/>
            <w:tcBorders>
              <w:top w:val="nil"/>
              <w:left w:val="nil"/>
              <w:bottom w:val="nil"/>
              <w:right w:val="nil"/>
            </w:tcBorders>
            <w:shd w:val="clear" w:color="000000" w:fill="DCE6F1"/>
            <w:noWrap/>
            <w:vAlign w:val="center"/>
            <w:hideMark/>
          </w:tcPr>
          <w:p w:rsidR="0024460D" w:rsidRDefault="0024460D">
            <w:pPr>
              <w:jc w:val="right"/>
              <w:rPr>
                <w:sz w:val="16"/>
                <w:szCs w:val="16"/>
              </w:rPr>
            </w:pPr>
            <w:r>
              <w:rPr>
                <w:sz w:val="16"/>
                <w:szCs w:val="16"/>
              </w:rPr>
              <w:t>106 645</w:t>
            </w:r>
          </w:p>
        </w:tc>
        <w:tc>
          <w:tcPr>
            <w:tcW w:w="1500" w:type="dxa"/>
            <w:tcBorders>
              <w:top w:val="nil"/>
              <w:left w:val="nil"/>
              <w:bottom w:val="nil"/>
              <w:right w:val="nil"/>
            </w:tcBorders>
            <w:shd w:val="clear" w:color="auto" w:fill="auto"/>
            <w:noWrap/>
            <w:vAlign w:val="center"/>
            <w:hideMark/>
          </w:tcPr>
          <w:p w:rsidR="0024460D" w:rsidRDefault="0024460D">
            <w:pPr>
              <w:jc w:val="right"/>
              <w:rPr>
                <w:sz w:val="16"/>
                <w:szCs w:val="16"/>
              </w:rPr>
            </w:pPr>
            <w:r>
              <w:rPr>
                <w:sz w:val="16"/>
                <w:szCs w:val="16"/>
              </w:rPr>
              <w:t>76 447</w:t>
            </w:r>
          </w:p>
        </w:tc>
      </w:tr>
      <w:tr w:rsidR="0024460D" w:rsidTr="0024460D">
        <w:trPr>
          <w:trHeight w:val="375"/>
        </w:trPr>
        <w:tc>
          <w:tcPr>
            <w:tcW w:w="3880" w:type="dxa"/>
            <w:tcBorders>
              <w:top w:val="nil"/>
              <w:left w:val="nil"/>
              <w:bottom w:val="nil"/>
              <w:right w:val="nil"/>
            </w:tcBorders>
            <w:shd w:val="clear" w:color="auto" w:fill="auto"/>
            <w:vAlign w:val="center"/>
            <w:hideMark/>
          </w:tcPr>
          <w:p w:rsidR="0024460D" w:rsidRDefault="0024460D">
            <w:pPr>
              <w:rPr>
                <w:sz w:val="16"/>
                <w:szCs w:val="16"/>
              </w:rPr>
            </w:pPr>
            <w:r>
              <w:rPr>
                <w:sz w:val="16"/>
                <w:szCs w:val="16"/>
              </w:rPr>
              <w:t>Zobowiązania krótkoterminowe</w:t>
            </w:r>
          </w:p>
        </w:tc>
        <w:tc>
          <w:tcPr>
            <w:tcW w:w="1240" w:type="dxa"/>
            <w:tcBorders>
              <w:top w:val="nil"/>
              <w:left w:val="nil"/>
              <w:bottom w:val="nil"/>
              <w:right w:val="nil"/>
            </w:tcBorders>
            <w:shd w:val="clear" w:color="000000" w:fill="DCE6F1"/>
            <w:noWrap/>
            <w:vAlign w:val="center"/>
            <w:hideMark/>
          </w:tcPr>
          <w:p w:rsidR="0024460D" w:rsidRDefault="0024460D">
            <w:pPr>
              <w:jc w:val="right"/>
              <w:rPr>
                <w:sz w:val="16"/>
                <w:szCs w:val="16"/>
              </w:rPr>
            </w:pPr>
            <w:r>
              <w:rPr>
                <w:sz w:val="16"/>
                <w:szCs w:val="16"/>
              </w:rPr>
              <w:t>31 717</w:t>
            </w:r>
          </w:p>
        </w:tc>
        <w:tc>
          <w:tcPr>
            <w:tcW w:w="1500" w:type="dxa"/>
            <w:tcBorders>
              <w:top w:val="nil"/>
              <w:left w:val="nil"/>
              <w:bottom w:val="nil"/>
              <w:right w:val="nil"/>
            </w:tcBorders>
            <w:shd w:val="clear" w:color="auto" w:fill="auto"/>
            <w:noWrap/>
            <w:vAlign w:val="center"/>
            <w:hideMark/>
          </w:tcPr>
          <w:p w:rsidR="0024460D" w:rsidRDefault="0024460D">
            <w:pPr>
              <w:jc w:val="right"/>
              <w:rPr>
                <w:sz w:val="16"/>
                <w:szCs w:val="16"/>
              </w:rPr>
            </w:pPr>
            <w:r>
              <w:rPr>
                <w:sz w:val="16"/>
                <w:szCs w:val="16"/>
              </w:rPr>
              <w:t>110 456</w:t>
            </w:r>
          </w:p>
        </w:tc>
      </w:tr>
      <w:tr w:rsidR="0024460D" w:rsidTr="0024460D">
        <w:trPr>
          <w:trHeight w:val="240"/>
        </w:trPr>
        <w:tc>
          <w:tcPr>
            <w:tcW w:w="3880" w:type="dxa"/>
            <w:tcBorders>
              <w:top w:val="nil"/>
              <w:left w:val="nil"/>
              <w:bottom w:val="nil"/>
              <w:right w:val="nil"/>
            </w:tcBorders>
            <w:shd w:val="clear" w:color="auto" w:fill="auto"/>
            <w:vAlign w:val="center"/>
            <w:hideMark/>
          </w:tcPr>
          <w:p w:rsidR="0024460D" w:rsidRDefault="0024460D">
            <w:pPr>
              <w:rPr>
                <w:sz w:val="16"/>
                <w:szCs w:val="16"/>
              </w:rPr>
            </w:pPr>
            <w:r>
              <w:rPr>
                <w:sz w:val="16"/>
                <w:szCs w:val="16"/>
              </w:rPr>
              <w:t>Wartość księgowa na jedną akcję (w zł.)</w:t>
            </w:r>
          </w:p>
        </w:tc>
        <w:tc>
          <w:tcPr>
            <w:tcW w:w="1240" w:type="dxa"/>
            <w:tcBorders>
              <w:top w:val="nil"/>
              <w:left w:val="nil"/>
              <w:bottom w:val="nil"/>
              <w:right w:val="nil"/>
            </w:tcBorders>
            <w:shd w:val="clear" w:color="000000" w:fill="DCE6F1"/>
            <w:vAlign w:val="center"/>
            <w:hideMark/>
          </w:tcPr>
          <w:p w:rsidR="0024460D" w:rsidRDefault="0024460D">
            <w:pPr>
              <w:jc w:val="right"/>
              <w:rPr>
                <w:sz w:val="16"/>
                <w:szCs w:val="16"/>
              </w:rPr>
            </w:pPr>
            <w:r>
              <w:rPr>
                <w:sz w:val="16"/>
                <w:szCs w:val="16"/>
              </w:rPr>
              <w:t>3,03</w:t>
            </w:r>
          </w:p>
        </w:tc>
        <w:tc>
          <w:tcPr>
            <w:tcW w:w="1500" w:type="dxa"/>
            <w:tcBorders>
              <w:top w:val="nil"/>
              <w:left w:val="nil"/>
              <w:bottom w:val="nil"/>
              <w:right w:val="nil"/>
            </w:tcBorders>
            <w:shd w:val="clear" w:color="auto" w:fill="auto"/>
            <w:vAlign w:val="center"/>
            <w:hideMark/>
          </w:tcPr>
          <w:p w:rsidR="0024460D" w:rsidRDefault="0024460D">
            <w:pPr>
              <w:jc w:val="right"/>
              <w:rPr>
                <w:sz w:val="16"/>
                <w:szCs w:val="16"/>
              </w:rPr>
            </w:pPr>
            <w:r>
              <w:rPr>
                <w:sz w:val="16"/>
                <w:szCs w:val="16"/>
              </w:rPr>
              <w:t>2,76</w:t>
            </w:r>
          </w:p>
        </w:tc>
      </w:tr>
    </w:tbl>
    <w:p w:rsidR="00310E3E" w:rsidRDefault="00310E3E" w:rsidP="00D06ACE">
      <w:pPr>
        <w:jc w:val="both"/>
      </w:pPr>
    </w:p>
    <w:p w:rsidR="00310E3E" w:rsidRDefault="00310E3E" w:rsidP="00D06ACE">
      <w:pPr>
        <w:jc w:val="both"/>
      </w:pPr>
    </w:p>
    <w:p w:rsidR="00AD35B1" w:rsidRDefault="001A3A98" w:rsidP="00146D38">
      <w:pPr>
        <w:jc w:val="both"/>
        <w:rPr>
          <w:sz w:val="22"/>
        </w:rPr>
      </w:pPr>
      <w:r w:rsidRPr="001A3A98">
        <w:rPr>
          <w:sz w:val="22"/>
        </w:rPr>
        <w:t>Sytuacja Grupy pozostaje stabilna. Środki pieniężne pozwalają na finansowanie bieżącej działalności operacyjnej oraz rozpoczętych projektów deweloperskich. Za wzrost poziomu zobowiązań długoterminowych odpowiadają wpłaty od mieszkańców w realizowanych projektach przed oddaniem inwestycji do użytkowania. Poziom zobowiązań krótkoterminowych uległ znacznemu obniżeniu z uwagi na rozliczenie inwestycji Kamion Cross oraz wyłączenie z k</w:t>
      </w:r>
      <w:r w:rsidR="00A553AD">
        <w:rPr>
          <w:sz w:val="22"/>
        </w:rPr>
        <w:t>onsolidacji spółki Próchnik S.A</w:t>
      </w:r>
      <w:r w:rsidRPr="001A3A98">
        <w:rPr>
          <w:sz w:val="22"/>
        </w:rPr>
        <w:t xml:space="preserve">. Łączny poziom zobowiązań znacząco się obniżył również z uwagi na spłatę przez Mińska Development Sp. z o.o. weksli do Progress FIZAN oraz wyłączenia pożyczki od PZO Investment </w:t>
      </w:r>
      <w:r w:rsidR="00A553AD">
        <w:rPr>
          <w:sz w:val="22"/>
        </w:rPr>
        <w:br/>
      </w:r>
      <w:r w:rsidRPr="001A3A98">
        <w:rPr>
          <w:sz w:val="22"/>
        </w:rPr>
        <w:t xml:space="preserve">Sp. z </w:t>
      </w:r>
      <w:r w:rsidR="008D2D3A" w:rsidRPr="001A3A98">
        <w:rPr>
          <w:sz w:val="22"/>
        </w:rPr>
        <w:t>o.o.</w:t>
      </w:r>
      <w:r w:rsidRPr="001A3A98">
        <w:rPr>
          <w:sz w:val="22"/>
        </w:rPr>
        <w:t xml:space="preserve"> w związku ujęciem tej spółki w konsolidacji. W ujęciu rocznym wzrósł wskaźnik BVPS do 3,03 zł.</w:t>
      </w:r>
    </w:p>
    <w:p w:rsidR="00AD35B1" w:rsidRDefault="00AD35B1" w:rsidP="00146D38">
      <w:pPr>
        <w:jc w:val="both"/>
        <w:rPr>
          <w:sz w:val="22"/>
        </w:rPr>
      </w:pPr>
    </w:p>
    <w:p w:rsidR="00BF380D" w:rsidRDefault="00BF380D" w:rsidP="00D06ACE">
      <w:pPr>
        <w:jc w:val="both"/>
        <w:rPr>
          <w:b/>
          <w:i/>
          <w:sz w:val="22"/>
        </w:rPr>
      </w:pPr>
      <w:r w:rsidRPr="007F45A7">
        <w:rPr>
          <w:b/>
          <w:i/>
          <w:sz w:val="22"/>
        </w:rPr>
        <w:t>C) Struktura zadłużenia</w:t>
      </w:r>
    </w:p>
    <w:tbl>
      <w:tblPr>
        <w:tblW w:w="6500" w:type="dxa"/>
        <w:tblInd w:w="55" w:type="dxa"/>
        <w:tblCellMar>
          <w:left w:w="70" w:type="dxa"/>
          <w:right w:w="70" w:type="dxa"/>
        </w:tblCellMar>
        <w:tblLook w:val="04A0" w:firstRow="1" w:lastRow="0" w:firstColumn="1" w:lastColumn="0" w:noHBand="0" w:noVBand="1"/>
      </w:tblPr>
      <w:tblGrid>
        <w:gridCol w:w="4020"/>
        <w:gridCol w:w="1240"/>
        <w:gridCol w:w="1240"/>
      </w:tblGrid>
      <w:tr w:rsidR="00D06ACE" w:rsidRPr="001050CB" w:rsidTr="001F1E43">
        <w:trPr>
          <w:trHeight w:val="630"/>
        </w:trPr>
        <w:tc>
          <w:tcPr>
            <w:tcW w:w="4020" w:type="dxa"/>
            <w:shd w:val="clear" w:color="000000" w:fill="FFFFFF"/>
            <w:noWrap/>
            <w:vAlign w:val="bottom"/>
            <w:hideMark/>
          </w:tcPr>
          <w:p w:rsidR="00D06ACE" w:rsidRPr="001050CB" w:rsidRDefault="00D06ACE" w:rsidP="00BF380D">
            <w:pPr>
              <w:rPr>
                <w:color w:val="000000"/>
                <w:sz w:val="16"/>
                <w:szCs w:val="16"/>
                <w:lang w:eastAsia="pl-PL"/>
              </w:rPr>
            </w:pPr>
            <w:r w:rsidRPr="001050CB">
              <w:rPr>
                <w:color w:val="000000"/>
                <w:sz w:val="16"/>
                <w:szCs w:val="16"/>
                <w:lang w:eastAsia="pl-PL"/>
              </w:rPr>
              <w:t> </w:t>
            </w:r>
          </w:p>
        </w:tc>
        <w:tc>
          <w:tcPr>
            <w:tcW w:w="1240" w:type="dxa"/>
            <w:shd w:val="clear" w:color="000000" w:fill="FFFFFF"/>
            <w:vAlign w:val="center"/>
            <w:hideMark/>
          </w:tcPr>
          <w:p w:rsidR="00D06ACE" w:rsidRPr="001050CB" w:rsidRDefault="00D06ACE" w:rsidP="00BF380D">
            <w:pPr>
              <w:jc w:val="center"/>
              <w:rPr>
                <w:b/>
                <w:bCs/>
                <w:color w:val="000000"/>
                <w:sz w:val="16"/>
                <w:szCs w:val="16"/>
                <w:lang w:eastAsia="pl-PL"/>
              </w:rPr>
            </w:pPr>
            <w:r w:rsidRPr="001050CB">
              <w:rPr>
                <w:b/>
                <w:bCs/>
                <w:color w:val="000000"/>
                <w:sz w:val="16"/>
                <w:szCs w:val="16"/>
                <w:lang w:eastAsia="pl-PL"/>
              </w:rPr>
              <w:t>Wartość</w:t>
            </w:r>
          </w:p>
        </w:tc>
        <w:tc>
          <w:tcPr>
            <w:tcW w:w="1240" w:type="dxa"/>
            <w:shd w:val="clear" w:color="000000" w:fill="FFFFFF"/>
            <w:vAlign w:val="center"/>
            <w:hideMark/>
          </w:tcPr>
          <w:p w:rsidR="00D06ACE" w:rsidRPr="001050CB" w:rsidRDefault="00D06ACE" w:rsidP="00BF380D">
            <w:pPr>
              <w:jc w:val="center"/>
              <w:rPr>
                <w:b/>
                <w:bCs/>
                <w:color w:val="000000"/>
                <w:sz w:val="16"/>
                <w:szCs w:val="16"/>
                <w:lang w:eastAsia="pl-PL"/>
              </w:rPr>
            </w:pPr>
            <w:r w:rsidRPr="001050CB">
              <w:rPr>
                <w:b/>
                <w:bCs/>
                <w:color w:val="000000"/>
                <w:sz w:val="16"/>
                <w:szCs w:val="16"/>
                <w:lang w:eastAsia="pl-PL"/>
              </w:rPr>
              <w:t xml:space="preserve">Termin </w:t>
            </w:r>
            <w:r w:rsidR="00BF380D">
              <w:rPr>
                <w:b/>
                <w:bCs/>
                <w:color w:val="000000"/>
                <w:sz w:val="16"/>
                <w:szCs w:val="16"/>
                <w:lang w:eastAsia="pl-PL"/>
              </w:rPr>
              <w:t>zapadalności</w:t>
            </w:r>
          </w:p>
        </w:tc>
      </w:tr>
      <w:tr w:rsidR="00D06ACE" w:rsidRPr="001050CB" w:rsidTr="00DB02AE">
        <w:trPr>
          <w:trHeight w:val="375"/>
        </w:trPr>
        <w:tc>
          <w:tcPr>
            <w:tcW w:w="4020" w:type="dxa"/>
            <w:shd w:val="clear" w:color="auto" w:fill="C6D9F1" w:themeFill="text2" w:themeFillTint="33"/>
            <w:noWrap/>
            <w:vAlign w:val="bottom"/>
            <w:hideMark/>
          </w:tcPr>
          <w:p w:rsidR="00D06ACE" w:rsidRPr="001050CB" w:rsidRDefault="00D06ACE" w:rsidP="00BF380D">
            <w:pPr>
              <w:rPr>
                <w:color w:val="000000"/>
                <w:sz w:val="16"/>
                <w:szCs w:val="16"/>
                <w:lang w:eastAsia="pl-PL"/>
              </w:rPr>
            </w:pPr>
            <w:r w:rsidRPr="001050CB">
              <w:rPr>
                <w:color w:val="000000"/>
                <w:sz w:val="16"/>
                <w:szCs w:val="16"/>
                <w:lang w:eastAsia="pl-PL"/>
              </w:rPr>
              <w:t>Obligacje Emitenta objęte przez SGB Bank</w:t>
            </w:r>
          </w:p>
        </w:tc>
        <w:tc>
          <w:tcPr>
            <w:tcW w:w="1240" w:type="dxa"/>
            <w:shd w:val="clear" w:color="auto" w:fill="C6D9F1" w:themeFill="text2" w:themeFillTint="33"/>
            <w:noWrap/>
            <w:vAlign w:val="bottom"/>
            <w:hideMark/>
          </w:tcPr>
          <w:p w:rsidR="00D06ACE" w:rsidRPr="001050CB" w:rsidRDefault="00D06ACE" w:rsidP="00BF380D">
            <w:pPr>
              <w:rPr>
                <w:color w:val="000000"/>
                <w:sz w:val="16"/>
                <w:szCs w:val="16"/>
                <w:lang w:eastAsia="pl-PL"/>
              </w:rPr>
            </w:pPr>
            <w:r w:rsidRPr="001050CB">
              <w:rPr>
                <w:color w:val="000000"/>
                <w:sz w:val="16"/>
                <w:szCs w:val="16"/>
                <w:lang w:eastAsia="pl-PL"/>
              </w:rPr>
              <w:t> </w:t>
            </w:r>
          </w:p>
        </w:tc>
        <w:tc>
          <w:tcPr>
            <w:tcW w:w="1240" w:type="dxa"/>
            <w:shd w:val="clear" w:color="auto" w:fill="C6D9F1" w:themeFill="text2" w:themeFillTint="33"/>
            <w:noWrap/>
            <w:vAlign w:val="bottom"/>
            <w:hideMark/>
          </w:tcPr>
          <w:p w:rsidR="00D06ACE" w:rsidRPr="001050CB" w:rsidRDefault="00D06ACE" w:rsidP="00BF380D">
            <w:pPr>
              <w:rPr>
                <w:color w:val="000000"/>
                <w:sz w:val="16"/>
                <w:szCs w:val="16"/>
                <w:lang w:eastAsia="pl-PL"/>
              </w:rPr>
            </w:pPr>
            <w:r w:rsidRPr="001050CB">
              <w:rPr>
                <w:color w:val="000000"/>
                <w:sz w:val="16"/>
                <w:szCs w:val="16"/>
                <w:lang w:eastAsia="pl-PL"/>
              </w:rPr>
              <w:t> </w:t>
            </w:r>
          </w:p>
        </w:tc>
      </w:tr>
      <w:tr w:rsidR="00D06ACE" w:rsidRPr="001050CB" w:rsidTr="001F1E43">
        <w:trPr>
          <w:trHeight w:val="375"/>
        </w:trPr>
        <w:tc>
          <w:tcPr>
            <w:tcW w:w="4020" w:type="dxa"/>
            <w:shd w:val="clear" w:color="000000" w:fill="FFFFFF"/>
            <w:noWrap/>
            <w:vAlign w:val="bottom"/>
            <w:hideMark/>
          </w:tcPr>
          <w:p w:rsidR="00D06ACE" w:rsidRPr="001050CB" w:rsidRDefault="00D06ACE" w:rsidP="00BF380D">
            <w:pPr>
              <w:rPr>
                <w:color w:val="000000"/>
                <w:sz w:val="16"/>
                <w:szCs w:val="16"/>
                <w:lang w:eastAsia="pl-PL"/>
              </w:rPr>
            </w:pPr>
            <w:r w:rsidRPr="001050CB">
              <w:rPr>
                <w:color w:val="000000"/>
                <w:sz w:val="16"/>
                <w:szCs w:val="16"/>
                <w:lang w:eastAsia="pl-PL"/>
              </w:rPr>
              <w:t>Seria B1</w:t>
            </w:r>
          </w:p>
        </w:tc>
        <w:tc>
          <w:tcPr>
            <w:tcW w:w="1240" w:type="dxa"/>
            <w:shd w:val="clear" w:color="000000" w:fill="FFFFFF"/>
            <w:noWrap/>
            <w:vAlign w:val="bottom"/>
            <w:hideMark/>
          </w:tcPr>
          <w:p w:rsidR="00D06ACE" w:rsidRPr="001050CB" w:rsidRDefault="00D06ACE" w:rsidP="00BF380D">
            <w:pPr>
              <w:jc w:val="right"/>
              <w:rPr>
                <w:color w:val="000000"/>
                <w:sz w:val="16"/>
                <w:szCs w:val="16"/>
                <w:lang w:eastAsia="pl-PL"/>
              </w:rPr>
            </w:pPr>
            <w:r w:rsidRPr="001050CB">
              <w:rPr>
                <w:color w:val="000000"/>
                <w:sz w:val="16"/>
                <w:szCs w:val="16"/>
                <w:lang w:eastAsia="pl-PL"/>
              </w:rPr>
              <w:t>10 mln zł</w:t>
            </w:r>
          </w:p>
        </w:tc>
        <w:tc>
          <w:tcPr>
            <w:tcW w:w="1240" w:type="dxa"/>
            <w:shd w:val="clear" w:color="000000" w:fill="FFFFFF"/>
            <w:noWrap/>
            <w:vAlign w:val="bottom"/>
            <w:hideMark/>
          </w:tcPr>
          <w:p w:rsidR="00D06ACE" w:rsidRPr="001050CB" w:rsidRDefault="00D06ACE" w:rsidP="00BF380D">
            <w:pPr>
              <w:jc w:val="right"/>
              <w:rPr>
                <w:color w:val="000000"/>
                <w:sz w:val="16"/>
                <w:szCs w:val="16"/>
                <w:lang w:eastAsia="pl-PL"/>
              </w:rPr>
            </w:pPr>
            <w:r w:rsidRPr="001050CB">
              <w:rPr>
                <w:color w:val="000000"/>
                <w:sz w:val="16"/>
                <w:szCs w:val="16"/>
                <w:lang w:eastAsia="pl-PL"/>
              </w:rPr>
              <w:t>26-01-2018</w:t>
            </w:r>
          </w:p>
        </w:tc>
      </w:tr>
      <w:tr w:rsidR="00D06ACE" w:rsidRPr="001050CB" w:rsidTr="001F1E43">
        <w:trPr>
          <w:trHeight w:val="375"/>
        </w:trPr>
        <w:tc>
          <w:tcPr>
            <w:tcW w:w="4020" w:type="dxa"/>
            <w:shd w:val="clear" w:color="000000" w:fill="FFFFFF"/>
            <w:noWrap/>
            <w:vAlign w:val="bottom"/>
            <w:hideMark/>
          </w:tcPr>
          <w:p w:rsidR="00D06ACE" w:rsidRPr="001050CB" w:rsidRDefault="00D06ACE" w:rsidP="00BF380D">
            <w:pPr>
              <w:rPr>
                <w:color w:val="000000"/>
                <w:sz w:val="16"/>
                <w:szCs w:val="16"/>
                <w:lang w:eastAsia="pl-PL"/>
              </w:rPr>
            </w:pPr>
            <w:r w:rsidRPr="001050CB">
              <w:rPr>
                <w:color w:val="000000"/>
                <w:sz w:val="16"/>
                <w:szCs w:val="16"/>
                <w:lang w:eastAsia="pl-PL"/>
              </w:rPr>
              <w:t>Seria B2</w:t>
            </w:r>
          </w:p>
        </w:tc>
        <w:tc>
          <w:tcPr>
            <w:tcW w:w="1240" w:type="dxa"/>
            <w:shd w:val="clear" w:color="000000" w:fill="FFFFFF"/>
            <w:noWrap/>
            <w:vAlign w:val="bottom"/>
            <w:hideMark/>
          </w:tcPr>
          <w:p w:rsidR="00D06ACE" w:rsidRPr="001050CB" w:rsidRDefault="00D06ACE" w:rsidP="00BF380D">
            <w:pPr>
              <w:jc w:val="right"/>
              <w:rPr>
                <w:color w:val="000000"/>
                <w:sz w:val="16"/>
                <w:szCs w:val="16"/>
                <w:lang w:eastAsia="pl-PL"/>
              </w:rPr>
            </w:pPr>
            <w:r w:rsidRPr="001050CB">
              <w:rPr>
                <w:color w:val="000000"/>
                <w:sz w:val="16"/>
                <w:szCs w:val="16"/>
                <w:lang w:eastAsia="pl-PL"/>
              </w:rPr>
              <w:t>15 mln zł</w:t>
            </w:r>
          </w:p>
        </w:tc>
        <w:tc>
          <w:tcPr>
            <w:tcW w:w="1240" w:type="dxa"/>
            <w:shd w:val="clear" w:color="000000" w:fill="FFFFFF"/>
            <w:noWrap/>
            <w:vAlign w:val="bottom"/>
            <w:hideMark/>
          </w:tcPr>
          <w:p w:rsidR="00D06ACE" w:rsidRPr="001050CB" w:rsidRDefault="00D06ACE" w:rsidP="00BF380D">
            <w:pPr>
              <w:jc w:val="right"/>
              <w:rPr>
                <w:color w:val="000000"/>
                <w:sz w:val="16"/>
                <w:szCs w:val="16"/>
                <w:lang w:eastAsia="pl-PL"/>
              </w:rPr>
            </w:pPr>
            <w:r w:rsidRPr="001050CB">
              <w:rPr>
                <w:color w:val="000000"/>
                <w:sz w:val="16"/>
                <w:szCs w:val="16"/>
                <w:lang w:eastAsia="pl-PL"/>
              </w:rPr>
              <w:t>26-07-2018</w:t>
            </w:r>
          </w:p>
        </w:tc>
      </w:tr>
      <w:tr w:rsidR="00D06ACE" w:rsidRPr="001050CB" w:rsidTr="001F1E43">
        <w:trPr>
          <w:trHeight w:val="375"/>
        </w:trPr>
        <w:tc>
          <w:tcPr>
            <w:tcW w:w="4020" w:type="dxa"/>
            <w:shd w:val="clear" w:color="000000" w:fill="FFFFFF"/>
            <w:noWrap/>
            <w:vAlign w:val="bottom"/>
            <w:hideMark/>
          </w:tcPr>
          <w:p w:rsidR="00D06ACE" w:rsidRPr="001050CB" w:rsidRDefault="00D06ACE" w:rsidP="00BF380D">
            <w:pPr>
              <w:rPr>
                <w:color w:val="000000"/>
                <w:sz w:val="16"/>
                <w:szCs w:val="16"/>
                <w:lang w:eastAsia="pl-PL"/>
              </w:rPr>
            </w:pPr>
            <w:r w:rsidRPr="001050CB">
              <w:rPr>
                <w:color w:val="000000"/>
                <w:sz w:val="16"/>
                <w:szCs w:val="16"/>
                <w:lang w:eastAsia="pl-PL"/>
              </w:rPr>
              <w:t>Seria B3</w:t>
            </w:r>
          </w:p>
        </w:tc>
        <w:tc>
          <w:tcPr>
            <w:tcW w:w="1240" w:type="dxa"/>
            <w:shd w:val="clear" w:color="000000" w:fill="FFFFFF"/>
            <w:noWrap/>
            <w:vAlign w:val="bottom"/>
            <w:hideMark/>
          </w:tcPr>
          <w:p w:rsidR="00D06ACE" w:rsidRPr="001050CB" w:rsidRDefault="00D06ACE" w:rsidP="00BF380D">
            <w:pPr>
              <w:jc w:val="right"/>
              <w:rPr>
                <w:color w:val="000000"/>
                <w:sz w:val="16"/>
                <w:szCs w:val="16"/>
                <w:lang w:eastAsia="pl-PL"/>
              </w:rPr>
            </w:pPr>
            <w:r w:rsidRPr="001050CB">
              <w:rPr>
                <w:color w:val="000000"/>
                <w:sz w:val="16"/>
                <w:szCs w:val="16"/>
                <w:lang w:eastAsia="pl-PL"/>
              </w:rPr>
              <w:t>33 mln zł</w:t>
            </w:r>
          </w:p>
        </w:tc>
        <w:tc>
          <w:tcPr>
            <w:tcW w:w="1240" w:type="dxa"/>
            <w:shd w:val="clear" w:color="000000" w:fill="FFFFFF"/>
            <w:noWrap/>
            <w:vAlign w:val="bottom"/>
            <w:hideMark/>
          </w:tcPr>
          <w:p w:rsidR="00D06ACE" w:rsidRPr="001050CB" w:rsidRDefault="00D06ACE" w:rsidP="00BF380D">
            <w:pPr>
              <w:jc w:val="right"/>
              <w:rPr>
                <w:color w:val="000000"/>
                <w:sz w:val="16"/>
                <w:szCs w:val="16"/>
                <w:lang w:eastAsia="pl-PL"/>
              </w:rPr>
            </w:pPr>
            <w:r w:rsidRPr="001050CB">
              <w:rPr>
                <w:color w:val="000000"/>
                <w:sz w:val="16"/>
                <w:szCs w:val="16"/>
                <w:lang w:eastAsia="pl-PL"/>
              </w:rPr>
              <w:t>26-01-2019</w:t>
            </w:r>
          </w:p>
        </w:tc>
      </w:tr>
      <w:tr w:rsidR="00D06ACE" w:rsidRPr="001050CB" w:rsidTr="00DB02AE">
        <w:trPr>
          <w:trHeight w:val="375"/>
        </w:trPr>
        <w:tc>
          <w:tcPr>
            <w:tcW w:w="4020" w:type="dxa"/>
            <w:shd w:val="clear" w:color="auto" w:fill="C6D9F1" w:themeFill="text2" w:themeFillTint="33"/>
            <w:noWrap/>
            <w:vAlign w:val="bottom"/>
            <w:hideMark/>
          </w:tcPr>
          <w:p w:rsidR="00D06ACE" w:rsidRPr="001050CB" w:rsidRDefault="00D06ACE" w:rsidP="00BF380D">
            <w:pPr>
              <w:rPr>
                <w:color w:val="000000"/>
                <w:sz w:val="16"/>
                <w:szCs w:val="16"/>
                <w:lang w:eastAsia="pl-PL"/>
              </w:rPr>
            </w:pPr>
            <w:r w:rsidRPr="001050CB">
              <w:rPr>
                <w:color w:val="000000"/>
                <w:sz w:val="16"/>
                <w:szCs w:val="16"/>
                <w:lang w:eastAsia="pl-PL"/>
              </w:rPr>
              <w:t xml:space="preserve">Kredyt </w:t>
            </w:r>
            <w:r w:rsidR="008D2D3A" w:rsidRPr="001050CB">
              <w:rPr>
                <w:color w:val="000000"/>
                <w:sz w:val="16"/>
                <w:szCs w:val="16"/>
                <w:lang w:eastAsia="pl-PL"/>
              </w:rPr>
              <w:t>inwestycyjny Soho</w:t>
            </w:r>
            <w:r w:rsidRPr="001050CB">
              <w:rPr>
                <w:color w:val="000000"/>
                <w:sz w:val="16"/>
                <w:szCs w:val="16"/>
                <w:lang w:eastAsia="pl-PL"/>
              </w:rPr>
              <w:t xml:space="preserve"> </w:t>
            </w:r>
            <w:proofErr w:type="spellStart"/>
            <w:r w:rsidRPr="001050CB">
              <w:rPr>
                <w:color w:val="000000"/>
                <w:sz w:val="16"/>
                <w:szCs w:val="16"/>
                <w:lang w:eastAsia="pl-PL"/>
              </w:rPr>
              <w:t>Tetris</w:t>
            </w:r>
            <w:proofErr w:type="spellEnd"/>
            <w:r w:rsidR="00BF380D">
              <w:rPr>
                <w:color w:val="000000"/>
                <w:sz w:val="16"/>
                <w:szCs w:val="16"/>
                <w:lang w:eastAsia="pl-PL"/>
              </w:rPr>
              <w:t xml:space="preserve"> Sp. z.o.o SKA </w:t>
            </w:r>
            <w:r w:rsidRPr="001050CB">
              <w:rPr>
                <w:color w:val="000000"/>
                <w:sz w:val="16"/>
                <w:szCs w:val="16"/>
                <w:lang w:eastAsia="pl-PL"/>
              </w:rPr>
              <w:t xml:space="preserve"> </w:t>
            </w:r>
            <w:r w:rsidR="00F14CE5">
              <w:rPr>
                <w:color w:val="000000"/>
                <w:sz w:val="16"/>
                <w:szCs w:val="16"/>
                <w:lang w:eastAsia="pl-PL"/>
              </w:rPr>
              <w:t>*</w:t>
            </w:r>
          </w:p>
        </w:tc>
        <w:tc>
          <w:tcPr>
            <w:tcW w:w="1240" w:type="dxa"/>
            <w:shd w:val="clear" w:color="auto" w:fill="C6D9F1" w:themeFill="text2" w:themeFillTint="33"/>
            <w:noWrap/>
            <w:vAlign w:val="bottom"/>
            <w:hideMark/>
          </w:tcPr>
          <w:p w:rsidR="00D06ACE" w:rsidRPr="001050CB" w:rsidRDefault="00D06ACE" w:rsidP="00BF380D">
            <w:pPr>
              <w:rPr>
                <w:rFonts w:ascii="Calibri" w:hAnsi="Calibri"/>
                <w:color w:val="000000"/>
                <w:lang w:eastAsia="pl-PL"/>
              </w:rPr>
            </w:pPr>
            <w:r w:rsidRPr="001050CB">
              <w:rPr>
                <w:rFonts w:ascii="Calibri" w:hAnsi="Calibri"/>
                <w:color w:val="000000"/>
                <w:lang w:eastAsia="pl-PL"/>
              </w:rPr>
              <w:t> </w:t>
            </w:r>
          </w:p>
        </w:tc>
        <w:tc>
          <w:tcPr>
            <w:tcW w:w="1240" w:type="dxa"/>
            <w:shd w:val="clear" w:color="auto" w:fill="C6D9F1" w:themeFill="text2" w:themeFillTint="33"/>
            <w:noWrap/>
            <w:vAlign w:val="bottom"/>
            <w:hideMark/>
          </w:tcPr>
          <w:p w:rsidR="00D06ACE" w:rsidRPr="001050CB" w:rsidRDefault="00D06ACE" w:rsidP="00BF380D">
            <w:pPr>
              <w:rPr>
                <w:rFonts w:ascii="Calibri" w:hAnsi="Calibri"/>
                <w:color w:val="000000"/>
                <w:lang w:eastAsia="pl-PL"/>
              </w:rPr>
            </w:pPr>
            <w:r w:rsidRPr="001050CB">
              <w:rPr>
                <w:rFonts w:ascii="Calibri" w:hAnsi="Calibri"/>
                <w:color w:val="000000"/>
                <w:lang w:eastAsia="pl-PL"/>
              </w:rPr>
              <w:t> </w:t>
            </w:r>
          </w:p>
        </w:tc>
      </w:tr>
      <w:tr w:rsidR="00D06ACE" w:rsidRPr="001050CB" w:rsidTr="001F1E43">
        <w:trPr>
          <w:trHeight w:val="375"/>
        </w:trPr>
        <w:tc>
          <w:tcPr>
            <w:tcW w:w="4020" w:type="dxa"/>
            <w:shd w:val="clear" w:color="000000" w:fill="FFFFFF"/>
            <w:noWrap/>
            <w:vAlign w:val="bottom"/>
            <w:hideMark/>
          </w:tcPr>
          <w:p w:rsidR="00D06ACE" w:rsidRPr="001050CB" w:rsidRDefault="00D06ACE" w:rsidP="00BF380D">
            <w:pPr>
              <w:rPr>
                <w:rFonts w:ascii="Calibri" w:hAnsi="Calibri"/>
                <w:color w:val="000000"/>
                <w:lang w:eastAsia="pl-PL"/>
              </w:rPr>
            </w:pPr>
            <w:r w:rsidRPr="001050CB">
              <w:rPr>
                <w:rFonts w:ascii="Calibri" w:hAnsi="Calibri"/>
                <w:color w:val="000000"/>
                <w:lang w:eastAsia="pl-PL"/>
              </w:rPr>
              <w:t> </w:t>
            </w:r>
          </w:p>
        </w:tc>
        <w:tc>
          <w:tcPr>
            <w:tcW w:w="1240" w:type="dxa"/>
            <w:shd w:val="clear" w:color="000000" w:fill="FFFFFF"/>
            <w:noWrap/>
            <w:vAlign w:val="bottom"/>
            <w:hideMark/>
          </w:tcPr>
          <w:p w:rsidR="00D06ACE" w:rsidRPr="001050CB" w:rsidRDefault="00D06ACE" w:rsidP="00BF380D">
            <w:pPr>
              <w:jc w:val="right"/>
              <w:rPr>
                <w:color w:val="000000"/>
                <w:sz w:val="16"/>
                <w:szCs w:val="16"/>
                <w:lang w:eastAsia="pl-PL"/>
              </w:rPr>
            </w:pPr>
            <w:r w:rsidRPr="001050CB">
              <w:rPr>
                <w:color w:val="000000"/>
                <w:sz w:val="16"/>
                <w:szCs w:val="16"/>
                <w:lang w:eastAsia="pl-PL"/>
              </w:rPr>
              <w:t>do 39 mln zł</w:t>
            </w:r>
          </w:p>
        </w:tc>
        <w:tc>
          <w:tcPr>
            <w:tcW w:w="1240" w:type="dxa"/>
            <w:shd w:val="clear" w:color="000000" w:fill="FFFFFF"/>
            <w:noWrap/>
            <w:vAlign w:val="bottom"/>
            <w:hideMark/>
          </w:tcPr>
          <w:p w:rsidR="00D06ACE" w:rsidRPr="001050CB" w:rsidRDefault="00D06ACE" w:rsidP="00BF380D">
            <w:pPr>
              <w:jc w:val="right"/>
              <w:rPr>
                <w:color w:val="000000"/>
                <w:sz w:val="16"/>
                <w:szCs w:val="16"/>
                <w:lang w:eastAsia="pl-PL"/>
              </w:rPr>
            </w:pPr>
            <w:r w:rsidRPr="001050CB">
              <w:rPr>
                <w:color w:val="000000"/>
                <w:sz w:val="16"/>
                <w:szCs w:val="16"/>
                <w:lang w:eastAsia="pl-PL"/>
              </w:rPr>
              <w:t>20-04-2018</w:t>
            </w:r>
          </w:p>
        </w:tc>
      </w:tr>
      <w:tr w:rsidR="00D06ACE" w:rsidRPr="001050CB" w:rsidTr="00DB02AE">
        <w:trPr>
          <w:trHeight w:val="375"/>
        </w:trPr>
        <w:tc>
          <w:tcPr>
            <w:tcW w:w="4020" w:type="dxa"/>
            <w:shd w:val="clear" w:color="auto" w:fill="C6D9F1" w:themeFill="text2" w:themeFillTint="33"/>
            <w:noWrap/>
            <w:vAlign w:val="bottom"/>
            <w:hideMark/>
          </w:tcPr>
          <w:p w:rsidR="00D06ACE" w:rsidRPr="001050CB" w:rsidRDefault="00D06ACE" w:rsidP="00BF380D">
            <w:pPr>
              <w:rPr>
                <w:color w:val="000000"/>
                <w:sz w:val="16"/>
                <w:szCs w:val="16"/>
                <w:lang w:eastAsia="pl-PL"/>
              </w:rPr>
            </w:pPr>
            <w:r w:rsidRPr="001050CB">
              <w:rPr>
                <w:color w:val="000000"/>
                <w:sz w:val="16"/>
                <w:szCs w:val="16"/>
                <w:lang w:eastAsia="pl-PL"/>
              </w:rPr>
              <w:t xml:space="preserve">Kredyt </w:t>
            </w:r>
            <w:r w:rsidR="008D2D3A" w:rsidRPr="001050CB">
              <w:rPr>
                <w:color w:val="000000"/>
                <w:sz w:val="16"/>
                <w:szCs w:val="16"/>
                <w:lang w:eastAsia="pl-PL"/>
              </w:rPr>
              <w:t>inwestycyjny Dobra</w:t>
            </w:r>
            <w:r w:rsidRPr="001050CB">
              <w:rPr>
                <w:color w:val="000000"/>
                <w:sz w:val="16"/>
                <w:szCs w:val="16"/>
                <w:lang w:eastAsia="pl-PL"/>
              </w:rPr>
              <w:t xml:space="preserve"> Forma </w:t>
            </w:r>
            <w:r w:rsidR="00BF380D">
              <w:rPr>
                <w:color w:val="000000"/>
                <w:sz w:val="16"/>
                <w:szCs w:val="16"/>
                <w:lang w:eastAsia="pl-PL"/>
              </w:rPr>
              <w:t>I Sp. z</w:t>
            </w:r>
            <w:r w:rsidR="00504A18">
              <w:rPr>
                <w:color w:val="000000"/>
                <w:sz w:val="16"/>
                <w:szCs w:val="16"/>
                <w:lang w:eastAsia="pl-PL"/>
              </w:rPr>
              <w:t xml:space="preserve"> </w:t>
            </w:r>
            <w:r w:rsidR="00BF380D">
              <w:rPr>
                <w:color w:val="000000"/>
                <w:sz w:val="16"/>
                <w:szCs w:val="16"/>
                <w:lang w:eastAsia="pl-PL"/>
              </w:rPr>
              <w:t>o.o. SKA</w:t>
            </w:r>
            <w:r w:rsidR="00F14CE5">
              <w:rPr>
                <w:color w:val="000000"/>
                <w:sz w:val="16"/>
                <w:szCs w:val="16"/>
                <w:lang w:eastAsia="pl-PL"/>
              </w:rPr>
              <w:t xml:space="preserve"> **</w:t>
            </w:r>
          </w:p>
        </w:tc>
        <w:tc>
          <w:tcPr>
            <w:tcW w:w="1240" w:type="dxa"/>
            <w:shd w:val="clear" w:color="auto" w:fill="C6D9F1" w:themeFill="text2" w:themeFillTint="33"/>
            <w:noWrap/>
            <w:vAlign w:val="bottom"/>
            <w:hideMark/>
          </w:tcPr>
          <w:p w:rsidR="00D06ACE" w:rsidRPr="001050CB" w:rsidRDefault="00D06ACE" w:rsidP="00BF380D">
            <w:pPr>
              <w:rPr>
                <w:rFonts w:ascii="Calibri" w:hAnsi="Calibri"/>
                <w:color w:val="000000"/>
                <w:lang w:eastAsia="pl-PL"/>
              </w:rPr>
            </w:pPr>
            <w:r w:rsidRPr="001050CB">
              <w:rPr>
                <w:rFonts w:ascii="Calibri" w:hAnsi="Calibri"/>
                <w:color w:val="000000"/>
                <w:lang w:eastAsia="pl-PL"/>
              </w:rPr>
              <w:t> </w:t>
            </w:r>
          </w:p>
        </w:tc>
        <w:tc>
          <w:tcPr>
            <w:tcW w:w="1240" w:type="dxa"/>
            <w:shd w:val="clear" w:color="auto" w:fill="C6D9F1" w:themeFill="text2" w:themeFillTint="33"/>
            <w:noWrap/>
            <w:vAlign w:val="bottom"/>
            <w:hideMark/>
          </w:tcPr>
          <w:p w:rsidR="00D06ACE" w:rsidRPr="001050CB" w:rsidRDefault="00D06ACE" w:rsidP="00BF380D">
            <w:pPr>
              <w:rPr>
                <w:rFonts w:ascii="Calibri" w:hAnsi="Calibri"/>
                <w:color w:val="000000"/>
                <w:lang w:eastAsia="pl-PL"/>
              </w:rPr>
            </w:pPr>
            <w:r w:rsidRPr="001050CB">
              <w:rPr>
                <w:rFonts w:ascii="Calibri" w:hAnsi="Calibri"/>
                <w:color w:val="000000"/>
                <w:lang w:eastAsia="pl-PL"/>
              </w:rPr>
              <w:t> </w:t>
            </w:r>
          </w:p>
        </w:tc>
      </w:tr>
      <w:tr w:rsidR="00D06ACE" w:rsidRPr="001050CB" w:rsidTr="001F1E43">
        <w:trPr>
          <w:trHeight w:val="375"/>
        </w:trPr>
        <w:tc>
          <w:tcPr>
            <w:tcW w:w="4020" w:type="dxa"/>
            <w:shd w:val="clear" w:color="000000" w:fill="FFFFFF"/>
            <w:noWrap/>
            <w:vAlign w:val="bottom"/>
            <w:hideMark/>
          </w:tcPr>
          <w:p w:rsidR="00D06ACE" w:rsidRPr="001050CB" w:rsidRDefault="00D06ACE" w:rsidP="00BF380D">
            <w:pPr>
              <w:rPr>
                <w:rFonts w:ascii="Calibri" w:hAnsi="Calibri"/>
                <w:color w:val="000000"/>
                <w:lang w:eastAsia="pl-PL"/>
              </w:rPr>
            </w:pPr>
            <w:r w:rsidRPr="001050CB">
              <w:rPr>
                <w:rFonts w:ascii="Calibri" w:hAnsi="Calibri"/>
                <w:color w:val="000000"/>
                <w:lang w:eastAsia="pl-PL"/>
              </w:rPr>
              <w:t> </w:t>
            </w:r>
          </w:p>
        </w:tc>
        <w:tc>
          <w:tcPr>
            <w:tcW w:w="1240" w:type="dxa"/>
            <w:shd w:val="clear" w:color="000000" w:fill="FFFFFF"/>
            <w:noWrap/>
            <w:vAlign w:val="bottom"/>
            <w:hideMark/>
          </w:tcPr>
          <w:p w:rsidR="00D06ACE" w:rsidRPr="001050CB" w:rsidRDefault="00D06ACE" w:rsidP="00BF380D">
            <w:pPr>
              <w:jc w:val="right"/>
              <w:rPr>
                <w:color w:val="000000"/>
                <w:sz w:val="16"/>
                <w:szCs w:val="16"/>
                <w:lang w:eastAsia="pl-PL"/>
              </w:rPr>
            </w:pPr>
            <w:r w:rsidRPr="001050CB">
              <w:rPr>
                <w:color w:val="000000"/>
                <w:sz w:val="16"/>
                <w:szCs w:val="16"/>
                <w:lang w:eastAsia="pl-PL"/>
              </w:rPr>
              <w:t>do 36 mln zł</w:t>
            </w:r>
          </w:p>
        </w:tc>
        <w:tc>
          <w:tcPr>
            <w:tcW w:w="1240" w:type="dxa"/>
            <w:shd w:val="clear" w:color="000000" w:fill="FFFFFF"/>
            <w:noWrap/>
            <w:vAlign w:val="bottom"/>
            <w:hideMark/>
          </w:tcPr>
          <w:p w:rsidR="00D06ACE" w:rsidRPr="001050CB" w:rsidRDefault="00D06ACE" w:rsidP="00BF380D">
            <w:pPr>
              <w:jc w:val="right"/>
              <w:rPr>
                <w:color w:val="000000"/>
                <w:sz w:val="16"/>
                <w:szCs w:val="16"/>
                <w:lang w:eastAsia="pl-PL"/>
              </w:rPr>
            </w:pPr>
            <w:r w:rsidRPr="001050CB">
              <w:rPr>
                <w:color w:val="000000"/>
                <w:sz w:val="16"/>
                <w:szCs w:val="16"/>
                <w:lang w:eastAsia="pl-PL"/>
              </w:rPr>
              <w:t>31-03-2018</w:t>
            </w:r>
          </w:p>
        </w:tc>
      </w:tr>
      <w:tr w:rsidR="00E81842" w:rsidRPr="001050CB" w:rsidTr="00DB02AE">
        <w:trPr>
          <w:trHeight w:val="375"/>
        </w:trPr>
        <w:tc>
          <w:tcPr>
            <w:tcW w:w="4020" w:type="dxa"/>
            <w:shd w:val="clear" w:color="auto" w:fill="C6D9F1" w:themeFill="text2" w:themeFillTint="33"/>
            <w:noWrap/>
            <w:vAlign w:val="bottom"/>
          </w:tcPr>
          <w:p w:rsidR="00E81842" w:rsidRPr="001050CB" w:rsidRDefault="00E81842" w:rsidP="00DB02AE">
            <w:pPr>
              <w:rPr>
                <w:color w:val="000000"/>
                <w:sz w:val="16"/>
                <w:szCs w:val="16"/>
                <w:lang w:eastAsia="pl-PL"/>
              </w:rPr>
            </w:pPr>
            <w:r w:rsidRPr="001050CB">
              <w:rPr>
                <w:color w:val="000000"/>
                <w:sz w:val="16"/>
                <w:szCs w:val="16"/>
                <w:lang w:eastAsia="pl-PL"/>
              </w:rPr>
              <w:t xml:space="preserve">Kredyt </w:t>
            </w:r>
            <w:r>
              <w:rPr>
                <w:color w:val="000000"/>
                <w:sz w:val="16"/>
                <w:szCs w:val="16"/>
                <w:lang w:eastAsia="pl-PL"/>
              </w:rPr>
              <w:t>refinansowy Soho Factory</w:t>
            </w:r>
          </w:p>
        </w:tc>
        <w:tc>
          <w:tcPr>
            <w:tcW w:w="1240" w:type="dxa"/>
            <w:shd w:val="clear" w:color="auto" w:fill="C6D9F1" w:themeFill="text2" w:themeFillTint="33"/>
            <w:noWrap/>
            <w:vAlign w:val="bottom"/>
          </w:tcPr>
          <w:p w:rsidR="00E81842" w:rsidRPr="001050CB" w:rsidRDefault="00E81842" w:rsidP="00DB02AE">
            <w:pPr>
              <w:rPr>
                <w:rFonts w:ascii="Calibri" w:hAnsi="Calibri"/>
                <w:color w:val="000000"/>
                <w:lang w:eastAsia="pl-PL"/>
              </w:rPr>
            </w:pPr>
            <w:r w:rsidRPr="001050CB">
              <w:rPr>
                <w:rFonts w:ascii="Calibri" w:hAnsi="Calibri"/>
                <w:color w:val="000000"/>
                <w:lang w:eastAsia="pl-PL"/>
              </w:rPr>
              <w:t> </w:t>
            </w:r>
          </w:p>
        </w:tc>
        <w:tc>
          <w:tcPr>
            <w:tcW w:w="1240" w:type="dxa"/>
            <w:shd w:val="clear" w:color="auto" w:fill="C6D9F1" w:themeFill="text2" w:themeFillTint="33"/>
            <w:noWrap/>
            <w:vAlign w:val="bottom"/>
          </w:tcPr>
          <w:p w:rsidR="00E81842" w:rsidRPr="001050CB" w:rsidRDefault="00E81842" w:rsidP="00DB02AE">
            <w:pPr>
              <w:rPr>
                <w:rFonts w:ascii="Calibri" w:hAnsi="Calibri"/>
                <w:color w:val="000000"/>
                <w:lang w:eastAsia="pl-PL"/>
              </w:rPr>
            </w:pPr>
            <w:r w:rsidRPr="001050CB">
              <w:rPr>
                <w:rFonts w:ascii="Calibri" w:hAnsi="Calibri"/>
                <w:color w:val="000000"/>
                <w:lang w:eastAsia="pl-PL"/>
              </w:rPr>
              <w:t> </w:t>
            </w:r>
          </w:p>
        </w:tc>
      </w:tr>
      <w:tr w:rsidR="001F1E43" w:rsidRPr="001050CB" w:rsidTr="001F1E43">
        <w:trPr>
          <w:trHeight w:val="375"/>
        </w:trPr>
        <w:tc>
          <w:tcPr>
            <w:tcW w:w="4020" w:type="dxa"/>
            <w:shd w:val="clear" w:color="auto" w:fill="auto"/>
            <w:noWrap/>
            <w:vAlign w:val="bottom"/>
          </w:tcPr>
          <w:p w:rsidR="001F1E43" w:rsidRPr="001050CB" w:rsidRDefault="001F1E43" w:rsidP="00DB02AE">
            <w:pPr>
              <w:rPr>
                <w:color w:val="000000"/>
                <w:sz w:val="16"/>
                <w:szCs w:val="16"/>
                <w:lang w:eastAsia="pl-PL"/>
              </w:rPr>
            </w:pPr>
          </w:p>
        </w:tc>
        <w:tc>
          <w:tcPr>
            <w:tcW w:w="1240" w:type="dxa"/>
            <w:shd w:val="clear" w:color="auto" w:fill="auto"/>
            <w:noWrap/>
            <w:vAlign w:val="bottom"/>
          </w:tcPr>
          <w:p w:rsidR="001F1E43" w:rsidRPr="001050CB" w:rsidRDefault="001F1E43" w:rsidP="00534555">
            <w:pPr>
              <w:jc w:val="right"/>
              <w:rPr>
                <w:rFonts w:ascii="Calibri" w:hAnsi="Calibri"/>
                <w:color w:val="000000"/>
                <w:lang w:eastAsia="pl-PL"/>
              </w:rPr>
            </w:pPr>
            <w:r w:rsidRPr="001F1E43">
              <w:rPr>
                <w:color w:val="000000"/>
                <w:sz w:val="16"/>
                <w:szCs w:val="16"/>
                <w:lang w:eastAsia="pl-PL"/>
              </w:rPr>
              <w:t>1,02 mln zł</w:t>
            </w:r>
          </w:p>
        </w:tc>
        <w:tc>
          <w:tcPr>
            <w:tcW w:w="1240" w:type="dxa"/>
            <w:shd w:val="clear" w:color="auto" w:fill="auto"/>
            <w:noWrap/>
            <w:vAlign w:val="bottom"/>
          </w:tcPr>
          <w:p w:rsidR="001F1E43" w:rsidRPr="001050CB" w:rsidRDefault="00534555" w:rsidP="00534555">
            <w:pPr>
              <w:jc w:val="right"/>
              <w:rPr>
                <w:rFonts w:ascii="Calibri" w:hAnsi="Calibri"/>
                <w:color w:val="000000"/>
                <w:lang w:eastAsia="pl-PL"/>
              </w:rPr>
            </w:pPr>
            <w:r w:rsidRPr="00534555">
              <w:rPr>
                <w:color w:val="000000"/>
                <w:sz w:val="16"/>
                <w:szCs w:val="16"/>
                <w:lang w:eastAsia="pl-PL"/>
              </w:rPr>
              <w:t>03-09-2020</w:t>
            </w:r>
          </w:p>
        </w:tc>
      </w:tr>
    </w:tbl>
    <w:p w:rsidR="004011CD" w:rsidRPr="008D2D3A" w:rsidRDefault="00516B5A" w:rsidP="00F14CE5">
      <w:pPr>
        <w:rPr>
          <w:i/>
          <w:sz w:val="18"/>
        </w:rPr>
      </w:pPr>
      <w:r w:rsidRPr="008D2D3A">
        <w:rPr>
          <w:i/>
          <w:sz w:val="18"/>
        </w:rPr>
        <w:t xml:space="preserve">* </w:t>
      </w:r>
      <w:r w:rsidR="003958E8" w:rsidRPr="008D2D3A">
        <w:rPr>
          <w:i/>
          <w:sz w:val="18"/>
        </w:rPr>
        <w:t>Na dzień bilansowy s</w:t>
      </w:r>
      <w:r w:rsidR="00AB362D" w:rsidRPr="008D2D3A">
        <w:rPr>
          <w:i/>
          <w:sz w:val="18"/>
        </w:rPr>
        <w:t xml:space="preserve">aldo kredytu wynosi </w:t>
      </w:r>
      <w:r w:rsidR="003958E8" w:rsidRPr="008D2D3A">
        <w:rPr>
          <w:i/>
          <w:sz w:val="18"/>
        </w:rPr>
        <w:t>8,614</w:t>
      </w:r>
      <w:r w:rsidR="00F14CE5" w:rsidRPr="008D2D3A">
        <w:rPr>
          <w:i/>
          <w:sz w:val="18"/>
        </w:rPr>
        <w:t xml:space="preserve"> tys. zł </w:t>
      </w:r>
    </w:p>
    <w:p w:rsidR="00F14CE5" w:rsidRPr="008D2D3A" w:rsidRDefault="00F14CE5" w:rsidP="00F14CE5">
      <w:pPr>
        <w:rPr>
          <w:i/>
          <w:sz w:val="18"/>
        </w:rPr>
      </w:pPr>
      <w:r w:rsidRPr="008D2D3A">
        <w:rPr>
          <w:i/>
          <w:sz w:val="18"/>
        </w:rPr>
        <w:t>**</w:t>
      </w:r>
      <w:r w:rsidR="00E07634" w:rsidRPr="008D2D3A">
        <w:rPr>
          <w:i/>
          <w:sz w:val="18"/>
        </w:rPr>
        <w:t>Na dzień bilansowy saldo</w:t>
      </w:r>
      <w:r w:rsidR="007F45A7" w:rsidRPr="008D2D3A">
        <w:rPr>
          <w:i/>
          <w:sz w:val="18"/>
        </w:rPr>
        <w:t xml:space="preserve"> </w:t>
      </w:r>
      <w:r w:rsidR="005B3F1B" w:rsidRPr="008D2D3A">
        <w:rPr>
          <w:i/>
          <w:sz w:val="18"/>
        </w:rPr>
        <w:t xml:space="preserve">kredytu </w:t>
      </w:r>
      <w:r w:rsidR="003958E8" w:rsidRPr="008D2D3A">
        <w:rPr>
          <w:i/>
          <w:sz w:val="18"/>
        </w:rPr>
        <w:t>wynosi 7,400 tys. zł</w:t>
      </w:r>
      <w:r w:rsidR="00AB362D" w:rsidRPr="008D2D3A">
        <w:rPr>
          <w:i/>
          <w:sz w:val="18"/>
        </w:rPr>
        <w:t xml:space="preserve"> </w:t>
      </w:r>
    </w:p>
    <w:p w:rsidR="00AB362D" w:rsidRDefault="00AB362D" w:rsidP="00BF380D"/>
    <w:p w:rsidR="00BF380D" w:rsidRPr="007F45A7" w:rsidRDefault="00BF380D" w:rsidP="00BF380D">
      <w:pPr>
        <w:rPr>
          <w:sz w:val="22"/>
        </w:rPr>
      </w:pPr>
      <w:r w:rsidRPr="007F45A7">
        <w:rPr>
          <w:sz w:val="22"/>
        </w:rPr>
        <w:t>Szczegółowe dane dotyczące kredytów i pożyczek znajdują się w nocie 28 Skonsolidowanego Sprawozdania Finansowego.</w:t>
      </w:r>
    </w:p>
    <w:p w:rsidR="00D06ACE" w:rsidRDefault="00D06ACE" w:rsidP="00D06ACE"/>
    <w:p w:rsidR="00D06ACE" w:rsidRDefault="007F45A7" w:rsidP="00042B8E">
      <w:pPr>
        <w:pStyle w:val="Nagwek2"/>
        <w:numPr>
          <w:ilvl w:val="0"/>
          <w:numId w:val="5"/>
        </w:numPr>
        <w:jc w:val="both"/>
        <w:rPr>
          <w:rFonts w:cs="Times New Roman"/>
        </w:rPr>
      </w:pPr>
      <w:bookmarkStart w:id="10" w:name="_Toc452388435"/>
      <w:r>
        <w:rPr>
          <w:rFonts w:cs="Times New Roman"/>
        </w:rPr>
        <w:lastRenderedPageBreak/>
        <w:t>Przewidywany</w:t>
      </w:r>
      <w:r w:rsidR="0077128A">
        <w:rPr>
          <w:rFonts w:cs="Times New Roman"/>
        </w:rPr>
        <w:t xml:space="preserve"> </w:t>
      </w:r>
      <w:r w:rsidR="00737DFB" w:rsidRPr="00737DFB">
        <w:rPr>
          <w:rFonts w:cs="Times New Roman"/>
        </w:rPr>
        <w:t>rozwój Grupy Kapitałowej Emitenta</w:t>
      </w:r>
      <w:bookmarkEnd w:id="10"/>
      <w:r w:rsidR="0083726F" w:rsidRPr="00737DFB">
        <w:rPr>
          <w:rFonts w:cs="Times New Roman"/>
        </w:rPr>
        <w:t xml:space="preserve"> </w:t>
      </w:r>
    </w:p>
    <w:p w:rsidR="00EF774A" w:rsidRPr="00EF774A" w:rsidRDefault="00EF774A" w:rsidP="00EF774A"/>
    <w:p w:rsidR="00EF774A" w:rsidRPr="00516B5A" w:rsidRDefault="00EF774A" w:rsidP="00EF774A">
      <w:pPr>
        <w:pStyle w:val="StylTekstpodstawowyWyjustowany"/>
        <w:spacing w:line="240" w:lineRule="auto"/>
      </w:pPr>
      <w:r w:rsidRPr="00516B5A">
        <w:t xml:space="preserve">Długoterminowa strategia Emitenta zakłada całkowitą koncentrację na działalności deweloperskiej </w:t>
      </w:r>
      <w:r w:rsidR="00A553AD">
        <w:br/>
      </w:r>
      <w:r w:rsidRPr="00516B5A">
        <w:t xml:space="preserve">w oparciu o posiadany bank ziemi. Grunty przeznaczone w perspektywie średnioterminowej </w:t>
      </w:r>
      <w:r w:rsidR="00A553AD">
        <w:br/>
      </w:r>
      <w:r w:rsidRPr="00516B5A">
        <w:t>na realizację projektów deweloperskich są wolne od zabezpieczeń. Główne założenia strategii obejmują:</w:t>
      </w:r>
    </w:p>
    <w:p w:rsidR="00EF774A" w:rsidRPr="00516B5A" w:rsidRDefault="00EF774A" w:rsidP="00EF774A">
      <w:pPr>
        <w:pStyle w:val="StylTekstpodstawowyWyjustowany"/>
        <w:spacing w:line="240" w:lineRule="auto"/>
      </w:pPr>
    </w:p>
    <w:p w:rsidR="00EF774A" w:rsidRPr="00516B5A" w:rsidRDefault="00EF774A" w:rsidP="00EF774A">
      <w:pPr>
        <w:pStyle w:val="StylTekstpodstawowyWyjustowany"/>
        <w:numPr>
          <w:ilvl w:val="0"/>
          <w:numId w:val="32"/>
        </w:numPr>
        <w:tabs>
          <w:tab w:val="clear" w:pos="-567"/>
        </w:tabs>
        <w:spacing w:line="240" w:lineRule="auto"/>
        <w:rPr>
          <w:u w:val="single"/>
        </w:rPr>
      </w:pPr>
      <w:r w:rsidRPr="00516B5A">
        <w:rPr>
          <w:u w:val="single"/>
        </w:rPr>
        <w:t>Efektywne zagospodarowanie posiadanego banku ziemi</w:t>
      </w:r>
    </w:p>
    <w:p w:rsidR="00EF774A" w:rsidRPr="00516B5A" w:rsidRDefault="00EF774A" w:rsidP="00EF774A">
      <w:pPr>
        <w:pStyle w:val="StylTekstpodstawowyWyjustowany"/>
        <w:spacing w:line="240" w:lineRule="auto"/>
        <w:ind w:left="720"/>
      </w:pPr>
      <w:r w:rsidRPr="00516B5A">
        <w:t>Emitent zakłada sukcesywne wprowadzanie do realizacji kolejnych etapów projektu Soho Factory i Dobra Forma oraz prowadzi prace zmierzające do uzyskania optymalnego profilu inwestycji Mińska Development oraz Fabryka PZO.</w:t>
      </w:r>
    </w:p>
    <w:p w:rsidR="00EF774A" w:rsidRPr="00516B5A" w:rsidRDefault="0014424A" w:rsidP="00EF774A">
      <w:pPr>
        <w:pStyle w:val="StylTekstpodstawowyWyjustowany"/>
        <w:numPr>
          <w:ilvl w:val="0"/>
          <w:numId w:val="32"/>
        </w:numPr>
        <w:tabs>
          <w:tab w:val="clear" w:pos="-567"/>
        </w:tabs>
        <w:spacing w:line="240" w:lineRule="auto"/>
        <w:rPr>
          <w:u w:val="single"/>
        </w:rPr>
      </w:pPr>
      <w:r>
        <w:rPr>
          <w:u w:val="single"/>
        </w:rPr>
        <w:t xml:space="preserve">Kapitalizacja </w:t>
      </w:r>
      <w:r w:rsidR="00EF774A" w:rsidRPr="00516B5A">
        <w:rPr>
          <w:u w:val="single"/>
        </w:rPr>
        <w:t>potencjału wynajętych powierzchni  </w:t>
      </w:r>
    </w:p>
    <w:p w:rsidR="00EF774A" w:rsidRPr="00516B5A" w:rsidRDefault="00EF774A" w:rsidP="00EF774A">
      <w:pPr>
        <w:pStyle w:val="StylTekstpodstawowyWyjustowany"/>
        <w:spacing w:line="240" w:lineRule="auto"/>
        <w:ind w:left="708"/>
      </w:pPr>
      <w:r w:rsidRPr="00516B5A">
        <w:t>Powierzchnia zrewitalizowanych i wynajętych budynków na terenie Soho Factory (wykazywanych w segmencie Nieruchomości)</w:t>
      </w:r>
      <w:r w:rsidR="00C71768">
        <w:t>,</w:t>
      </w:r>
      <w:r w:rsidRPr="00516B5A">
        <w:t xml:space="preserve"> </w:t>
      </w:r>
      <w:r w:rsidR="00C71768">
        <w:t>stanowiących docelową część koncepcji Soho,</w:t>
      </w:r>
      <w:r w:rsidR="00016FEC">
        <w:t xml:space="preserve"> </w:t>
      </w:r>
      <w:r w:rsidRPr="00516B5A">
        <w:t>wynosi</w:t>
      </w:r>
      <w:r w:rsidR="0014424A">
        <w:t xml:space="preserve"> </w:t>
      </w:r>
      <w:r w:rsidR="00016FEC">
        <w:t>ok. 4 tys.</w:t>
      </w:r>
      <w:r w:rsidR="0014424A">
        <w:t xml:space="preserve"> m2</w:t>
      </w:r>
      <w:r w:rsidR="009812C6">
        <w:t>.</w:t>
      </w:r>
      <w:r w:rsidR="0014424A" w:rsidRPr="00516B5A">
        <w:t xml:space="preserve"> </w:t>
      </w:r>
      <w:r w:rsidRPr="00516B5A">
        <w:t xml:space="preserve">Zamiarem Emitenta jest zrefinansowanie lub sprzedaż wynajętych lokali o profilu usługowym, </w:t>
      </w:r>
      <w:r w:rsidR="000D065B">
        <w:t xml:space="preserve">handlowym, </w:t>
      </w:r>
      <w:r w:rsidRPr="00516B5A">
        <w:t>biurowym i gastronomicznym.</w:t>
      </w:r>
    </w:p>
    <w:p w:rsidR="00EF774A" w:rsidRPr="00516B5A" w:rsidRDefault="00EF774A" w:rsidP="00EF774A">
      <w:pPr>
        <w:pStyle w:val="StylTekstpodstawowyWyjustowany"/>
        <w:numPr>
          <w:ilvl w:val="0"/>
          <w:numId w:val="32"/>
        </w:numPr>
        <w:tabs>
          <w:tab w:val="clear" w:pos="-567"/>
        </w:tabs>
        <w:spacing w:line="240" w:lineRule="auto"/>
        <w:rPr>
          <w:u w:val="single"/>
        </w:rPr>
      </w:pPr>
      <w:r w:rsidRPr="00516B5A">
        <w:rPr>
          <w:u w:val="single"/>
        </w:rPr>
        <w:t>Uproszczenie struktury Grupy</w:t>
      </w:r>
    </w:p>
    <w:p w:rsidR="00EF774A" w:rsidRPr="00516B5A" w:rsidRDefault="00EF774A" w:rsidP="00EF774A">
      <w:pPr>
        <w:pStyle w:val="StylTekstpodstawowyWyjustowany"/>
        <w:spacing w:line="240" w:lineRule="auto"/>
        <w:ind w:left="720"/>
        <w:rPr>
          <w:u w:val="single"/>
        </w:rPr>
      </w:pPr>
      <w:r w:rsidRPr="00516B5A">
        <w:t>Zakładana jest kontynuacja strategii upraszczania i porządkowania Grupy w celu uzyskania oszczędności kosztowych i funkcjonalnej struktury organizacyjnej.  </w:t>
      </w:r>
    </w:p>
    <w:p w:rsidR="00EF774A" w:rsidRPr="00516B5A" w:rsidRDefault="00EF774A" w:rsidP="00EF774A">
      <w:pPr>
        <w:pStyle w:val="StylTekstpodstawowyWyjustowany"/>
        <w:numPr>
          <w:ilvl w:val="0"/>
          <w:numId w:val="32"/>
        </w:numPr>
        <w:tabs>
          <w:tab w:val="clear" w:pos="-567"/>
        </w:tabs>
        <w:spacing w:line="240" w:lineRule="auto"/>
        <w:rPr>
          <w:u w:val="single"/>
        </w:rPr>
      </w:pPr>
      <w:r w:rsidRPr="00516B5A">
        <w:rPr>
          <w:u w:val="single"/>
        </w:rPr>
        <w:t>Sprzedaż niekluczowych aktywów</w:t>
      </w:r>
    </w:p>
    <w:p w:rsidR="00EF774A" w:rsidRPr="00516B5A" w:rsidRDefault="00EF774A" w:rsidP="00EF774A">
      <w:pPr>
        <w:pStyle w:val="StylTekstpodstawowyWyjustowany"/>
        <w:spacing w:line="240" w:lineRule="auto"/>
        <w:ind w:left="708"/>
      </w:pPr>
      <w:r w:rsidRPr="00516B5A">
        <w:t>Aktywa niestrategiczne przeznaczone są do zbycia w perspektywie średnioterminowej – poprzez ich sprzedaż lub pozyskanie strategicznego partnera.</w:t>
      </w:r>
    </w:p>
    <w:p w:rsidR="00EF774A" w:rsidRPr="00516B5A" w:rsidRDefault="00EF774A" w:rsidP="00EF774A">
      <w:pPr>
        <w:pStyle w:val="StylTekstpodstawowyWyjustowany"/>
        <w:spacing w:line="240" w:lineRule="auto"/>
      </w:pPr>
    </w:p>
    <w:p w:rsidR="00305557" w:rsidRDefault="00EF774A" w:rsidP="00042B8E">
      <w:pPr>
        <w:pStyle w:val="StylTekstpodstawowyWyjustowany"/>
        <w:spacing w:line="240" w:lineRule="auto"/>
      </w:pPr>
      <w:r w:rsidRPr="00516B5A">
        <w:t>Przewidywane wyniki finansowe Grupy uwarunkowane są harmonogramem realizacji i rentowności poszczególnych projektów deweloperskich. W bieżącym</w:t>
      </w:r>
      <w:r w:rsidR="003958E8" w:rsidRPr="003958E8">
        <w:t xml:space="preserve"> </w:t>
      </w:r>
      <w:r w:rsidR="003958E8">
        <w:t>półroczu</w:t>
      </w:r>
      <w:r w:rsidRPr="00516B5A">
        <w:t xml:space="preserve"> uruchomiono </w:t>
      </w:r>
      <w:r w:rsidR="003958E8">
        <w:t xml:space="preserve">kolejny </w:t>
      </w:r>
      <w:r w:rsidRPr="00516B5A">
        <w:t>projekt deweloperski</w:t>
      </w:r>
      <w:r w:rsidR="003958E8">
        <w:t>.</w:t>
      </w:r>
      <w:r w:rsidRPr="00516B5A">
        <w:t xml:space="preserve"> </w:t>
      </w:r>
      <w:r w:rsidR="003958E8">
        <w:t>O</w:t>
      </w:r>
      <w:r w:rsidRPr="00516B5A">
        <w:t>czekiwana stopa zwrotu</w:t>
      </w:r>
      <w:r w:rsidR="003958E8">
        <w:t xml:space="preserve"> z prowadzonych projektów</w:t>
      </w:r>
      <w:r w:rsidRPr="00516B5A">
        <w:t xml:space="preserve"> pozwoli na wykazanie dodatnich wyników finansowych od 2017 r., co związane jest z terminem przekazywania mieszkań w budynku Wars a nast</w:t>
      </w:r>
      <w:r w:rsidR="00516B5A">
        <w:t>ępnie Feniks oraz Dobra Forma I.</w:t>
      </w:r>
    </w:p>
    <w:p w:rsidR="002F735E" w:rsidRDefault="00416216" w:rsidP="004F35C2">
      <w:pPr>
        <w:pStyle w:val="Nagwek2"/>
        <w:numPr>
          <w:ilvl w:val="0"/>
          <w:numId w:val="5"/>
        </w:numPr>
        <w:jc w:val="both"/>
        <w:rPr>
          <w:rFonts w:cs="Times New Roman"/>
          <w:sz w:val="22"/>
          <w:szCs w:val="22"/>
        </w:rPr>
      </w:pPr>
      <w:r>
        <w:rPr>
          <w:rFonts w:cs="Times New Roman"/>
          <w:szCs w:val="28"/>
        </w:rPr>
        <w:t xml:space="preserve"> </w:t>
      </w:r>
      <w:bookmarkStart w:id="11" w:name="_Toc452388436"/>
      <w:r w:rsidR="004A5B10">
        <w:rPr>
          <w:rFonts w:cs="Times New Roman"/>
          <w:szCs w:val="28"/>
        </w:rPr>
        <w:t xml:space="preserve">Uproszczona prezentacja głównych aktywów i zobowiązań </w:t>
      </w:r>
      <w:r w:rsidR="004100A3">
        <w:rPr>
          <w:rFonts w:cs="Times New Roman"/>
          <w:szCs w:val="28"/>
        </w:rPr>
        <w:t>Soho Development</w:t>
      </w:r>
      <w:r w:rsidR="004A5B10">
        <w:rPr>
          <w:rFonts w:cs="Times New Roman"/>
          <w:szCs w:val="28"/>
        </w:rPr>
        <w:t xml:space="preserve"> i FIZAN</w:t>
      </w:r>
      <w:bookmarkEnd w:id="11"/>
      <w:r w:rsidR="004A5B10">
        <w:rPr>
          <w:rFonts w:cs="Times New Roman"/>
          <w:szCs w:val="28"/>
        </w:rPr>
        <w:t xml:space="preserve">  </w:t>
      </w:r>
    </w:p>
    <w:p w:rsidR="00416216" w:rsidRPr="007724F7" w:rsidRDefault="00416216" w:rsidP="00A90E72"/>
    <w:p w:rsidR="00FF447A" w:rsidRDefault="00FF447A" w:rsidP="004E0ADE">
      <w:pPr>
        <w:pStyle w:val="Default"/>
        <w:jc w:val="both"/>
        <w:rPr>
          <w:rFonts w:eastAsia="Calibri" w:cs="Calibri"/>
          <w:color w:val="auto"/>
          <w:sz w:val="22"/>
          <w:szCs w:val="22"/>
        </w:rPr>
      </w:pPr>
      <w:r w:rsidRPr="004E0ADE">
        <w:rPr>
          <w:rFonts w:eastAsia="Calibri" w:cs="Calibri"/>
          <w:color w:val="auto"/>
          <w:sz w:val="22"/>
          <w:szCs w:val="22"/>
        </w:rPr>
        <w:t>Zarząd, w celu przejrzystej prezen</w:t>
      </w:r>
      <w:r w:rsidR="00CE1BFB">
        <w:rPr>
          <w:rFonts w:eastAsia="Calibri" w:cs="Calibri"/>
          <w:color w:val="auto"/>
          <w:sz w:val="22"/>
          <w:szCs w:val="22"/>
        </w:rPr>
        <w:t>tacji składników majątku Emitenta</w:t>
      </w:r>
      <w:r w:rsidRPr="004E0ADE">
        <w:rPr>
          <w:rFonts w:eastAsia="Calibri" w:cs="Calibri"/>
          <w:color w:val="auto"/>
          <w:sz w:val="22"/>
          <w:szCs w:val="22"/>
        </w:rPr>
        <w:t xml:space="preserve">, zamieścił poniżej uproszczoną </w:t>
      </w:r>
      <w:r w:rsidRPr="007F45A7">
        <w:rPr>
          <w:rFonts w:eastAsia="Calibri" w:cs="Calibri"/>
          <w:color w:val="auto"/>
          <w:sz w:val="22"/>
          <w:szCs w:val="22"/>
        </w:rPr>
        <w:t>dekompozycję</w:t>
      </w:r>
      <w:r w:rsidR="00750CDC" w:rsidRPr="007F45A7">
        <w:rPr>
          <w:rFonts w:eastAsia="Calibri" w:cs="Calibri"/>
          <w:color w:val="auto"/>
          <w:sz w:val="22"/>
          <w:szCs w:val="22"/>
        </w:rPr>
        <w:t xml:space="preserve"> jednostkowego</w:t>
      </w:r>
      <w:r w:rsidRPr="007F45A7">
        <w:rPr>
          <w:rFonts w:eastAsia="Calibri" w:cs="Calibri"/>
          <w:color w:val="auto"/>
          <w:sz w:val="22"/>
          <w:szCs w:val="22"/>
        </w:rPr>
        <w:t xml:space="preserve"> sprawozdania z sytuacji finansowej wg. stanu na dzień bilansowy. Część poniższych pozycji stanowi składniki mają</w:t>
      </w:r>
      <w:r w:rsidR="00DD007D" w:rsidRPr="007F45A7">
        <w:rPr>
          <w:rFonts w:eastAsia="Calibri" w:cs="Calibri"/>
          <w:color w:val="auto"/>
          <w:sz w:val="22"/>
          <w:szCs w:val="22"/>
        </w:rPr>
        <w:t>tku Progress FIZAN, którego 100</w:t>
      </w:r>
      <w:r w:rsidRPr="007F45A7">
        <w:rPr>
          <w:rFonts w:eastAsia="Calibri" w:cs="Calibri"/>
          <w:color w:val="auto"/>
          <w:sz w:val="22"/>
          <w:szCs w:val="22"/>
        </w:rPr>
        <w:t>% certyfikatów inwestycyjnych zn</w:t>
      </w:r>
      <w:r w:rsidR="00CE1BFB" w:rsidRPr="007F45A7">
        <w:rPr>
          <w:rFonts w:eastAsia="Calibri" w:cs="Calibri"/>
          <w:color w:val="auto"/>
          <w:sz w:val="22"/>
          <w:szCs w:val="22"/>
        </w:rPr>
        <w:t>ajduje się w posiadaniu Emitenta</w:t>
      </w:r>
      <w:r w:rsidRPr="007F45A7">
        <w:rPr>
          <w:rFonts w:eastAsia="Calibri" w:cs="Calibri"/>
          <w:color w:val="auto"/>
          <w:sz w:val="22"/>
          <w:szCs w:val="22"/>
        </w:rPr>
        <w:t>.</w:t>
      </w:r>
    </w:p>
    <w:p w:rsidR="00E96AAA" w:rsidRDefault="00E96AAA" w:rsidP="004E0ADE">
      <w:pPr>
        <w:pStyle w:val="Default"/>
        <w:jc w:val="both"/>
        <w:rPr>
          <w:rFonts w:eastAsia="Calibri" w:cs="Calibri"/>
          <w:color w:val="auto"/>
          <w:sz w:val="22"/>
          <w:szCs w:val="22"/>
        </w:rPr>
      </w:pPr>
    </w:p>
    <w:p w:rsidR="00E96AAA" w:rsidRPr="004E0ADE" w:rsidRDefault="00E96AAA" w:rsidP="004E0ADE">
      <w:pPr>
        <w:pStyle w:val="Default"/>
        <w:jc w:val="both"/>
        <w:rPr>
          <w:rFonts w:eastAsia="Calibri" w:cs="Calibri"/>
          <w:color w:val="auto"/>
          <w:sz w:val="22"/>
          <w:szCs w:val="22"/>
        </w:rPr>
      </w:pPr>
      <w:r>
        <w:rPr>
          <w:rFonts w:eastAsia="Calibri" w:cs="Calibri"/>
          <w:color w:val="auto"/>
          <w:sz w:val="22"/>
          <w:szCs w:val="22"/>
        </w:rPr>
        <w:t>W zestawieniu ujęto akcje spółki Próchnik S.A. pośrednio i bezpośrednio posiadane przez Progress FIZAN</w:t>
      </w:r>
      <w:r w:rsidR="004E5033">
        <w:rPr>
          <w:rFonts w:eastAsia="Calibri" w:cs="Calibri"/>
          <w:color w:val="auto"/>
          <w:sz w:val="22"/>
          <w:szCs w:val="22"/>
        </w:rPr>
        <w:t>. Powyższe aktywa nie podlegają konsolidacji metoda pełną</w:t>
      </w:r>
      <w:r w:rsidR="00E96079">
        <w:rPr>
          <w:rFonts w:eastAsia="Calibri" w:cs="Calibri"/>
          <w:color w:val="auto"/>
          <w:sz w:val="22"/>
          <w:szCs w:val="22"/>
        </w:rPr>
        <w:t>, ze względu na brak kontroli</w:t>
      </w:r>
      <w:r w:rsidR="00A553AD">
        <w:rPr>
          <w:rFonts w:eastAsia="Calibri" w:cs="Calibri"/>
          <w:color w:val="auto"/>
          <w:sz w:val="22"/>
          <w:szCs w:val="22"/>
        </w:rPr>
        <w:t>.</w:t>
      </w:r>
      <w:r w:rsidR="004E5033">
        <w:rPr>
          <w:rFonts w:eastAsia="Calibri" w:cs="Calibri"/>
          <w:color w:val="auto"/>
          <w:sz w:val="22"/>
          <w:szCs w:val="22"/>
        </w:rPr>
        <w:t xml:space="preserve"> </w:t>
      </w:r>
    </w:p>
    <w:p w:rsidR="00FF447A" w:rsidRPr="004E0ADE" w:rsidRDefault="00FF447A" w:rsidP="004E0ADE">
      <w:pPr>
        <w:pStyle w:val="Default"/>
        <w:jc w:val="both"/>
        <w:rPr>
          <w:rFonts w:eastAsia="Calibri" w:cs="Calibri"/>
          <w:color w:val="auto"/>
          <w:sz w:val="22"/>
          <w:szCs w:val="22"/>
        </w:rPr>
      </w:pPr>
    </w:p>
    <w:p w:rsidR="00FF447A" w:rsidRPr="004E0ADE" w:rsidRDefault="00FF447A" w:rsidP="004E0ADE">
      <w:pPr>
        <w:pStyle w:val="Default"/>
        <w:jc w:val="both"/>
        <w:rPr>
          <w:rFonts w:eastAsia="Calibri" w:cs="Calibri"/>
          <w:color w:val="auto"/>
          <w:sz w:val="22"/>
          <w:szCs w:val="22"/>
        </w:rPr>
      </w:pPr>
      <w:r w:rsidRPr="004E0ADE">
        <w:rPr>
          <w:rFonts w:eastAsia="Calibri" w:cs="Calibri"/>
          <w:color w:val="auto"/>
          <w:sz w:val="22"/>
          <w:szCs w:val="22"/>
        </w:rPr>
        <w:t xml:space="preserve">W poniższym zestawieniu nie ujęto wartości 11,9 mln akcji </w:t>
      </w:r>
      <w:r w:rsidR="00CE1BFB">
        <w:rPr>
          <w:rFonts w:eastAsia="Calibri" w:cs="Calibri"/>
          <w:color w:val="auto"/>
          <w:sz w:val="22"/>
          <w:szCs w:val="22"/>
        </w:rPr>
        <w:t>Soho Development</w:t>
      </w:r>
      <w:r w:rsidRPr="004E0ADE">
        <w:rPr>
          <w:rFonts w:eastAsia="Calibri" w:cs="Calibri"/>
          <w:color w:val="auto"/>
          <w:sz w:val="22"/>
          <w:szCs w:val="22"/>
        </w:rPr>
        <w:t xml:space="preserve"> znajdujących się </w:t>
      </w:r>
      <w:r w:rsidR="00A553AD">
        <w:rPr>
          <w:rFonts w:eastAsia="Calibri" w:cs="Calibri"/>
          <w:color w:val="auto"/>
          <w:sz w:val="22"/>
          <w:szCs w:val="22"/>
        </w:rPr>
        <w:br/>
      </w:r>
      <w:r w:rsidRPr="004E0ADE">
        <w:rPr>
          <w:rFonts w:eastAsia="Calibri" w:cs="Calibri"/>
          <w:color w:val="auto"/>
          <w:sz w:val="22"/>
          <w:szCs w:val="22"/>
        </w:rPr>
        <w:t>w Progr</w:t>
      </w:r>
      <w:r w:rsidR="00DD007D" w:rsidRPr="004E0ADE">
        <w:rPr>
          <w:rFonts w:eastAsia="Calibri" w:cs="Calibri"/>
          <w:color w:val="auto"/>
          <w:sz w:val="22"/>
          <w:szCs w:val="22"/>
        </w:rPr>
        <w:t>ess FIZAN. W związku z tym</w:t>
      </w:r>
      <w:r w:rsidRPr="004E0ADE">
        <w:rPr>
          <w:rFonts w:eastAsia="Calibri" w:cs="Calibri"/>
          <w:color w:val="auto"/>
          <w:sz w:val="22"/>
          <w:szCs w:val="22"/>
        </w:rPr>
        <w:t xml:space="preserve"> do wyliczenia skorygowanej wartości</w:t>
      </w:r>
      <w:r w:rsidR="00DD007D" w:rsidRPr="004E0ADE">
        <w:rPr>
          <w:rFonts w:eastAsia="Calibri" w:cs="Calibri"/>
          <w:color w:val="auto"/>
          <w:sz w:val="22"/>
          <w:szCs w:val="22"/>
        </w:rPr>
        <w:t xml:space="preserve"> aktywów netto </w:t>
      </w:r>
      <w:r w:rsidR="00CE1BFB">
        <w:rPr>
          <w:rFonts w:eastAsia="Calibri" w:cs="Calibri"/>
          <w:color w:val="auto"/>
          <w:sz w:val="22"/>
          <w:szCs w:val="22"/>
        </w:rPr>
        <w:t>Emitenta</w:t>
      </w:r>
      <w:r w:rsidR="00DD007D" w:rsidRPr="004E0ADE">
        <w:rPr>
          <w:rFonts w:eastAsia="Calibri" w:cs="Calibri"/>
          <w:color w:val="auto"/>
          <w:sz w:val="22"/>
          <w:szCs w:val="22"/>
        </w:rPr>
        <w:t xml:space="preserve"> na akcję</w:t>
      </w:r>
      <w:r w:rsidRPr="004E0ADE">
        <w:rPr>
          <w:rFonts w:eastAsia="Calibri" w:cs="Calibri"/>
          <w:color w:val="auto"/>
          <w:sz w:val="22"/>
          <w:szCs w:val="22"/>
        </w:rPr>
        <w:t xml:space="preserve"> przyjęto </w:t>
      </w:r>
      <w:r w:rsidR="00E96AAA" w:rsidRPr="00E96AAA">
        <w:rPr>
          <w:rFonts w:eastAsia="Calibri" w:cs="Calibri"/>
          <w:color w:val="auto"/>
          <w:sz w:val="22"/>
          <w:szCs w:val="22"/>
        </w:rPr>
        <w:t>98</w:t>
      </w:r>
      <w:r w:rsidR="00E81842">
        <w:rPr>
          <w:rFonts w:eastAsia="Calibri" w:cs="Calibri"/>
          <w:color w:val="auto"/>
          <w:sz w:val="22"/>
          <w:szCs w:val="22"/>
        </w:rPr>
        <w:t> </w:t>
      </w:r>
      <w:r w:rsidR="00C83FCF">
        <w:rPr>
          <w:rFonts w:eastAsia="Calibri" w:cs="Calibri"/>
          <w:color w:val="auto"/>
          <w:sz w:val="22"/>
          <w:szCs w:val="22"/>
        </w:rPr>
        <w:t>86</w:t>
      </w:r>
      <w:r w:rsidR="00E81842">
        <w:rPr>
          <w:rFonts w:eastAsia="Calibri" w:cs="Calibri"/>
          <w:color w:val="auto"/>
          <w:sz w:val="22"/>
          <w:szCs w:val="22"/>
        </w:rPr>
        <w:t>8</w:t>
      </w:r>
      <w:r w:rsidR="00E96AAA">
        <w:rPr>
          <w:rFonts w:eastAsia="Calibri" w:cs="Calibri"/>
          <w:color w:val="auto"/>
          <w:sz w:val="22"/>
          <w:szCs w:val="22"/>
        </w:rPr>
        <w:t xml:space="preserve"> </w:t>
      </w:r>
      <w:r w:rsidRPr="004E0ADE">
        <w:rPr>
          <w:rFonts w:eastAsia="Calibri" w:cs="Calibri"/>
          <w:color w:val="auto"/>
          <w:sz w:val="22"/>
          <w:szCs w:val="22"/>
        </w:rPr>
        <w:t>tys. akcji.</w:t>
      </w:r>
    </w:p>
    <w:p w:rsidR="00BE6EE7" w:rsidRPr="004E0ADE" w:rsidRDefault="00BE6EE7" w:rsidP="004E0ADE">
      <w:pPr>
        <w:pStyle w:val="Default"/>
        <w:jc w:val="both"/>
        <w:rPr>
          <w:rFonts w:eastAsia="Calibri" w:cs="Calibri"/>
          <w:color w:val="auto"/>
          <w:sz w:val="22"/>
          <w:szCs w:val="22"/>
        </w:rPr>
      </w:pPr>
    </w:p>
    <w:p w:rsidR="00516B5A" w:rsidRDefault="00516B5A">
      <w:pPr>
        <w:rPr>
          <w:b/>
          <w:i/>
          <w:sz w:val="22"/>
          <w:szCs w:val="22"/>
        </w:rPr>
      </w:pPr>
      <w:r>
        <w:rPr>
          <w:b/>
          <w:i/>
        </w:rPr>
        <w:br w:type="page"/>
      </w:r>
    </w:p>
    <w:p w:rsidR="00E96079" w:rsidRPr="007F45A7" w:rsidRDefault="00E96079" w:rsidP="00FF447A">
      <w:pPr>
        <w:pStyle w:val="Bezodstpw"/>
        <w:ind w:left="0" w:right="-108" w:firstLine="0"/>
        <w:jc w:val="both"/>
        <w:rPr>
          <w:rFonts w:ascii="Times New Roman" w:hAnsi="Times New Roman" w:cs="Times New Roman"/>
          <w:b/>
          <w:i/>
          <w:lang w:val="pl-PL"/>
        </w:rPr>
      </w:pPr>
    </w:p>
    <w:p w:rsidR="00FF447A" w:rsidRDefault="00FF447A" w:rsidP="00FF447A">
      <w:pPr>
        <w:pStyle w:val="Bezodstpw"/>
        <w:ind w:left="0" w:right="-108" w:firstLine="0"/>
        <w:jc w:val="both"/>
        <w:rPr>
          <w:rFonts w:ascii="Times New Roman" w:hAnsi="Times New Roman" w:cs="Times New Roman"/>
          <w:b/>
          <w:i/>
          <w:lang w:val="pl-PL"/>
        </w:rPr>
      </w:pPr>
      <w:r w:rsidRPr="007F45A7">
        <w:rPr>
          <w:rFonts w:ascii="Times New Roman" w:hAnsi="Times New Roman" w:cs="Times New Roman"/>
          <w:b/>
          <w:i/>
          <w:lang w:val="pl-PL"/>
        </w:rPr>
        <w:t xml:space="preserve">Zestawienie wartości aktywów portfelowych </w:t>
      </w:r>
      <w:r w:rsidR="004E5033" w:rsidRPr="007F45A7">
        <w:rPr>
          <w:rFonts w:ascii="Times New Roman" w:hAnsi="Times New Roman" w:cs="Times New Roman"/>
          <w:b/>
          <w:i/>
          <w:lang w:val="pl-PL"/>
        </w:rPr>
        <w:t xml:space="preserve">Emitenta </w:t>
      </w:r>
      <w:r w:rsidRPr="007F45A7">
        <w:rPr>
          <w:rFonts w:ascii="Times New Roman" w:hAnsi="Times New Roman" w:cs="Times New Roman"/>
          <w:b/>
          <w:i/>
          <w:lang w:val="pl-PL"/>
        </w:rPr>
        <w:t>na dzień bilansowy</w:t>
      </w:r>
    </w:p>
    <w:p w:rsidR="00494000" w:rsidRDefault="00494000" w:rsidP="00FF447A">
      <w:pPr>
        <w:pStyle w:val="Bezodstpw"/>
        <w:ind w:left="0" w:right="-108" w:firstLine="0"/>
        <w:jc w:val="both"/>
        <w:rPr>
          <w:rFonts w:ascii="Times New Roman" w:hAnsi="Times New Roman" w:cs="Times New Roman"/>
          <w:b/>
          <w:i/>
          <w:lang w:val="pl-PL"/>
        </w:rPr>
      </w:pPr>
    </w:p>
    <w:tbl>
      <w:tblPr>
        <w:tblW w:w="8320" w:type="dxa"/>
        <w:tblInd w:w="55" w:type="dxa"/>
        <w:tblCellMar>
          <w:left w:w="70" w:type="dxa"/>
          <w:right w:w="70" w:type="dxa"/>
        </w:tblCellMar>
        <w:tblLook w:val="04A0" w:firstRow="1" w:lastRow="0" w:firstColumn="1" w:lastColumn="0" w:noHBand="0" w:noVBand="1"/>
      </w:tblPr>
      <w:tblGrid>
        <w:gridCol w:w="4440"/>
        <w:gridCol w:w="2140"/>
        <w:gridCol w:w="1740"/>
      </w:tblGrid>
      <w:tr w:rsidR="00C83FCF" w:rsidRPr="008D2D3A" w:rsidTr="00C83FCF">
        <w:trPr>
          <w:trHeight w:val="465"/>
        </w:trPr>
        <w:tc>
          <w:tcPr>
            <w:tcW w:w="4440" w:type="dxa"/>
            <w:tcBorders>
              <w:top w:val="single" w:sz="4" w:space="0" w:color="95B3D7"/>
              <w:left w:val="single" w:sz="4" w:space="0" w:color="95B3D7"/>
              <w:bottom w:val="nil"/>
              <w:right w:val="single" w:sz="4" w:space="0" w:color="95B3D7"/>
            </w:tcBorders>
            <w:shd w:val="clear" w:color="000000" w:fill="0F243E"/>
            <w:noWrap/>
            <w:vAlign w:val="center"/>
            <w:hideMark/>
          </w:tcPr>
          <w:p w:rsidR="00C83FCF" w:rsidRPr="008D2D3A" w:rsidRDefault="00C83FCF">
            <w:pPr>
              <w:rPr>
                <w:b/>
                <w:bCs/>
                <w:color w:val="FFFFFF"/>
                <w:sz w:val="18"/>
                <w:szCs w:val="20"/>
              </w:rPr>
            </w:pPr>
            <w:r w:rsidRPr="008D2D3A">
              <w:rPr>
                <w:b/>
                <w:bCs/>
                <w:color w:val="FFFFFF"/>
                <w:sz w:val="18"/>
                <w:szCs w:val="20"/>
              </w:rPr>
              <w:t> </w:t>
            </w:r>
          </w:p>
        </w:tc>
        <w:tc>
          <w:tcPr>
            <w:tcW w:w="2140" w:type="dxa"/>
            <w:tcBorders>
              <w:top w:val="single" w:sz="4" w:space="0" w:color="95B3D7"/>
              <w:left w:val="nil"/>
              <w:bottom w:val="nil"/>
              <w:right w:val="single" w:sz="4" w:space="0" w:color="95B3D7"/>
            </w:tcBorders>
            <w:shd w:val="clear" w:color="000000" w:fill="0F243E"/>
            <w:noWrap/>
            <w:vAlign w:val="center"/>
            <w:hideMark/>
          </w:tcPr>
          <w:p w:rsidR="00C83FCF" w:rsidRPr="008D2D3A" w:rsidRDefault="00C83FCF">
            <w:pPr>
              <w:jc w:val="center"/>
              <w:rPr>
                <w:b/>
                <w:bCs/>
                <w:color w:val="FFFFFF"/>
                <w:sz w:val="18"/>
                <w:szCs w:val="20"/>
              </w:rPr>
            </w:pPr>
            <w:r w:rsidRPr="008D2D3A">
              <w:rPr>
                <w:b/>
                <w:bCs/>
                <w:color w:val="FFFFFF"/>
                <w:sz w:val="18"/>
                <w:szCs w:val="20"/>
              </w:rPr>
              <w:t>SD S.A.</w:t>
            </w:r>
          </w:p>
        </w:tc>
        <w:tc>
          <w:tcPr>
            <w:tcW w:w="1740" w:type="dxa"/>
            <w:tcBorders>
              <w:top w:val="single" w:sz="4" w:space="0" w:color="95B3D7"/>
              <w:left w:val="nil"/>
              <w:bottom w:val="nil"/>
              <w:right w:val="single" w:sz="4" w:space="0" w:color="95B3D7"/>
            </w:tcBorders>
            <w:shd w:val="clear" w:color="000000" w:fill="0F243E"/>
            <w:vAlign w:val="center"/>
            <w:hideMark/>
          </w:tcPr>
          <w:p w:rsidR="00C83FCF" w:rsidRPr="008D2D3A" w:rsidRDefault="00C83FCF">
            <w:pPr>
              <w:jc w:val="center"/>
              <w:rPr>
                <w:b/>
                <w:bCs/>
                <w:color w:val="FFFFFF"/>
                <w:sz w:val="18"/>
                <w:szCs w:val="20"/>
              </w:rPr>
            </w:pPr>
            <w:r w:rsidRPr="008D2D3A">
              <w:rPr>
                <w:b/>
                <w:bCs/>
                <w:color w:val="FFFFFF"/>
                <w:sz w:val="18"/>
                <w:szCs w:val="20"/>
              </w:rPr>
              <w:t>Progress FIZAN</w:t>
            </w:r>
          </w:p>
        </w:tc>
      </w:tr>
      <w:tr w:rsidR="00C83FCF" w:rsidRPr="008D2D3A" w:rsidTr="00C83FCF">
        <w:trPr>
          <w:trHeight w:val="315"/>
        </w:trPr>
        <w:tc>
          <w:tcPr>
            <w:tcW w:w="4440" w:type="dxa"/>
            <w:tcBorders>
              <w:top w:val="nil"/>
              <w:left w:val="single" w:sz="4" w:space="0" w:color="95B3D7"/>
              <w:bottom w:val="nil"/>
              <w:right w:val="single" w:sz="4" w:space="0" w:color="95B3D7"/>
            </w:tcBorders>
            <w:shd w:val="clear" w:color="000000" w:fill="F3F5FF"/>
            <w:noWrap/>
            <w:vAlign w:val="center"/>
            <w:hideMark/>
          </w:tcPr>
          <w:p w:rsidR="00C83FCF" w:rsidRPr="008D2D3A" w:rsidRDefault="00C83FCF">
            <w:pPr>
              <w:rPr>
                <w:b/>
                <w:bCs/>
                <w:color w:val="000000"/>
                <w:sz w:val="18"/>
                <w:szCs w:val="20"/>
              </w:rPr>
            </w:pPr>
            <w:r w:rsidRPr="008D2D3A">
              <w:rPr>
                <w:b/>
                <w:bCs/>
                <w:color w:val="000000"/>
                <w:sz w:val="18"/>
                <w:szCs w:val="20"/>
              </w:rPr>
              <w:t>Spółki portfelowe</w:t>
            </w:r>
          </w:p>
        </w:tc>
        <w:tc>
          <w:tcPr>
            <w:tcW w:w="2140" w:type="dxa"/>
            <w:tcBorders>
              <w:top w:val="single" w:sz="4" w:space="0" w:color="95B3D7"/>
              <w:left w:val="nil"/>
              <w:bottom w:val="nil"/>
              <w:right w:val="single" w:sz="4" w:space="0" w:color="95B3D7"/>
            </w:tcBorders>
            <w:shd w:val="clear" w:color="000000" w:fill="F3F5FF"/>
            <w:noWrap/>
            <w:vAlign w:val="center"/>
            <w:hideMark/>
          </w:tcPr>
          <w:p w:rsidR="00C83FCF" w:rsidRPr="008D2D3A" w:rsidRDefault="00C83FCF">
            <w:pPr>
              <w:jc w:val="center"/>
              <w:rPr>
                <w:color w:val="000000"/>
                <w:sz w:val="18"/>
                <w:szCs w:val="20"/>
              </w:rPr>
            </w:pPr>
            <w:r w:rsidRPr="008D2D3A">
              <w:rPr>
                <w:color w:val="000000"/>
                <w:sz w:val="18"/>
                <w:szCs w:val="20"/>
              </w:rPr>
              <w:t> </w:t>
            </w:r>
          </w:p>
        </w:tc>
        <w:tc>
          <w:tcPr>
            <w:tcW w:w="1740" w:type="dxa"/>
            <w:tcBorders>
              <w:top w:val="nil"/>
              <w:left w:val="nil"/>
              <w:bottom w:val="nil"/>
              <w:right w:val="single" w:sz="4" w:space="0" w:color="95B3D7"/>
            </w:tcBorders>
            <w:shd w:val="clear" w:color="000000" w:fill="F3F5FF"/>
            <w:noWrap/>
            <w:vAlign w:val="center"/>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Soho Factory Sp. z o.o.</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sz w:val="18"/>
                <w:szCs w:val="20"/>
              </w:rPr>
            </w:pPr>
            <w:r w:rsidRPr="008D2D3A">
              <w:rPr>
                <w:sz w:val="18"/>
                <w:szCs w:val="20"/>
              </w:rPr>
              <w:t>182 605</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lang w:val="en-US"/>
              </w:rPr>
            </w:pPr>
            <w:proofErr w:type="spellStart"/>
            <w:r w:rsidRPr="008D2D3A">
              <w:rPr>
                <w:color w:val="000000"/>
                <w:sz w:val="18"/>
                <w:szCs w:val="20"/>
                <w:lang w:val="en-US"/>
              </w:rPr>
              <w:t>Mińska</w:t>
            </w:r>
            <w:proofErr w:type="spellEnd"/>
            <w:r w:rsidRPr="008D2D3A">
              <w:rPr>
                <w:color w:val="000000"/>
                <w:sz w:val="18"/>
                <w:szCs w:val="20"/>
                <w:lang w:val="en-US"/>
              </w:rPr>
              <w:t xml:space="preserve"> Development Sp. z </w:t>
            </w:r>
            <w:proofErr w:type="spellStart"/>
            <w:r w:rsidRPr="008D2D3A">
              <w:rPr>
                <w:color w:val="000000"/>
                <w:sz w:val="18"/>
                <w:szCs w:val="20"/>
                <w:lang w:val="en-US"/>
              </w:rPr>
              <w:t>o.o</w:t>
            </w:r>
            <w:proofErr w:type="spellEnd"/>
            <w:r w:rsidRPr="008D2D3A">
              <w:rPr>
                <w:color w:val="000000"/>
                <w:sz w:val="18"/>
                <w:szCs w:val="20"/>
                <w:lang w:val="en-US"/>
              </w:rPr>
              <w:t>.</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sz w:val="18"/>
                <w:szCs w:val="20"/>
              </w:rPr>
            </w:pPr>
            <w:r w:rsidRPr="008D2D3A">
              <w:rPr>
                <w:sz w:val="18"/>
                <w:szCs w:val="20"/>
              </w:rPr>
              <w:t>33 459</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 xml:space="preserve">Cracovia </w:t>
            </w:r>
            <w:proofErr w:type="spellStart"/>
            <w:r w:rsidRPr="008D2D3A">
              <w:rPr>
                <w:color w:val="000000"/>
                <w:sz w:val="18"/>
                <w:szCs w:val="20"/>
              </w:rPr>
              <w:t>Property</w:t>
            </w:r>
            <w:proofErr w:type="spellEnd"/>
            <w:r w:rsidRPr="008D2D3A">
              <w:rPr>
                <w:color w:val="000000"/>
                <w:sz w:val="18"/>
                <w:szCs w:val="20"/>
              </w:rPr>
              <w:t xml:space="preserve"> Sp. z o.o.</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sz w:val="18"/>
                <w:szCs w:val="20"/>
              </w:rPr>
            </w:pPr>
            <w:r w:rsidRPr="008D2D3A">
              <w:rPr>
                <w:sz w:val="18"/>
                <w:szCs w:val="20"/>
              </w:rPr>
              <w:t>25 615</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Fabryka PZO Sp. z o.o.</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27 625</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lang w:val="en-US"/>
              </w:rPr>
            </w:pPr>
            <w:r w:rsidRPr="008D2D3A">
              <w:rPr>
                <w:color w:val="000000"/>
                <w:sz w:val="18"/>
                <w:szCs w:val="20"/>
                <w:lang w:val="en-US"/>
              </w:rPr>
              <w:t xml:space="preserve">Recycling Park Sp. z </w:t>
            </w:r>
            <w:proofErr w:type="spellStart"/>
            <w:r w:rsidRPr="008D2D3A">
              <w:rPr>
                <w:color w:val="000000"/>
                <w:sz w:val="18"/>
                <w:szCs w:val="20"/>
                <w:lang w:val="en-US"/>
              </w:rPr>
              <w:t>o.o</w:t>
            </w:r>
            <w:proofErr w:type="spellEnd"/>
            <w:r w:rsidRPr="008D2D3A">
              <w:rPr>
                <w:color w:val="000000"/>
                <w:sz w:val="18"/>
                <w:szCs w:val="20"/>
                <w:lang w:val="en-US"/>
              </w:rPr>
              <w:t xml:space="preserve">. </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lang w:val="en-US"/>
              </w:rPr>
            </w:pPr>
            <w:r w:rsidRPr="008D2D3A">
              <w:rPr>
                <w:color w:val="000000"/>
                <w:sz w:val="18"/>
                <w:szCs w:val="20"/>
                <w:lang w:val="en-US"/>
              </w:rPr>
              <w:t> </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4 070</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Recycling Park Kamionka Sp. z o.o.</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20 644</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PZOI</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sz w:val="18"/>
                <w:szCs w:val="20"/>
              </w:rPr>
            </w:pPr>
            <w:r w:rsidRPr="008D2D3A">
              <w:rPr>
                <w:sz w:val="18"/>
                <w:szCs w:val="20"/>
              </w:rPr>
              <w:t>17 434</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30"/>
        </w:trPr>
        <w:tc>
          <w:tcPr>
            <w:tcW w:w="4440" w:type="dxa"/>
            <w:tcBorders>
              <w:top w:val="nil"/>
              <w:left w:val="single" w:sz="4" w:space="0" w:color="95B3D7"/>
              <w:bottom w:val="nil"/>
              <w:right w:val="single" w:sz="4" w:space="0" w:color="95B3D7"/>
            </w:tcBorders>
            <w:shd w:val="clear" w:color="000000" w:fill="F3F5FF"/>
            <w:noWrap/>
            <w:vAlign w:val="center"/>
            <w:hideMark/>
          </w:tcPr>
          <w:p w:rsidR="00C83FCF" w:rsidRPr="008D2D3A" w:rsidRDefault="00C83FCF">
            <w:pPr>
              <w:rPr>
                <w:b/>
                <w:bCs/>
                <w:color w:val="000000"/>
                <w:sz w:val="18"/>
                <w:szCs w:val="20"/>
              </w:rPr>
            </w:pPr>
            <w:r w:rsidRPr="008D2D3A">
              <w:rPr>
                <w:b/>
                <w:bCs/>
                <w:color w:val="000000"/>
                <w:sz w:val="18"/>
                <w:szCs w:val="20"/>
              </w:rPr>
              <w:t>Aktywa inwestycyjne</w:t>
            </w:r>
          </w:p>
        </w:tc>
        <w:tc>
          <w:tcPr>
            <w:tcW w:w="2140" w:type="dxa"/>
            <w:tcBorders>
              <w:top w:val="nil"/>
              <w:left w:val="nil"/>
              <w:bottom w:val="nil"/>
              <w:right w:val="single" w:sz="4" w:space="0" w:color="95B3D7"/>
            </w:tcBorders>
            <w:shd w:val="clear" w:color="000000" w:fill="F3F5FF"/>
            <w:noWrap/>
            <w:vAlign w:val="center"/>
            <w:hideMark/>
          </w:tcPr>
          <w:p w:rsidR="00C83FCF" w:rsidRPr="008D2D3A" w:rsidRDefault="00C83FCF">
            <w:pPr>
              <w:jc w:val="center"/>
              <w:rPr>
                <w:color w:val="000000"/>
                <w:sz w:val="18"/>
                <w:szCs w:val="20"/>
              </w:rPr>
            </w:pPr>
            <w:r w:rsidRPr="008D2D3A">
              <w:rPr>
                <w:color w:val="000000"/>
                <w:sz w:val="18"/>
                <w:szCs w:val="20"/>
              </w:rPr>
              <w:t> </w:t>
            </w:r>
          </w:p>
        </w:tc>
        <w:tc>
          <w:tcPr>
            <w:tcW w:w="1740" w:type="dxa"/>
            <w:tcBorders>
              <w:top w:val="nil"/>
              <w:left w:val="nil"/>
              <w:bottom w:val="nil"/>
              <w:right w:val="single" w:sz="4" w:space="0" w:color="95B3D7"/>
            </w:tcBorders>
            <w:shd w:val="clear" w:color="000000" w:fill="F3F5FF"/>
            <w:noWrap/>
            <w:vAlign w:val="center"/>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Akcje PRC S.A. (1)</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2 386</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16 588</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Akcje SD S.A. (2)</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00"/>
        </w:trPr>
        <w:tc>
          <w:tcPr>
            <w:tcW w:w="4440" w:type="dxa"/>
            <w:tcBorders>
              <w:top w:val="nil"/>
              <w:left w:val="single" w:sz="4" w:space="0" w:color="95B3D7"/>
              <w:bottom w:val="single" w:sz="4" w:space="0" w:color="366092"/>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Środki pieniężne</w:t>
            </w:r>
          </w:p>
        </w:tc>
        <w:tc>
          <w:tcPr>
            <w:tcW w:w="2140" w:type="dxa"/>
            <w:tcBorders>
              <w:top w:val="nil"/>
              <w:left w:val="nil"/>
              <w:bottom w:val="single" w:sz="4" w:space="0" w:color="366092"/>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16 823</w:t>
            </w:r>
          </w:p>
        </w:tc>
        <w:tc>
          <w:tcPr>
            <w:tcW w:w="1740" w:type="dxa"/>
            <w:tcBorders>
              <w:top w:val="nil"/>
              <w:left w:val="nil"/>
              <w:bottom w:val="single" w:sz="4" w:space="0" w:color="366092"/>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6</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auto" w:fill="auto"/>
            <w:noWrap/>
            <w:vAlign w:val="bottom"/>
            <w:hideMark/>
          </w:tcPr>
          <w:p w:rsidR="00C83FCF" w:rsidRPr="008D2D3A" w:rsidRDefault="00C83FCF">
            <w:pPr>
              <w:rPr>
                <w:color w:val="000000"/>
                <w:sz w:val="18"/>
                <w:szCs w:val="20"/>
              </w:rPr>
            </w:pPr>
            <w:r w:rsidRPr="008D2D3A">
              <w:rPr>
                <w:color w:val="000000"/>
                <w:sz w:val="18"/>
                <w:szCs w:val="20"/>
              </w:rPr>
              <w:t>Należności wewnętrzne (pożyczki, obligacje etc.) (3)</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36 015</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00"/>
        </w:trPr>
        <w:tc>
          <w:tcPr>
            <w:tcW w:w="4440" w:type="dxa"/>
            <w:tcBorders>
              <w:top w:val="nil"/>
              <w:left w:val="single" w:sz="4" w:space="0" w:color="95B3D7"/>
              <w:bottom w:val="single" w:sz="4" w:space="0" w:color="366092"/>
              <w:right w:val="single" w:sz="4" w:space="0" w:color="95B3D7"/>
            </w:tcBorders>
            <w:shd w:val="clear" w:color="auto" w:fill="auto"/>
            <w:noWrap/>
            <w:vAlign w:val="bottom"/>
            <w:hideMark/>
          </w:tcPr>
          <w:p w:rsidR="00C83FCF" w:rsidRPr="008D2D3A" w:rsidRDefault="00C83FCF">
            <w:pPr>
              <w:rPr>
                <w:color w:val="000000"/>
                <w:sz w:val="18"/>
                <w:szCs w:val="20"/>
              </w:rPr>
            </w:pPr>
            <w:r w:rsidRPr="008D2D3A">
              <w:rPr>
                <w:color w:val="000000"/>
                <w:sz w:val="18"/>
                <w:szCs w:val="20"/>
              </w:rPr>
              <w:t>Pozostałe aktywa</w:t>
            </w:r>
          </w:p>
        </w:tc>
        <w:tc>
          <w:tcPr>
            <w:tcW w:w="2140" w:type="dxa"/>
            <w:tcBorders>
              <w:top w:val="nil"/>
              <w:left w:val="nil"/>
              <w:bottom w:val="single" w:sz="4" w:space="0" w:color="366092"/>
              <w:right w:val="single" w:sz="4" w:space="0" w:color="95B3D7"/>
            </w:tcBorders>
            <w:shd w:val="clear" w:color="000000" w:fill="FFFFFF"/>
            <w:noWrap/>
            <w:vAlign w:val="bottom"/>
            <w:hideMark/>
          </w:tcPr>
          <w:p w:rsidR="00C83FCF" w:rsidRPr="008D2D3A" w:rsidRDefault="00C83FCF">
            <w:pPr>
              <w:jc w:val="center"/>
              <w:rPr>
                <w:sz w:val="18"/>
                <w:szCs w:val="20"/>
              </w:rPr>
            </w:pPr>
            <w:r w:rsidRPr="008D2D3A">
              <w:rPr>
                <w:sz w:val="18"/>
                <w:szCs w:val="20"/>
              </w:rPr>
              <w:t>12 419</w:t>
            </w:r>
          </w:p>
        </w:tc>
        <w:tc>
          <w:tcPr>
            <w:tcW w:w="1740" w:type="dxa"/>
            <w:tcBorders>
              <w:top w:val="nil"/>
              <w:left w:val="nil"/>
              <w:bottom w:val="single" w:sz="4" w:space="0" w:color="366092"/>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auto" w:fill="auto"/>
            <w:noWrap/>
            <w:vAlign w:val="bottom"/>
            <w:hideMark/>
          </w:tcPr>
          <w:p w:rsidR="00C83FCF" w:rsidRPr="008D2D3A" w:rsidRDefault="00C83FCF">
            <w:pPr>
              <w:rPr>
                <w:b/>
                <w:bCs/>
                <w:color w:val="000000"/>
                <w:sz w:val="18"/>
                <w:szCs w:val="20"/>
              </w:rPr>
            </w:pPr>
            <w:r w:rsidRPr="008D2D3A">
              <w:rPr>
                <w:b/>
                <w:bCs/>
                <w:color w:val="000000"/>
                <w:sz w:val="18"/>
                <w:szCs w:val="20"/>
              </w:rPr>
              <w:t>Zobowiązania odsetkowe</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Zob. zew. - obligacje SGB</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sz w:val="18"/>
                <w:szCs w:val="20"/>
              </w:rPr>
            </w:pPr>
            <w:r w:rsidRPr="008D2D3A">
              <w:rPr>
                <w:sz w:val="18"/>
                <w:szCs w:val="20"/>
              </w:rPr>
              <w:t>-54 714</w:t>
            </w:r>
          </w:p>
        </w:tc>
        <w:tc>
          <w:tcPr>
            <w:tcW w:w="17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color w:val="000000"/>
                <w:sz w:val="18"/>
                <w:szCs w:val="20"/>
              </w:rPr>
            </w:pPr>
            <w:r w:rsidRPr="008D2D3A">
              <w:rPr>
                <w:color w:val="000000"/>
                <w:sz w:val="18"/>
                <w:szCs w:val="20"/>
              </w:rPr>
              <w:t> </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Zob. wew. (4)</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sz w:val="18"/>
                <w:szCs w:val="20"/>
              </w:rPr>
            </w:pPr>
            <w:r w:rsidRPr="008D2D3A">
              <w:rPr>
                <w:sz w:val="18"/>
                <w:szCs w:val="20"/>
              </w:rPr>
              <w:t>-18 301</w:t>
            </w:r>
          </w:p>
        </w:tc>
        <w:tc>
          <w:tcPr>
            <w:tcW w:w="1740" w:type="dxa"/>
            <w:tcBorders>
              <w:top w:val="nil"/>
              <w:left w:val="nil"/>
              <w:bottom w:val="nil"/>
              <w:right w:val="single" w:sz="4" w:space="0" w:color="95B3D7"/>
            </w:tcBorders>
            <w:shd w:val="clear" w:color="auto" w:fill="auto"/>
            <w:noWrap/>
            <w:vAlign w:val="bottom"/>
            <w:hideMark/>
          </w:tcPr>
          <w:p w:rsidR="00C83FCF" w:rsidRPr="008D2D3A" w:rsidRDefault="00C83FCF">
            <w:pPr>
              <w:jc w:val="center"/>
              <w:rPr>
                <w:sz w:val="18"/>
                <w:szCs w:val="20"/>
              </w:rPr>
            </w:pPr>
            <w:r w:rsidRPr="008D2D3A">
              <w:rPr>
                <w:sz w:val="18"/>
                <w:szCs w:val="20"/>
              </w:rPr>
              <w:t> </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auto" w:fill="auto"/>
            <w:noWrap/>
            <w:vAlign w:val="bottom"/>
            <w:hideMark/>
          </w:tcPr>
          <w:p w:rsidR="00C83FCF" w:rsidRPr="008D2D3A" w:rsidRDefault="00C83FCF" w:rsidP="008D2D3A">
            <w:pPr>
              <w:ind w:firstLineChars="100" w:firstLine="180"/>
              <w:rPr>
                <w:color w:val="000000"/>
                <w:sz w:val="18"/>
                <w:szCs w:val="20"/>
              </w:rPr>
            </w:pPr>
            <w:r w:rsidRPr="008D2D3A">
              <w:rPr>
                <w:color w:val="000000"/>
                <w:sz w:val="18"/>
                <w:szCs w:val="20"/>
              </w:rPr>
              <w:t>Pozostałe zobowiązania</w:t>
            </w:r>
          </w:p>
        </w:tc>
        <w:tc>
          <w:tcPr>
            <w:tcW w:w="2140" w:type="dxa"/>
            <w:tcBorders>
              <w:top w:val="nil"/>
              <w:left w:val="nil"/>
              <w:bottom w:val="nil"/>
              <w:right w:val="single" w:sz="4" w:space="0" w:color="95B3D7"/>
            </w:tcBorders>
            <w:shd w:val="clear" w:color="000000" w:fill="FFFFFF"/>
            <w:noWrap/>
            <w:vAlign w:val="bottom"/>
            <w:hideMark/>
          </w:tcPr>
          <w:p w:rsidR="00C83FCF" w:rsidRPr="008D2D3A" w:rsidRDefault="00C83FCF">
            <w:pPr>
              <w:jc w:val="center"/>
              <w:rPr>
                <w:sz w:val="18"/>
                <w:szCs w:val="20"/>
              </w:rPr>
            </w:pPr>
            <w:r w:rsidRPr="008D2D3A">
              <w:rPr>
                <w:sz w:val="18"/>
                <w:szCs w:val="20"/>
              </w:rPr>
              <w:t>-4 134</w:t>
            </w:r>
          </w:p>
        </w:tc>
        <w:tc>
          <w:tcPr>
            <w:tcW w:w="1740" w:type="dxa"/>
            <w:tcBorders>
              <w:top w:val="nil"/>
              <w:left w:val="nil"/>
              <w:bottom w:val="nil"/>
              <w:right w:val="single" w:sz="4" w:space="0" w:color="95B3D7"/>
            </w:tcBorders>
            <w:shd w:val="clear" w:color="auto" w:fill="auto"/>
            <w:noWrap/>
            <w:vAlign w:val="bottom"/>
            <w:hideMark/>
          </w:tcPr>
          <w:p w:rsidR="00C83FCF" w:rsidRPr="008D2D3A" w:rsidRDefault="00C83FCF">
            <w:pPr>
              <w:jc w:val="center"/>
              <w:rPr>
                <w:sz w:val="18"/>
                <w:szCs w:val="20"/>
              </w:rPr>
            </w:pPr>
            <w:r w:rsidRPr="008D2D3A">
              <w:rPr>
                <w:sz w:val="18"/>
                <w:szCs w:val="20"/>
              </w:rPr>
              <w:t>-45</w:t>
            </w:r>
          </w:p>
        </w:tc>
      </w:tr>
      <w:tr w:rsidR="00C83FCF" w:rsidRPr="008D2D3A" w:rsidTr="00C83FCF">
        <w:trPr>
          <w:trHeight w:val="375"/>
        </w:trPr>
        <w:tc>
          <w:tcPr>
            <w:tcW w:w="4440" w:type="dxa"/>
            <w:tcBorders>
              <w:top w:val="single" w:sz="4" w:space="0" w:color="auto"/>
              <w:left w:val="single" w:sz="4" w:space="0" w:color="95B3D7"/>
              <w:bottom w:val="single" w:sz="4" w:space="0" w:color="auto"/>
              <w:right w:val="single" w:sz="4" w:space="0" w:color="95B3D7"/>
            </w:tcBorders>
            <w:shd w:val="clear" w:color="000000" w:fill="F3F5FF"/>
            <w:noWrap/>
            <w:vAlign w:val="center"/>
            <w:hideMark/>
          </w:tcPr>
          <w:p w:rsidR="00C83FCF" w:rsidRPr="008D2D3A" w:rsidRDefault="00C83FCF">
            <w:pPr>
              <w:rPr>
                <w:b/>
                <w:bCs/>
                <w:color w:val="000000"/>
                <w:sz w:val="18"/>
                <w:szCs w:val="20"/>
              </w:rPr>
            </w:pPr>
            <w:r w:rsidRPr="008D2D3A">
              <w:rPr>
                <w:b/>
                <w:bCs/>
                <w:color w:val="000000"/>
                <w:sz w:val="18"/>
                <w:szCs w:val="20"/>
              </w:rPr>
              <w:t xml:space="preserve"> NAV wg. wartości bilansowych</w:t>
            </w:r>
          </w:p>
        </w:tc>
        <w:tc>
          <w:tcPr>
            <w:tcW w:w="2140" w:type="dxa"/>
            <w:tcBorders>
              <w:top w:val="single" w:sz="4" w:space="0" w:color="auto"/>
              <w:left w:val="nil"/>
              <w:bottom w:val="single" w:sz="4" w:space="0" w:color="auto"/>
              <w:right w:val="single" w:sz="4" w:space="0" w:color="95B3D7"/>
            </w:tcBorders>
            <w:shd w:val="clear" w:color="000000" w:fill="F3F5FF"/>
            <w:noWrap/>
            <w:vAlign w:val="center"/>
            <w:hideMark/>
          </w:tcPr>
          <w:p w:rsidR="00C83FCF" w:rsidRPr="008D2D3A" w:rsidRDefault="00C83FCF">
            <w:pPr>
              <w:jc w:val="center"/>
              <w:rPr>
                <w:b/>
                <w:bCs/>
                <w:color w:val="000000"/>
                <w:sz w:val="18"/>
                <w:szCs w:val="20"/>
              </w:rPr>
            </w:pPr>
            <w:r w:rsidRPr="008D2D3A">
              <w:rPr>
                <w:b/>
                <w:bCs/>
                <w:color w:val="000000"/>
                <w:sz w:val="18"/>
                <w:szCs w:val="20"/>
              </w:rPr>
              <w:t>249 607</w:t>
            </w:r>
          </w:p>
        </w:tc>
        <w:tc>
          <w:tcPr>
            <w:tcW w:w="1740" w:type="dxa"/>
            <w:tcBorders>
              <w:top w:val="single" w:sz="4" w:space="0" w:color="auto"/>
              <w:left w:val="nil"/>
              <w:bottom w:val="single" w:sz="4" w:space="0" w:color="auto"/>
              <w:right w:val="single" w:sz="4" w:space="0" w:color="95B3D7"/>
            </w:tcBorders>
            <w:shd w:val="clear" w:color="000000" w:fill="F3F5FF"/>
            <w:noWrap/>
            <w:vAlign w:val="center"/>
            <w:hideMark/>
          </w:tcPr>
          <w:p w:rsidR="00C83FCF" w:rsidRPr="008D2D3A" w:rsidRDefault="00C83FCF">
            <w:pPr>
              <w:jc w:val="center"/>
              <w:rPr>
                <w:b/>
                <w:bCs/>
                <w:color w:val="000000"/>
                <w:sz w:val="18"/>
                <w:szCs w:val="20"/>
              </w:rPr>
            </w:pPr>
            <w:r w:rsidRPr="008D2D3A">
              <w:rPr>
                <w:b/>
                <w:bCs/>
                <w:color w:val="000000"/>
                <w:sz w:val="18"/>
                <w:szCs w:val="20"/>
              </w:rPr>
              <w:t>68 888</w:t>
            </w: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center"/>
            <w:hideMark/>
          </w:tcPr>
          <w:p w:rsidR="00C83FCF" w:rsidRPr="008D2D3A" w:rsidRDefault="00C83FCF">
            <w:pPr>
              <w:rPr>
                <w:color w:val="000000"/>
                <w:sz w:val="18"/>
                <w:szCs w:val="20"/>
              </w:rPr>
            </w:pPr>
            <w:r w:rsidRPr="008D2D3A">
              <w:rPr>
                <w:color w:val="000000"/>
                <w:sz w:val="18"/>
                <w:szCs w:val="20"/>
              </w:rPr>
              <w:t>Skorygowane aktywa</w:t>
            </w:r>
          </w:p>
        </w:tc>
        <w:tc>
          <w:tcPr>
            <w:tcW w:w="2140" w:type="dxa"/>
            <w:tcBorders>
              <w:top w:val="nil"/>
              <w:left w:val="nil"/>
              <w:bottom w:val="nil"/>
              <w:right w:val="single" w:sz="4" w:space="0" w:color="95B3D7"/>
            </w:tcBorders>
            <w:shd w:val="clear" w:color="auto" w:fill="auto"/>
            <w:noWrap/>
            <w:vAlign w:val="center"/>
            <w:hideMark/>
          </w:tcPr>
          <w:p w:rsidR="00C83FCF" w:rsidRPr="008D2D3A" w:rsidRDefault="00C83FCF">
            <w:pPr>
              <w:jc w:val="center"/>
              <w:rPr>
                <w:color w:val="000000"/>
                <w:sz w:val="18"/>
                <w:szCs w:val="20"/>
              </w:rPr>
            </w:pPr>
            <w:r w:rsidRPr="008D2D3A">
              <w:rPr>
                <w:color w:val="000000"/>
                <w:sz w:val="18"/>
                <w:szCs w:val="20"/>
              </w:rPr>
              <w:t>395 645</w:t>
            </w:r>
          </w:p>
        </w:tc>
        <w:tc>
          <w:tcPr>
            <w:tcW w:w="1740" w:type="dxa"/>
            <w:tcBorders>
              <w:top w:val="nil"/>
              <w:left w:val="nil"/>
              <w:bottom w:val="nil"/>
              <w:right w:val="nil"/>
            </w:tcBorders>
            <w:shd w:val="clear" w:color="auto" w:fill="auto"/>
            <w:noWrap/>
            <w:vAlign w:val="center"/>
            <w:hideMark/>
          </w:tcPr>
          <w:p w:rsidR="00C83FCF" w:rsidRPr="008D2D3A" w:rsidRDefault="00C83FCF">
            <w:pPr>
              <w:rPr>
                <w:color w:val="000000"/>
                <w:sz w:val="18"/>
                <w:szCs w:val="20"/>
              </w:rPr>
            </w:pP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center"/>
            <w:hideMark/>
          </w:tcPr>
          <w:p w:rsidR="00C83FCF" w:rsidRPr="008D2D3A" w:rsidRDefault="00C83FCF">
            <w:pPr>
              <w:rPr>
                <w:color w:val="000000"/>
                <w:sz w:val="18"/>
                <w:szCs w:val="20"/>
              </w:rPr>
            </w:pPr>
            <w:r w:rsidRPr="008D2D3A">
              <w:rPr>
                <w:color w:val="000000"/>
                <w:sz w:val="18"/>
                <w:szCs w:val="20"/>
              </w:rPr>
              <w:t>Zobowiązania SD</w:t>
            </w:r>
          </w:p>
        </w:tc>
        <w:tc>
          <w:tcPr>
            <w:tcW w:w="2140" w:type="dxa"/>
            <w:tcBorders>
              <w:top w:val="nil"/>
              <w:left w:val="nil"/>
              <w:bottom w:val="nil"/>
              <w:right w:val="single" w:sz="4" w:space="0" w:color="95B3D7"/>
            </w:tcBorders>
            <w:shd w:val="clear" w:color="auto" w:fill="auto"/>
            <w:noWrap/>
            <w:vAlign w:val="center"/>
            <w:hideMark/>
          </w:tcPr>
          <w:p w:rsidR="00C83FCF" w:rsidRPr="008D2D3A" w:rsidRDefault="00C83FCF">
            <w:pPr>
              <w:jc w:val="center"/>
              <w:rPr>
                <w:color w:val="000000"/>
                <w:sz w:val="18"/>
                <w:szCs w:val="20"/>
              </w:rPr>
            </w:pPr>
            <w:r w:rsidRPr="008D2D3A">
              <w:rPr>
                <w:color w:val="000000"/>
                <w:sz w:val="18"/>
                <w:szCs w:val="20"/>
              </w:rPr>
              <w:t>77 150</w:t>
            </w:r>
          </w:p>
        </w:tc>
        <w:tc>
          <w:tcPr>
            <w:tcW w:w="1740" w:type="dxa"/>
            <w:tcBorders>
              <w:top w:val="nil"/>
              <w:left w:val="nil"/>
              <w:bottom w:val="nil"/>
              <w:right w:val="nil"/>
            </w:tcBorders>
            <w:shd w:val="clear" w:color="auto" w:fill="auto"/>
            <w:noWrap/>
            <w:vAlign w:val="center"/>
            <w:hideMark/>
          </w:tcPr>
          <w:p w:rsidR="00C83FCF" w:rsidRPr="008D2D3A" w:rsidRDefault="00C83FCF">
            <w:pPr>
              <w:rPr>
                <w:color w:val="000000"/>
                <w:sz w:val="18"/>
                <w:szCs w:val="20"/>
              </w:rPr>
            </w:pP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center"/>
            <w:hideMark/>
          </w:tcPr>
          <w:p w:rsidR="00C83FCF" w:rsidRPr="008D2D3A" w:rsidRDefault="00C83FCF">
            <w:pPr>
              <w:rPr>
                <w:color w:val="000000"/>
                <w:sz w:val="18"/>
                <w:szCs w:val="20"/>
              </w:rPr>
            </w:pPr>
            <w:r w:rsidRPr="008D2D3A">
              <w:rPr>
                <w:color w:val="000000"/>
                <w:sz w:val="18"/>
                <w:szCs w:val="20"/>
              </w:rPr>
              <w:t>Dług netto (5)</w:t>
            </w:r>
          </w:p>
        </w:tc>
        <w:tc>
          <w:tcPr>
            <w:tcW w:w="2140" w:type="dxa"/>
            <w:tcBorders>
              <w:top w:val="nil"/>
              <w:left w:val="nil"/>
              <w:bottom w:val="nil"/>
              <w:right w:val="single" w:sz="4" w:space="0" w:color="95B3D7"/>
            </w:tcBorders>
            <w:shd w:val="clear" w:color="auto" w:fill="auto"/>
            <w:noWrap/>
            <w:vAlign w:val="center"/>
            <w:hideMark/>
          </w:tcPr>
          <w:p w:rsidR="00C83FCF" w:rsidRPr="008D2D3A" w:rsidRDefault="00C83FCF">
            <w:pPr>
              <w:jc w:val="center"/>
              <w:rPr>
                <w:color w:val="000000"/>
                <w:sz w:val="18"/>
                <w:szCs w:val="20"/>
              </w:rPr>
            </w:pPr>
            <w:r w:rsidRPr="008D2D3A">
              <w:rPr>
                <w:color w:val="000000"/>
                <w:sz w:val="18"/>
                <w:szCs w:val="20"/>
              </w:rPr>
              <w:t>60 321</w:t>
            </w:r>
          </w:p>
        </w:tc>
        <w:tc>
          <w:tcPr>
            <w:tcW w:w="1740" w:type="dxa"/>
            <w:tcBorders>
              <w:top w:val="nil"/>
              <w:left w:val="nil"/>
              <w:bottom w:val="nil"/>
              <w:right w:val="nil"/>
            </w:tcBorders>
            <w:shd w:val="clear" w:color="auto" w:fill="auto"/>
            <w:noWrap/>
            <w:vAlign w:val="center"/>
            <w:hideMark/>
          </w:tcPr>
          <w:p w:rsidR="00C83FCF" w:rsidRPr="008D2D3A" w:rsidRDefault="00C83FCF">
            <w:pPr>
              <w:rPr>
                <w:color w:val="000000"/>
                <w:sz w:val="18"/>
                <w:szCs w:val="20"/>
              </w:rPr>
            </w:pP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center"/>
            <w:hideMark/>
          </w:tcPr>
          <w:p w:rsidR="00C83FCF" w:rsidRPr="008D2D3A" w:rsidRDefault="00C83FCF">
            <w:pPr>
              <w:rPr>
                <w:color w:val="000000"/>
                <w:sz w:val="18"/>
                <w:szCs w:val="20"/>
              </w:rPr>
            </w:pPr>
            <w:r w:rsidRPr="008D2D3A">
              <w:rPr>
                <w:color w:val="000000"/>
                <w:sz w:val="18"/>
                <w:szCs w:val="20"/>
              </w:rPr>
              <w:t xml:space="preserve">Kapitały własne </w:t>
            </w:r>
          </w:p>
        </w:tc>
        <w:tc>
          <w:tcPr>
            <w:tcW w:w="2140" w:type="dxa"/>
            <w:tcBorders>
              <w:top w:val="nil"/>
              <w:left w:val="nil"/>
              <w:bottom w:val="nil"/>
              <w:right w:val="single" w:sz="4" w:space="0" w:color="95B3D7"/>
            </w:tcBorders>
            <w:shd w:val="clear" w:color="auto" w:fill="auto"/>
            <w:noWrap/>
            <w:vAlign w:val="center"/>
            <w:hideMark/>
          </w:tcPr>
          <w:p w:rsidR="00C83FCF" w:rsidRPr="008D2D3A" w:rsidRDefault="00C83FCF">
            <w:pPr>
              <w:jc w:val="center"/>
              <w:rPr>
                <w:color w:val="000000"/>
                <w:sz w:val="18"/>
                <w:szCs w:val="20"/>
              </w:rPr>
            </w:pPr>
            <w:r w:rsidRPr="008D2D3A">
              <w:rPr>
                <w:color w:val="000000"/>
                <w:sz w:val="18"/>
                <w:szCs w:val="20"/>
              </w:rPr>
              <w:t>318 496</w:t>
            </w:r>
          </w:p>
        </w:tc>
        <w:tc>
          <w:tcPr>
            <w:tcW w:w="1740" w:type="dxa"/>
            <w:tcBorders>
              <w:top w:val="nil"/>
              <w:left w:val="nil"/>
              <w:bottom w:val="nil"/>
              <w:right w:val="nil"/>
            </w:tcBorders>
            <w:shd w:val="clear" w:color="auto" w:fill="auto"/>
            <w:noWrap/>
            <w:vAlign w:val="center"/>
            <w:hideMark/>
          </w:tcPr>
          <w:p w:rsidR="00C83FCF" w:rsidRPr="008D2D3A" w:rsidRDefault="00C83FCF">
            <w:pPr>
              <w:rPr>
                <w:color w:val="000000"/>
                <w:sz w:val="18"/>
                <w:szCs w:val="20"/>
              </w:rPr>
            </w:pPr>
          </w:p>
        </w:tc>
      </w:tr>
      <w:tr w:rsidR="00C83FCF" w:rsidRPr="008D2D3A" w:rsidTr="00C83FCF">
        <w:trPr>
          <w:trHeight w:val="300"/>
        </w:trPr>
        <w:tc>
          <w:tcPr>
            <w:tcW w:w="4440" w:type="dxa"/>
            <w:tcBorders>
              <w:top w:val="nil"/>
              <w:left w:val="single" w:sz="4" w:space="0" w:color="95B3D7"/>
              <w:bottom w:val="nil"/>
              <w:right w:val="single" w:sz="4" w:space="0" w:color="95B3D7"/>
            </w:tcBorders>
            <w:shd w:val="clear" w:color="000000" w:fill="FFFFFF"/>
            <w:noWrap/>
            <w:vAlign w:val="center"/>
            <w:hideMark/>
          </w:tcPr>
          <w:p w:rsidR="00C83FCF" w:rsidRPr="008D2D3A" w:rsidRDefault="00C83FCF">
            <w:pPr>
              <w:rPr>
                <w:color w:val="000000"/>
                <w:sz w:val="18"/>
                <w:szCs w:val="20"/>
              </w:rPr>
            </w:pPr>
            <w:r w:rsidRPr="008D2D3A">
              <w:rPr>
                <w:color w:val="000000"/>
                <w:sz w:val="18"/>
                <w:szCs w:val="20"/>
              </w:rPr>
              <w:t>Liczba akcji (2)</w:t>
            </w:r>
          </w:p>
        </w:tc>
        <w:tc>
          <w:tcPr>
            <w:tcW w:w="2140" w:type="dxa"/>
            <w:tcBorders>
              <w:top w:val="nil"/>
              <w:left w:val="nil"/>
              <w:bottom w:val="nil"/>
              <w:right w:val="single" w:sz="4" w:space="0" w:color="95B3D7"/>
            </w:tcBorders>
            <w:shd w:val="clear" w:color="000000" w:fill="FFFFFF"/>
            <w:noWrap/>
            <w:vAlign w:val="center"/>
            <w:hideMark/>
          </w:tcPr>
          <w:p w:rsidR="00C83FCF" w:rsidRPr="008D2D3A" w:rsidRDefault="00C83FCF" w:rsidP="00E81842">
            <w:pPr>
              <w:jc w:val="center"/>
              <w:rPr>
                <w:color w:val="000000"/>
                <w:sz w:val="18"/>
                <w:szCs w:val="20"/>
              </w:rPr>
            </w:pPr>
            <w:r w:rsidRPr="008D2D3A">
              <w:rPr>
                <w:color w:val="000000"/>
                <w:sz w:val="18"/>
                <w:szCs w:val="20"/>
              </w:rPr>
              <w:t>98 86</w:t>
            </w:r>
            <w:r w:rsidR="00E81842" w:rsidRPr="008D2D3A">
              <w:rPr>
                <w:color w:val="000000"/>
                <w:sz w:val="18"/>
                <w:szCs w:val="20"/>
              </w:rPr>
              <w:t>8</w:t>
            </w:r>
          </w:p>
        </w:tc>
        <w:tc>
          <w:tcPr>
            <w:tcW w:w="1740" w:type="dxa"/>
            <w:tcBorders>
              <w:top w:val="nil"/>
              <w:left w:val="nil"/>
              <w:bottom w:val="nil"/>
              <w:right w:val="nil"/>
            </w:tcBorders>
            <w:shd w:val="clear" w:color="auto" w:fill="auto"/>
            <w:noWrap/>
            <w:vAlign w:val="center"/>
            <w:hideMark/>
          </w:tcPr>
          <w:p w:rsidR="00C83FCF" w:rsidRPr="008D2D3A" w:rsidRDefault="00C83FCF">
            <w:pPr>
              <w:rPr>
                <w:color w:val="000000"/>
                <w:sz w:val="18"/>
                <w:szCs w:val="20"/>
              </w:rPr>
            </w:pPr>
          </w:p>
        </w:tc>
      </w:tr>
      <w:tr w:rsidR="00C83FCF" w:rsidRPr="008D2D3A" w:rsidTr="00C83FCF">
        <w:trPr>
          <w:trHeight w:val="345"/>
        </w:trPr>
        <w:tc>
          <w:tcPr>
            <w:tcW w:w="4440" w:type="dxa"/>
            <w:tcBorders>
              <w:top w:val="nil"/>
              <w:left w:val="single" w:sz="4" w:space="0" w:color="95B3D7"/>
              <w:bottom w:val="single" w:sz="4" w:space="0" w:color="95B3D7"/>
              <w:right w:val="single" w:sz="4" w:space="0" w:color="95B3D7"/>
            </w:tcBorders>
            <w:shd w:val="clear" w:color="000000" w:fill="0F243E"/>
            <w:noWrap/>
            <w:vAlign w:val="center"/>
            <w:hideMark/>
          </w:tcPr>
          <w:p w:rsidR="00C83FCF" w:rsidRPr="008D2D3A" w:rsidRDefault="00C83FCF">
            <w:pPr>
              <w:rPr>
                <w:b/>
                <w:bCs/>
                <w:color w:val="FFFFFF"/>
                <w:sz w:val="18"/>
                <w:szCs w:val="20"/>
              </w:rPr>
            </w:pPr>
            <w:r w:rsidRPr="008D2D3A">
              <w:rPr>
                <w:b/>
                <w:bCs/>
                <w:color w:val="FFFFFF"/>
                <w:sz w:val="18"/>
                <w:szCs w:val="20"/>
              </w:rPr>
              <w:t>NAV na akcje</w:t>
            </w:r>
          </w:p>
        </w:tc>
        <w:tc>
          <w:tcPr>
            <w:tcW w:w="2140" w:type="dxa"/>
            <w:tcBorders>
              <w:top w:val="nil"/>
              <w:left w:val="nil"/>
              <w:bottom w:val="single" w:sz="4" w:space="0" w:color="95B3D7"/>
              <w:right w:val="single" w:sz="4" w:space="0" w:color="95B3D7"/>
            </w:tcBorders>
            <w:shd w:val="clear" w:color="000000" w:fill="0F243E"/>
            <w:noWrap/>
            <w:vAlign w:val="center"/>
            <w:hideMark/>
          </w:tcPr>
          <w:p w:rsidR="00C83FCF" w:rsidRPr="008D2D3A" w:rsidRDefault="00C83FCF">
            <w:pPr>
              <w:jc w:val="center"/>
              <w:rPr>
                <w:b/>
                <w:bCs/>
                <w:color w:val="FFFFFF"/>
                <w:sz w:val="18"/>
                <w:szCs w:val="20"/>
              </w:rPr>
            </w:pPr>
            <w:r w:rsidRPr="008D2D3A">
              <w:rPr>
                <w:b/>
                <w:bCs/>
                <w:color w:val="FFFFFF"/>
                <w:sz w:val="18"/>
                <w:szCs w:val="20"/>
              </w:rPr>
              <w:t>3,22</w:t>
            </w:r>
          </w:p>
        </w:tc>
        <w:tc>
          <w:tcPr>
            <w:tcW w:w="1740" w:type="dxa"/>
            <w:tcBorders>
              <w:top w:val="nil"/>
              <w:left w:val="nil"/>
              <w:bottom w:val="nil"/>
              <w:right w:val="nil"/>
            </w:tcBorders>
            <w:shd w:val="clear" w:color="auto" w:fill="auto"/>
            <w:noWrap/>
            <w:vAlign w:val="bottom"/>
            <w:hideMark/>
          </w:tcPr>
          <w:p w:rsidR="00C83FCF" w:rsidRPr="008D2D3A" w:rsidRDefault="00C83FCF">
            <w:pPr>
              <w:rPr>
                <w:color w:val="000000"/>
                <w:sz w:val="18"/>
                <w:szCs w:val="20"/>
              </w:rPr>
            </w:pPr>
          </w:p>
        </w:tc>
      </w:tr>
    </w:tbl>
    <w:p w:rsidR="00C83FCF" w:rsidRPr="00C83FCF" w:rsidRDefault="00C83FCF" w:rsidP="00C83FCF">
      <w:pPr>
        <w:jc w:val="both"/>
        <w:rPr>
          <w:i/>
          <w:sz w:val="20"/>
          <w:szCs w:val="20"/>
        </w:rPr>
      </w:pPr>
      <w:r w:rsidRPr="00C83FCF">
        <w:rPr>
          <w:i/>
          <w:sz w:val="20"/>
          <w:szCs w:val="20"/>
        </w:rPr>
        <w:t>(1) z uwzględnieniem akcji posiadanych przez podmioty zależne</w:t>
      </w:r>
    </w:p>
    <w:p w:rsidR="00C83FCF" w:rsidRPr="00C83FCF" w:rsidRDefault="00C83FCF" w:rsidP="00C83FCF">
      <w:pPr>
        <w:jc w:val="both"/>
        <w:rPr>
          <w:i/>
          <w:sz w:val="20"/>
          <w:szCs w:val="20"/>
        </w:rPr>
      </w:pPr>
      <w:r w:rsidRPr="00C83FCF">
        <w:rPr>
          <w:i/>
          <w:sz w:val="20"/>
          <w:szCs w:val="20"/>
        </w:rPr>
        <w:t xml:space="preserve">(2) bez akcji własnych oraz pakietu posiadanego przez Progress FIZAN (akcje </w:t>
      </w:r>
      <w:r>
        <w:rPr>
          <w:i/>
          <w:sz w:val="20"/>
          <w:szCs w:val="20"/>
        </w:rPr>
        <w:t>SD</w:t>
      </w:r>
      <w:r w:rsidRPr="00C83FCF">
        <w:rPr>
          <w:i/>
          <w:sz w:val="20"/>
          <w:szCs w:val="20"/>
        </w:rPr>
        <w:t xml:space="preserve"> posiadane przez Progress FIZAN zostały wyłączone z aktywów)</w:t>
      </w:r>
    </w:p>
    <w:p w:rsidR="00C83FCF" w:rsidRPr="00C83FCF" w:rsidRDefault="00C83FCF" w:rsidP="00C83FCF">
      <w:pPr>
        <w:jc w:val="both"/>
        <w:rPr>
          <w:i/>
          <w:sz w:val="20"/>
          <w:szCs w:val="20"/>
        </w:rPr>
      </w:pPr>
      <w:r w:rsidRPr="00C83FCF">
        <w:rPr>
          <w:i/>
          <w:sz w:val="20"/>
          <w:szCs w:val="20"/>
        </w:rPr>
        <w:t xml:space="preserve">(3) wyłącznie finansowanie spółek z Grupy </w:t>
      </w:r>
      <w:r>
        <w:rPr>
          <w:i/>
          <w:sz w:val="20"/>
          <w:szCs w:val="20"/>
        </w:rPr>
        <w:t>SD</w:t>
      </w:r>
    </w:p>
    <w:p w:rsidR="00C83FCF" w:rsidRPr="00C83FCF" w:rsidRDefault="00C83FCF" w:rsidP="00C83FCF">
      <w:pPr>
        <w:jc w:val="both"/>
        <w:rPr>
          <w:i/>
          <w:sz w:val="20"/>
          <w:szCs w:val="20"/>
        </w:rPr>
      </w:pPr>
      <w:r w:rsidRPr="00C83FCF">
        <w:rPr>
          <w:i/>
          <w:sz w:val="20"/>
          <w:szCs w:val="20"/>
        </w:rPr>
        <w:t xml:space="preserve">(4) zobowiązania </w:t>
      </w:r>
      <w:r>
        <w:rPr>
          <w:i/>
          <w:sz w:val="20"/>
          <w:szCs w:val="20"/>
        </w:rPr>
        <w:t>SD</w:t>
      </w:r>
      <w:r w:rsidRPr="00C83FCF">
        <w:rPr>
          <w:i/>
          <w:sz w:val="20"/>
          <w:szCs w:val="20"/>
        </w:rPr>
        <w:t xml:space="preserve"> i Progress FIZAN wobec spółek z Grupy </w:t>
      </w:r>
      <w:r>
        <w:rPr>
          <w:i/>
          <w:sz w:val="20"/>
          <w:szCs w:val="20"/>
        </w:rPr>
        <w:t>SD</w:t>
      </w:r>
    </w:p>
    <w:p w:rsidR="00630E3C" w:rsidRPr="00C83FCF" w:rsidRDefault="00C83FCF" w:rsidP="00FF447A">
      <w:pPr>
        <w:jc w:val="both"/>
        <w:rPr>
          <w:i/>
          <w:sz w:val="20"/>
          <w:szCs w:val="20"/>
        </w:rPr>
      </w:pPr>
      <w:r w:rsidRPr="00C83FCF">
        <w:rPr>
          <w:i/>
          <w:sz w:val="20"/>
          <w:szCs w:val="20"/>
        </w:rPr>
        <w:t>(5) zobowiązania zewnętrzne minus środki pieniężne</w:t>
      </w:r>
    </w:p>
    <w:p w:rsidR="00364E1B" w:rsidRDefault="00364E1B" w:rsidP="007873EC">
      <w:pPr>
        <w:jc w:val="both"/>
        <w:rPr>
          <w:noProof/>
          <w:lang w:eastAsia="pl-PL"/>
        </w:rPr>
      </w:pPr>
    </w:p>
    <w:p w:rsidR="007873EC" w:rsidRDefault="00364E1B" w:rsidP="007873EC">
      <w:pPr>
        <w:jc w:val="both"/>
        <w:rPr>
          <w:noProof/>
          <w:lang w:eastAsia="pl-PL"/>
        </w:rPr>
      </w:pPr>
      <w:r>
        <w:rPr>
          <w:noProof/>
          <w:lang w:eastAsia="pl-PL"/>
        </w:rPr>
        <w:t>Wartość aktywów netto na akcję,</w:t>
      </w:r>
      <w:r w:rsidR="007873EC">
        <w:rPr>
          <w:noProof/>
          <w:lang w:eastAsia="pl-PL"/>
        </w:rPr>
        <w:t xml:space="preserve"> wskazana </w:t>
      </w:r>
      <w:r>
        <w:rPr>
          <w:noProof/>
          <w:lang w:eastAsia="pl-PL"/>
        </w:rPr>
        <w:t xml:space="preserve">w powyższej </w:t>
      </w:r>
      <w:r w:rsidRPr="004E5033">
        <w:rPr>
          <w:noProof/>
          <w:lang w:eastAsia="pl-PL"/>
        </w:rPr>
        <w:t xml:space="preserve">tabeli </w:t>
      </w:r>
      <w:r w:rsidRPr="00903578">
        <w:rPr>
          <w:noProof/>
          <w:lang w:eastAsia="pl-PL"/>
        </w:rPr>
        <w:t>(3,</w:t>
      </w:r>
      <w:r w:rsidR="00C83FCF">
        <w:rPr>
          <w:noProof/>
          <w:lang w:eastAsia="pl-PL"/>
        </w:rPr>
        <w:t>22</w:t>
      </w:r>
      <w:r w:rsidRPr="00903578">
        <w:rPr>
          <w:noProof/>
          <w:lang w:eastAsia="pl-PL"/>
        </w:rPr>
        <w:t xml:space="preserve"> zł)</w:t>
      </w:r>
      <w:r w:rsidRPr="004E5033">
        <w:rPr>
          <w:noProof/>
          <w:lang w:eastAsia="pl-PL"/>
        </w:rPr>
        <w:t xml:space="preserve"> róż</w:t>
      </w:r>
      <w:r w:rsidR="007873EC" w:rsidRPr="004E5033">
        <w:rPr>
          <w:noProof/>
          <w:lang w:eastAsia="pl-PL"/>
        </w:rPr>
        <w:t>ni się od pozycji wykazywanej w sp</w:t>
      </w:r>
      <w:r w:rsidR="00CE1BFB" w:rsidRPr="004E5033">
        <w:rPr>
          <w:noProof/>
          <w:lang w:eastAsia="pl-PL"/>
        </w:rPr>
        <w:t>rawozdaniu jednostkowym Emitenta</w:t>
      </w:r>
      <w:r w:rsidR="007873EC" w:rsidRPr="004E5033">
        <w:rPr>
          <w:noProof/>
          <w:lang w:eastAsia="pl-PL"/>
        </w:rPr>
        <w:t xml:space="preserve"> </w:t>
      </w:r>
      <w:r w:rsidR="007873EC" w:rsidRPr="00903578">
        <w:rPr>
          <w:noProof/>
          <w:lang w:eastAsia="pl-PL"/>
        </w:rPr>
        <w:t>(</w:t>
      </w:r>
      <w:r w:rsidR="00D26548">
        <w:rPr>
          <w:noProof/>
          <w:lang w:eastAsia="pl-PL"/>
        </w:rPr>
        <w:t xml:space="preserve">3,02 </w:t>
      </w:r>
      <w:r w:rsidR="007873EC" w:rsidRPr="00903578">
        <w:rPr>
          <w:noProof/>
          <w:lang w:eastAsia="pl-PL"/>
        </w:rPr>
        <w:t>zł)</w:t>
      </w:r>
      <w:r w:rsidR="007873EC" w:rsidRPr="004E5033">
        <w:rPr>
          <w:noProof/>
          <w:lang w:eastAsia="pl-PL"/>
        </w:rPr>
        <w:t xml:space="preserve"> ze względu na metodologię ujęcia wartości akcji </w:t>
      </w:r>
      <w:r w:rsidR="004E0ADE" w:rsidRPr="00E96079">
        <w:rPr>
          <w:noProof/>
          <w:lang w:eastAsia="pl-PL"/>
        </w:rPr>
        <w:t xml:space="preserve">Soho Development </w:t>
      </w:r>
      <w:r w:rsidR="007873EC" w:rsidRPr="00E96079">
        <w:rPr>
          <w:noProof/>
          <w:lang w:eastAsia="pl-PL"/>
        </w:rPr>
        <w:t>stanowiąc</w:t>
      </w:r>
      <w:r w:rsidR="009F5516" w:rsidRPr="00E96079">
        <w:rPr>
          <w:noProof/>
          <w:lang w:eastAsia="pl-PL"/>
        </w:rPr>
        <w:t>ych</w:t>
      </w:r>
      <w:r w:rsidR="007873EC" w:rsidRPr="00E96079">
        <w:rPr>
          <w:noProof/>
          <w:lang w:eastAsia="pl-PL"/>
        </w:rPr>
        <w:t xml:space="preserve"> składnik</w:t>
      </w:r>
      <w:r w:rsidR="007873EC">
        <w:rPr>
          <w:noProof/>
          <w:lang w:eastAsia="pl-PL"/>
        </w:rPr>
        <w:t xml:space="preserve"> portfela Progress FIZAN </w:t>
      </w:r>
      <w:r w:rsidR="00A553AD">
        <w:rPr>
          <w:noProof/>
          <w:lang w:eastAsia="pl-PL"/>
        </w:rPr>
        <w:br/>
      </w:r>
      <w:r w:rsidR="007873EC">
        <w:rPr>
          <w:noProof/>
          <w:lang w:eastAsia="pl-PL"/>
        </w:rPr>
        <w:t xml:space="preserve">tj. </w:t>
      </w:r>
      <w:r w:rsidR="00C70260">
        <w:rPr>
          <w:noProof/>
          <w:lang w:eastAsia="pl-PL"/>
        </w:rPr>
        <w:t>wielkości tych</w:t>
      </w:r>
      <w:r w:rsidR="007873EC">
        <w:rPr>
          <w:noProof/>
          <w:lang w:eastAsia="pl-PL"/>
        </w:rPr>
        <w:t xml:space="preserve"> nie ujęt</w:t>
      </w:r>
      <w:r w:rsidR="00C70260">
        <w:rPr>
          <w:noProof/>
          <w:lang w:eastAsia="pl-PL"/>
        </w:rPr>
        <w:t>o</w:t>
      </w:r>
      <w:r w:rsidR="007873EC">
        <w:rPr>
          <w:noProof/>
          <w:lang w:eastAsia="pl-PL"/>
        </w:rPr>
        <w:t xml:space="preserve"> </w:t>
      </w:r>
      <w:r w:rsidR="00372330">
        <w:rPr>
          <w:noProof/>
          <w:lang w:eastAsia="pl-PL"/>
        </w:rPr>
        <w:t xml:space="preserve">zarówno </w:t>
      </w:r>
      <w:r w:rsidR="007873EC">
        <w:rPr>
          <w:noProof/>
          <w:lang w:eastAsia="pl-PL"/>
        </w:rPr>
        <w:t>w</w:t>
      </w:r>
      <w:r w:rsidR="00372330">
        <w:rPr>
          <w:noProof/>
          <w:lang w:eastAsia="pl-PL"/>
        </w:rPr>
        <w:t xml:space="preserve"> aktywach inwestycyjnch oraz w </w:t>
      </w:r>
      <w:r w:rsidR="007873EC">
        <w:rPr>
          <w:noProof/>
          <w:lang w:eastAsia="pl-PL"/>
        </w:rPr>
        <w:t>liczbie akcji.</w:t>
      </w:r>
    </w:p>
    <w:p w:rsidR="0019491B" w:rsidRDefault="0019491B" w:rsidP="00FF447A">
      <w:pPr>
        <w:jc w:val="both"/>
        <w:rPr>
          <w:noProof/>
          <w:lang w:eastAsia="pl-PL"/>
        </w:rPr>
      </w:pPr>
    </w:p>
    <w:p w:rsidR="00110660" w:rsidRPr="00C70260" w:rsidRDefault="00110660" w:rsidP="00C70260">
      <w:pPr>
        <w:pStyle w:val="Nagwek2"/>
        <w:numPr>
          <w:ilvl w:val="0"/>
          <w:numId w:val="5"/>
        </w:numPr>
        <w:tabs>
          <w:tab w:val="num" w:pos="1440"/>
        </w:tabs>
        <w:spacing w:after="120"/>
        <w:ind w:left="357" w:right="-108" w:hanging="357"/>
        <w:jc w:val="both"/>
      </w:pPr>
      <w:bookmarkStart w:id="12" w:name="_Toc452388437"/>
      <w:r w:rsidRPr="00C70260">
        <w:lastRenderedPageBreak/>
        <w:t xml:space="preserve">Informacje o udzielonych w danym </w:t>
      </w:r>
      <w:r w:rsidR="007C4917">
        <w:t>półroczu</w:t>
      </w:r>
      <w:r w:rsidRPr="00C70260">
        <w:t xml:space="preserve"> obrotowym pożyczkach, ze szczególnym uwzględnieniem pożyczek udzielonych jednostkom powiązanym emitenta, z podaniem co najmniej ich kwoty, rodzaju i wysokości stopy procentowej, waluty i terminu wymagalności;</w:t>
      </w:r>
      <w:bookmarkEnd w:id="12"/>
    </w:p>
    <w:p w:rsidR="00110660" w:rsidRDefault="00110660" w:rsidP="00110660">
      <w:pPr>
        <w:rPr>
          <w:sz w:val="22"/>
          <w:szCs w:val="22"/>
        </w:rPr>
      </w:pPr>
    </w:p>
    <w:p w:rsidR="00110660" w:rsidRPr="00C70260" w:rsidRDefault="00110660" w:rsidP="00110660">
      <w:r w:rsidRPr="00C70260">
        <w:rPr>
          <w:sz w:val="22"/>
          <w:szCs w:val="22"/>
        </w:rPr>
        <w:t xml:space="preserve">Informacje o </w:t>
      </w:r>
      <w:r w:rsidRPr="00E43015">
        <w:rPr>
          <w:sz w:val="22"/>
          <w:szCs w:val="22"/>
        </w:rPr>
        <w:t xml:space="preserve">udzielonych pożyczkach zostały opisane w </w:t>
      </w:r>
      <w:r w:rsidRPr="00394387">
        <w:rPr>
          <w:sz w:val="22"/>
          <w:szCs w:val="22"/>
        </w:rPr>
        <w:t>nocie 2</w:t>
      </w:r>
      <w:r w:rsidR="0022331F">
        <w:rPr>
          <w:sz w:val="22"/>
          <w:szCs w:val="22"/>
        </w:rPr>
        <w:t>2</w:t>
      </w:r>
      <w:r w:rsidRPr="00E43015">
        <w:rPr>
          <w:sz w:val="22"/>
          <w:szCs w:val="22"/>
        </w:rPr>
        <w:t xml:space="preserve"> Skonsolidowanego Sprawozdania </w:t>
      </w:r>
      <w:r w:rsidR="0077070A" w:rsidRPr="00E43015">
        <w:rPr>
          <w:sz w:val="22"/>
          <w:szCs w:val="22"/>
        </w:rPr>
        <w:t>Finansowego.</w:t>
      </w:r>
    </w:p>
    <w:p w:rsidR="00110660" w:rsidRPr="00C70260" w:rsidRDefault="00110660" w:rsidP="00C70260"/>
    <w:p w:rsidR="00110660" w:rsidRPr="00C70260" w:rsidRDefault="00110660" w:rsidP="00C70260">
      <w:pPr>
        <w:pStyle w:val="Nagwek2"/>
        <w:numPr>
          <w:ilvl w:val="0"/>
          <w:numId w:val="5"/>
        </w:numPr>
        <w:jc w:val="both"/>
      </w:pPr>
      <w:bookmarkStart w:id="13" w:name="_Toc452388438"/>
      <w:r w:rsidRPr="00C70260">
        <w:t xml:space="preserve">Informacje o zaciągniętych i wypowiedzianych w danym </w:t>
      </w:r>
      <w:r w:rsidR="003B5DF9">
        <w:t xml:space="preserve">okresie sprawozdawczym </w:t>
      </w:r>
      <w:r w:rsidRPr="00C70260">
        <w:t>umowach dotyczących kredytów i pożyczek, z podaniem co najmniej ich kwoty, rodzaju i wysokości stopy procentowej, waluty i terminu wymagalności</w:t>
      </w:r>
      <w:bookmarkEnd w:id="13"/>
    </w:p>
    <w:p w:rsidR="00110660" w:rsidRDefault="00110660" w:rsidP="00110660">
      <w:pPr>
        <w:rPr>
          <w:sz w:val="22"/>
          <w:szCs w:val="22"/>
        </w:rPr>
      </w:pPr>
    </w:p>
    <w:p w:rsidR="00110660" w:rsidRPr="00C70260" w:rsidRDefault="00110660" w:rsidP="00110660">
      <w:r>
        <w:rPr>
          <w:sz w:val="22"/>
          <w:szCs w:val="22"/>
        </w:rPr>
        <w:t xml:space="preserve">Informacje o </w:t>
      </w:r>
      <w:r w:rsidRPr="00E43015">
        <w:rPr>
          <w:sz w:val="22"/>
          <w:szCs w:val="22"/>
        </w:rPr>
        <w:t xml:space="preserve">zaciągniętych zobowiązaniach z </w:t>
      </w:r>
      <w:r w:rsidR="008D2D3A" w:rsidRPr="00E43015">
        <w:rPr>
          <w:sz w:val="22"/>
          <w:szCs w:val="22"/>
        </w:rPr>
        <w:t>tytułu kredytów</w:t>
      </w:r>
      <w:r w:rsidRPr="00E43015">
        <w:rPr>
          <w:sz w:val="22"/>
          <w:szCs w:val="22"/>
        </w:rPr>
        <w:t xml:space="preserve"> i pożyczek zostały opisane w </w:t>
      </w:r>
      <w:r w:rsidRPr="00394387">
        <w:rPr>
          <w:sz w:val="22"/>
          <w:szCs w:val="22"/>
        </w:rPr>
        <w:t xml:space="preserve">nocie </w:t>
      </w:r>
      <w:r w:rsidR="00394387" w:rsidRPr="00394387">
        <w:rPr>
          <w:sz w:val="22"/>
          <w:szCs w:val="22"/>
        </w:rPr>
        <w:t>2</w:t>
      </w:r>
      <w:r w:rsidR="0022331F">
        <w:rPr>
          <w:sz w:val="22"/>
          <w:szCs w:val="22"/>
        </w:rPr>
        <w:t>8</w:t>
      </w:r>
      <w:r w:rsidR="00394387" w:rsidRPr="00394387">
        <w:rPr>
          <w:sz w:val="22"/>
          <w:szCs w:val="22"/>
        </w:rPr>
        <w:t xml:space="preserve"> </w:t>
      </w:r>
      <w:r w:rsidRPr="00394387">
        <w:rPr>
          <w:sz w:val="22"/>
          <w:szCs w:val="22"/>
        </w:rPr>
        <w:t>Skonsolidowanego Sprawozdania Finansowego.</w:t>
      </w:r>
      <w:r>
        <w:rPr>
          <w:sz w:val="22"/>
          <w:szCs w:val="22"/>
        </w:rPr>
        <w:t xml:space="preserve"> </w:t>
      </w:r>
    </w:p>
    <w:p w:rsidR="00110660" w:rsidRPr="005277D9" w:rsidRDefault="00110660" w:rsidP="00C70260"/>
    <w:p w:rsidR="0031395D" w:rsidRPr="00FA31D6" w:rsidRDefault="0031395D" w:rsidP="00D26548">
      <w:pPr>
        <w:pStyle w:val="Nagwek2"/>
        <w:numPr>
          <w:ilvl w:val="0"/>
          <w:numId w:val="5"/>
        </w:numPr>
        <w:jc w:val="both"/>
        <w:rPr>
          <w:rFonts w:cs="Times New Roman"/>
        </w:rPr>
      </w:pPr>
      <w:bookmarkStart w:id="14" w:name="_Toc452388439"/>
      <w:r w:rsidRPr="00FA31D6">
        <w:rPr>
          <w:rFonts w:cs="Times New Roman"/>
        </w:rPr>
        <w:t xml:space="preserve">Objaśnienie różnic pomiędzy wynikami finansowymi wykazanymi w raporcie a wcześniej publikowanymi prognozami wyników na dany </w:t>
      </w:r>
      <w:r w:rsidR="0076446E">
        <w:rPr>
          <w:rFonts w:cs="Times New Roman"/>
        </w:rPr>
        <w:t>okres</w:t>
      </w:r>
      <w:bookmarkEnd w:id="14"/>
    </w:p>
    <w:p w:rsidR="0031395D" w:rsidRDefault="0031395D" w:rsidP="008A248D">
      <w:pPr>
        <w:rPr>
          <w:sz w:val="22"/>
          <w:szCs w:val="22"/>
        </w:rPr>
      </w:pPr>
    </w:p>
    <w:p w:rsidR="00FA31D6" w:rsidRPr="000E22EB" w:rsidRDefault="004E0ADE" w:rsidP="008A248D">
      <w:pPr>
        <w:rPr>
          <w:sz w:val="22"/>
          <w:szCs w:val="22"/>
        </w:rPr>
      </w:pPr>
      <w:r>
        <w:rPr>
          <w:sz w:val="22"/>
          <w:szCs w:val="22"/>
        </w:rPr>
        <w:t>Emitent</w:t>
      </w:r>
      <w:r w:rsidR="00FA31D6">
        <w:rPr>
          <w:sz w:val="22"/>
          <w:szCs w:val="22"/>
        </w:rPr>
        <w:t xml:space="preserve"> nie publikował prognoz wyniku finansowego.</w:t>
      </w:r>
    </w:p>
    <w:p w:rsidR="009805CE" w:rsidRPr="00AD432F" w:rsidRDefault="009805CE" w:rsidP="00B63F58">
      <w:pPr>
        <w:pStyle w:val="Tekstpodstawowywcity3"/>
        <w:spacing w:after="0"/>
        <w:ind w:left="0"/>
        <w:jc w:val="both"/>
        <w:rPr>
          <w:sz w:val="22"/>
          <w:szCs w:val="22"/>
        </w:rPr>
      </w:pPr>
    </w:p>
    <w:p w:rsidR="003748CD" w:rsidRDefault="003748CD" w:rsidP="00DB0DA0">
      <w:pPr>
        <w:pStyle w:val="Nagwek2"/>
        <w:numPr>
          <w:ilvl w:val="0"/>
          <w:numId w:val="5"/>
        </w:numPr>
      </w:pPr>
      <w:bookmarkStart w:id="15" w:name="_Toc452388440"/>
      <w:r w:rsidRPr="003748CD">
        <w:t>Instrumenty finansowe</w:t>
      </w:r>
      <w:bookmarkEnd w:id="15"/>
      <w:r w:rsidRPr="003748CD">
        <w:t xml:space="preserve"> </w:t>
      </w:r>
    </w:p>
    <w:p w:rsidR="0080564E" w:rsidRPr="0080564E" w:rsidRDefault="0080564E" w:rsidP="0080564E">
      <w:pPr>
        <w:jc w:val="both"/>
        <w:rPr>
          <w:b/>
          <w:sz w:val="20"/>
          <w:szCs w:val="20"/>
        </w:rPr>
      </w:pPr>
      <w:r>
        <w:t>a</w:t>
      </w:r>
      <w:r w:rsidRPr="0080564E">
        <w:rPr>
          <w:b/>
          <w:sz w:val="20"/>
          <w:szCs w:val="20"/>
        </w:rPr>
        <w:t xml:space="preserve">) ryzyka: zmiany cen, kredytowego, istotnych zakłóceń przepływów środków pieniężnych oraz utraty płynności finansowej, na jakie narażony jest Emitent </w:t>
      </w:r>
    </w:p>
    <w:p w:rsidR="00DB0DA0" w:rsidRDefault="0080564E" w:rsidP="0080564E">
      <w:pPr>
        <w:jc w:val="both"/>
        <w:rPr>
          <w:b/>
          <w:sz w:val="20"/>
          <w:szCs w:val="20"/>
        </w:rPr>
      </w:pPr>
      <w:r w:rsidRPr="0080564E">
        <w:rPr>
          <w:b/>
          <w:sz w:val="20"/>
          <w:szCs w:val="20"/>
        </w:rPr>
        <w:t>b) przyjętych przez Emitenta celów i metod zarządzania ryzykiem finansowym, łącznie z metodami zabezpieczenia istotnych rodzajów planowanych transakcji, dla których stosowana jest rachunkowość zabezpieczeń.</w:t>
      </w:r>
    </w:p>
    <w:p w:rsidR="0080564E" w:rsidRPr="0080564E" w:rsidRDefault="0080564E" w:rsidP="0080564E">
      <w:pPr>
        <w:jc w:val="both"/>
        <w:rPr>
          <w:b/>
          <w:sz w:val="20"/>
          <w:szCs w:val="20"/>
        </w:rPr>
      </w:pPr>
    </w:p>
    <w:p w:rsidR="003748CD" w:rsidRDefault="003748CD" w:rsidP="009B74E9">
      <w:pPr>
        <w:jc w:val="both"/>
        <w:rPr>
          <w:sz w:val="22"/>
          <w:szCs w:val="22"/>
        </w:rPr>
      </w:pPr>
      <w:r>
        <w:rPr>
          <w:sz w:val="22"/>
          <w:szCs w:val="22"/>
        </w:rPr>
        <w:t>Opis instrumentów finansowych w zakresie ryzyka oraz przyjętych celów i metod zarządzania ryz</w:t>
      </w:r>
      <w:r w:rsidR="0080564E">
        <w:rPr>
          <w:sz w:val="22"/>
          <w:szCs w:val="22"/>
        </w:rPr>
        <w:t>ykiem</w:t>
      </w:r>
      <w:r w:rsidR="00EE7668">
        <w:rPr>
          <w:sz w:val="22"/>
          <w:szCs w:val="22"/>
        </w:rPr>
        <w:t xml:space="preserve"> znajduje się </w:t>
      </w:r>
      <w:r w:rsidR="00EE7668" w:rsidRPr="00E43015">
        <w:rPr>
          <w:sz w:val="22"/>
          <w:szCs w:val="22"/>
        </w:rPr>
        <w:t xml:space="preserve">w </w:t>
      </w:r>
      <w:r w:rsidR="00F8133E">
        <w:rPr>
          <w:sz w:val="22"/>
          <w:szCs w:val="22"/>
        </w:rPr>
        <w:t>nocie</w:t>
      </w:r>
      <w:r w:rsidR="00F8133E" w:rsidRPr="00E43015">
        <w:rPr>
          <w:sz w:val="22"/>
          <w:szCs w:val="22"/>
        </w:rPr>
        <w:t xml:space="preserve"> </w:t>
      </w:r>
      <w:r w:rsidR="00EE7668" w:rsidRPr="00E43015">
        <w:rPr>
          <w:sz w:val="22"/>
          <w:szCs w:val="22"/>
        </w:rPr>
        <w:t>4</w:t>
      </w:r>
      <w:r w:rsidR="00F81691">
        <w:rPr>
          <w:sz w:val="22"/>
          <w:szCs w:val="22"/>
        </w:rPr>
        <w:t>6</w:t>
      </w:r>
      <w:r w:rsidRPr="00E43015">
        <w:rPr>
          <w:sz w:val="22"/>
          <w:szCs w:val="22"/>
        </w:rPr>
        <w:t xml:space="preserve"> or</w:t>
      </w:r>
      <w:r w:rsidR="00EE7668" w:rsidRPr="00E43015">
        <w:rPr>
          <w:sz w:val="22"/>
          <w:szCs w:val="22"/>
        </w:rPr>
        <w:t xml:space="preserve">az </w:t>
      </w:r>
      <w:r w:rsidR="00F81691">
        <w:rPr>
          <w:sz w:val="22"/>
          <w:szCs w:val="22"/>
        </w:rPr>
        <w:t>47</w:t>
      </w:r>
      <w:r w:rsidR="00EE7668" w:rsidRPr="00E43015">
        <w:rPr>
          <w:sz w:val="22"/>
          <w:szCs w:val="22"/>
        </w:rPr>
        <w:t xml:space="preserve"> Skonsolidowanego</w:t>
      </w:r>
      <w:r w:rsidR="001A0822" w:rsidRPr="00E43015">
        <w:rPr>
          <w:sz w:val="22"/>
          <w:szCs w:val="22"/>
        </w:rPr>
        <w:t xml:space="preserve"> Sprawozdania Finansowego.</w:t>
      </w:r>
    </w:p>
    <w:p w:rsidR="001A0822" w:rsidRPr="009B74E9" w:rsidRDefault="001A0822" w:rsidP="009B74E9">
      <w:pPr>
        <w:jc w:val="both"/>
        <w:rPr>
          <w:sz w:val="22"/>
          <w:szCs w:val="22"/>
        </w:rPr>
      </w:pPr>
    </w:p>
    <w:p w:rsidR="003A7B75" w:rsidRPr="003752FF" w:rsidRDefault="003752FF" w:rsidP="00D26548">
      <w:pPr>
        <w:pStyle w:val="Nagwek2"/>
        <w:numPr>
          <w:ilvl w:val="0"/>
          <w:numId w:val="5"/>
        </w:numPr>
        <w:jc w:val="both"/>
      </w:pPr>
      <w:r>
        <w:t xml:space="preserve"> </w:t>
      </w:r>
      <w:bookmarkStart w:id="16" w:name="_Toc452388441"/>
      <w:r w:rsidR="003A7B75" w:rsidRPr="003752FF">
        <w:t xml:space="preserve">Stan pozostałych zobowiązań z tytułu gwarancji </w:t>
      </w:r>
      <w:r w:rsidR="00A46431">
        <w:t>lub poręczeń na dzień bilansowy</w:t>
      </w:r>
      <w:r w:rsidR="006F7897" w:rsidRPr="003752FF">
        <w:t>:</w:t>
      </w:r>
      <w:bookmarkEnd w:id="16"/>
    </w:p>
    <w:p w:rsidR="006F7897" w:rsidRDefault="006F7897" w:rsidP="006F7897">
      <w:pPr>
        <w:pStyle w:val="Akapitzlist"/>
        <w:spacing w:after="0" w:line="240" w:lineRule="auto"/>
        <w:ind w:left="360" w:right="-108"/>
        <w:jc w:val="both"/>
        <w:rPr>
          <w:rFonts w:ascii="Times New Roman" w:hAnsi="Times New Roman"/>
        </w:rPr>
      </w:pPr>
    </w:p>
    <w:p w:rsidR="00516B5A" w:rsidRPr="00D26548" w:rsidRDefault="0080564E" w:rsidP="00A74B7E">
      <w:pPr>
        <w:pStyle w:val="Default"/>
        <w:jc w:val="both"/>
        <w:rPr>
          <w:color w:val="auto"/>
          <w:sz w:val="22"/>
          <w:szCs w:val="22"/>
        </w:rPr>
      </w:pPr>
      <w:r w:rsidRPr="0080564E">
        <w:rPr>
          <w:color w:val="auto"/>
          <w:sz w:val="22"/>
          <w:szCs w:val="22"/>
        </w:rPr>
        <w:t>W okresi</w:t>
      </w:r>
      <w:r>
        <w:rPr>
          <w:color w:val="auto"/>
          <w:sz w:val="22"/>
          <w:szCs w:val="22"/>
        </w:rPr>
        <w:t>e od 01.10.</w:t>
      </w:r>
      <w:r w:rsidR="000F6F9B">
        <w:rPr>
          <w:color w:val="auto"/>
          <w:sz w:val="22"/>
          <w:szCs w:val="22"/>
        </w:rPr>
        <w:t xml:space="preserve">2015 </w:t>
      </w:r>
      <w:r>
        <w:rPr>
          <w:color w:val="auto"/>
          <w:sz w:val="22"/>
          <w:szCs w:val="22"/>
        </w:rPr>
        <w:t xml:space="preserve">r. do dnia </w:t>
      </w:r>
      <w:r w:rsidR="000F6F9B">
        <w:rPr>
          <w:color w:val="auto"/>
          <w:sz w:val="22"/>
          <w:szCs w:val="22"/>
        </w:rPr>
        <w:t>31.03.2016</w:t>
      </w:r>
      <w:r w:rsidRPr="0080564E">
        <w:rPr>
          <w:color w:val="auto"/>
          <w:sz w:val="22"/>
          <w:szCs w:val="22"/>
        </w:rPr>
        <w:t xml:space="preserve"> r. </w:t>
      </w:r>
      <w:r>
        <w:rPr>
          <w:color w:val="auto"/>
          <w:sz w:val="22"/>
          <w:szCs w:val="22"/>
        </w:rPr>
        <w:t>Soho Development</w:t>
      </w:r>
      <w:r w:rsidRPr="0080564E">
        <w:rPr>
          <w:color w:val="auto"/>
          <w:sz w:val="22"/>
          <w:szCs w:val="22"/>
        </w:rPr>
        <w:t xml:space="preserve"> S.A. nie udzielał</w:t>
      </w:r>
      <w:r>
        <w:rPr>
          <w:color w:val="auto"/>
          <w:sz w:val="22"/>
          <w:szCs w:val="22"/>
        </w:rPr>
        <w:t>o</w:t>
      </w:r>
      <w:r w:rsidRPr="0080564E">
        <w:rPr>
          <w:color w:val="auto"/>
          <w:sz w:val="22"/>
          <w:szCs w:val="22"/>
        </w:rPr>
        <w:t xml:space="preserve"> istotnych </w:t>
      </w:r>
      <w:r w:rsidRPr="00D26548">
        <w:rPr>
          <w:color w:val="auto"/>
          <w:sz w:val="22"/>
          <w:szCs w:val="22"/>
        </w:rPr>
        <w:t>poręczeń kredytu lub pożyczki</w:t>
      </w:r>
      <w:r w:rsidR="00E115EA" w:rsidRPr="00D26548">
        <w:rPr>
          <w:color w:val="auto"/>
          <w:sz w:val="22"/>
          <w:szCs w:val="22"/>
        </w:rPr>
        <w:t>,</w:t>
      </w:r>
      <w:r w:rsidRPr="00D26548">
        <w:rPr>
          <w:color w:val="auto"/>
          <w:sz w:val="22"/>
          <w:szCs w:val="22"/>
        </w:rPr>
        <w:t xml:space="preserve"> </w:t>
      </w:r>
      <w:r w:rsidR="00E115EA" w:rsidRPr="00D26548">
        <w:rPr>
          <w:color w:val="auto"/>
          <w:sz w:val="22"/>
          <w:szCs w:val="22"/>
        </w:rPr>
        <w:t>a także nie udzieliło gwarancji za wyjątkiem poręczenia określonego poniżej.</w:t>
      </w:r>
    </w:p>
    <w:p w:rsidR="00E115EA" w:rsidRPr="00D26548" w:rsidRDefault="00E115EA" w:rsidP="00A74B7E">
      <w:pPr>
        <w:pStyle w:val="Default"/>
        <w:jc w:val="both"/>
        <w:rPr>
          <w:color w:val="auto"/>
          <w:sz w:val="22"/>
          <w:szCs w:val="22"/>
        </w:rPr>
      </w:pPr>
    </w:p>
    <w:p w:rsidR="00E115EA" w:rsidRPr="00D26548" w:rsidRDefault="00E115EA" w:rsidP="00E115EA">
      <w:pPr>
        <w:pStyle w:val="Default"/>
        <w:jc w:val="both"/>
        <w:rPr>
          <w:color w:val="auto"/>
          <w:sz w:val="22"/>
          <w:szCs w:val="22"/>
        </w:rPr>
      </w:pPr>
      <w:r w:rsidRPr="00D26548">
        <w:rPr>
          <w:color w:val="auto"/>
          <w:sz w:val="22"/>
          <w:szCs w:val="22"/>
        </w:rPr>
        <w:t>Emitent zawarł z Getin Noble Bank S.A. umowę poręczenia, na mocy której Emitent poręczył za spłatę kredytu na budowę osiedla "Dobra Forma".</w:t>
      </w:r>
      <w:r w:rsidR="00494000" w:rsidRPr="00D26548">
        <w:rPr>
          <w:color w:val="auto"/>
          <w:sz w:val="22"/>
          <w:szCs w:val="22"/>
        </w:rPr>
        <w:t xml:space="preserve"> </w:t>
      </w:r>
      <w:r w:rsidRPr="00D26548">
        <w:rPr>
          <w:color w:val="auto"/>
          <w:sz w:val="22"/>
          <w:szCs w:val="22"/>
        </w:rPr>
        <w:t xml:space="preserve">Na podstawie umowy kredytu, spółka zależna Emitenta - Dobra Forma 1 sp. z o.o. spółka komandytowa z siedzibą w Warszawie pozyskała finansowanie do kwoty 36.000.000,- zł (słownie: trzydzieści sześć milionów złotych) </w:t>
      </w:r>
      <w:r w:rsidR="00F81691">
        <w:rPr>
          <w:color w:val="auto"/>
          <w:sz w:val="22"/>
          <w:szCs w:val="22"/>
        </w:rPr>
        <w:br/>
      </w:r>
      <w:r w:rsidRPr="00D26548">
        <w:rPr>
          <w:color w:val="auto"/>
          <w:sz w:val="22"/>
          <w:szCs w:val="22"/>
        </w:rPr>
        <w:t>z przeznaczeniem na pokrycie kosztów brutto I etapu osiedla mieszkaniowego pod nazwą "Dobra Forma" zlokalizowanego w Krakowie przy ulicy Bochenka. Zgodnie z Umową Kredytową, kredyt powinien zostać spłacony w terminie do dnia 31.03.2018 r.</w:t>
      </w:r>
    </w:p>
    <w:p w:rsidR="00E115EA" w:rsidRDefault="00E115EA" w:rsidP="00E115EA">
      <w:pPr>
        <w:pStyle w:val="Default"/>
        <w:jc w:val="both"/>
        <w:rPr>
          <w:color w:val="auto"/>
          <w:sz w:val="22"/>
          <w:szCs w:val="22"/>
        </w:rPr>
      </w:pPr>
      <w:r w:rsidRPr="00D26548">
        <w:rPr>
          <w:color w:val="auto"/>
          <w:sz w:val="22"/>
          <w:szCs w:val="22"/>
        </w:rPr>
        <w:lastRenderedPageBreak/>
        <w:t>Poręczenie cywilne SOHO Development S.A. zostało udzielone do kwoty 54 mln PLN. Zabezpieczenie będzie utrzymywane do momentu uzyskania sprzedaży na poziomie 60% powierzchni użytkowej mieszkań realizowanej w ramach Inwestycji.</w:t>
      </w:r>
    </w:p>
    <w:p w:rsidR="00053FBF" w:rsidRPr="00D26548" w:rsidRDefault="00053FBF" w:rsidP="00E115EA">
      <w:pPr>
        <w:pStyle w:val="Default"/>
        <w:jc w:val="both"/>
        <w:rPr>
          <w:color w:val="auto"/>
          <w:sz w:val="22"/>
          <w:szCs w:val="22"/>
        </w:rPr>
      </w:pPr>
    </w:p>
    <w:p w:rsidR="00215AA4" w:rsidRPr="000E22EB" w:rsidRDefault="00215AA4" w:rsidP="004F35C2">
      <w:pPr>
        <w:pStyle w:val="Nagwek2"/>
        <w:numPr>
          <w:ilvl w:val="0"/>
          <w:numId w:val="5"/>
        </w:numPr>
        <w:rPr>
          <w:rFonts w:cs="Times New Roman"/>
          <w:i/>
        </w:rPr>
      </w:pPr>
      <w:r w:rsidRPr="000E22EB">
        <w:rPr>
          <w:rFonts w:cs="Times New Roman"/>
        </w:rPr>
        <w:t xml:space="preserve"> </w:t>
      </w:r>
      <w:bookmarkStart w:id="17" w:name="_Toc452388442"/>
      <w:r w:rsidRPr="000E22EB">
        <w:rPr>
          <w:rFonts w:cs="Times New Roman"/>
        </w:rPr>
        <w:t>Transakcje z podmiotami powiązanymi</w:t>
      </w:r>
      <w:bookmarkEnd w:id="17"/>
      <w:r w:rsidRPr="000E22EB">
        <w:rPr>
          <w:rFonts w:cs="Times New Roman"/>
        </w:rPr>
        <w:t xml:space="preserve"> </w:t>
      </w:r>
    </w:p>
    <w:p w:rsidR="00FA5CF7" w:rsidRDefault="00F8133E" w:rsidP="008A248D">
      <w:pPr>
        <w:spacing w:before="120"/>
        <w:ind w:right="-108"/>
        <w:jc w:val="both"/>
        <w:rPr>
          <w:sz w:val="22"/>
          <w:szCs w:val="22"/>
        </w:rPr>
      </w:pPr>
      <w:r>
        <w:rPr>
          <w:sz w:val="22"/>
          <w:szCs w:val="22"/>
        </w:rPr>
        <w:t xml:space="preserve">Opis transakcji z podmiotami powiązanymi został przedstawiony w </w:t>
      </w:r>
      <w:r w:rsidRPr="00394387">
        <w:rPr>
          <w:sz w:val="22"/>
          <w:szCs w:val="22"/>
        </w:rPr>
        <w:t>nocie 5</w:t>
      </w:r>
      <w:r w:rsidR="0022331F">
        <w:rPr>
          <w:sz w:val="22"/>
          <w:szCs w:val="22"/>
        </w:rPr>
        <w:t>5</w:t>
      </w:r>
      <w:r>
        <w:rPr>
          <w:sz w:val="22"/>
          <w:szCs w:val="22"/>
        </w:rPr>
        <w:t xml:space="preserve"> Skonsolidowanego Sprawozdania Finansowego.</w:t>
      </w:r>
    </w:p>
    <w:p w:rsidR="00516B5A" w:rsidRDefault="00516B5A" w:rsidP="008A248D">
      <w:pPr>
        <w:spacing w:before="120"/>
        <w:ind w:right="-108"/>
        <w:jc w:val="both"/>
        <w:rPr>
          <w:sz w:val="22"/>
          <w:szCs w:val="22"/>
        </w:rPr>
      </w:pPr>
    </w:p>
    <w:p w:rsidR="00215AA4" w:rsidRPr="000E22EB" w:rsidRDefault="00215AA4" w:rsidP="004F35C2">
      <w:pPr>
        <w:pStyle w:val="Nagwek2"/>
        <w:numPr>
          <w:ilvl w:val="0"/>
          <w:numId w:val="5"/>
        </w:numPr>
        <w:spacing w:after="120"/>
        <w:ind w:left="357" w:hanging="357"/>
        <w:rPr>
          <w:rFonts w:cs="Times New Roman"/>
          <w:i/>
        </w:rPr>
      </w:pPr>
      <w:r w:rsidRPr="000E22EB">
        <w:rPr>
          <w:rFonts w:cs="Times New Roman"/>
        </w:rPr>
        <w:t xml:space="preserve"> </w:t>
      </w:r>
      <w:bookmarkStart w:id="18" w:name="_Toc452388443"/>
      <w:r w:rsidRPr="000E22EB">
        <w:rPr>
          <w:rFonts w:cs="Times New Roman"/>
        </w:rPr>
        <w:t>Sprawy sądowe</w:t>
      </w:r>
      <w:bookmarkEnd w:id="18"/>
    </w:p>
    <w:p w:rsidR="00215AA4" w:rsidRPr="000E22EB" w:rsidRDefault="00215AA4" w:rsidP="008A248D">
      <w:pPr>
        <w:pStyle w:val="Default"/>
        <w:spacing w:before="120"/>
        <w:ind w:right="-108"/>
        <w:jc w:val="both"/>
        <w:rPr>
          <w:sz w:val="22"/>
          <w:szCs w:val="22"/>
        </w:rPr>
      </w:pPr>
      <w:r w:rsidRPr="000E22EB">
        <w:rPr>
          <w:sz w:val="22"/>
          <w:szCs w:val="22"/>
        </w:rPr>
        <w:t xml:space="preserve">Na dzień bilansowy </w:t>
      </w:r>
      <w:r w:rsidR="0080564E">
        <w:rPr>
          <w:sz w:val="22"/>
          <w:szCs w:val="22"/>
        </w:rPr>
        <w:t>Emitent</w:t>
      </w:r>
      <w:r w:rsidRPr="000E22EB">
        <w:rPr>
          <w:sz w:val="22"/>
          <w:szCs w:val="22"/>
        </w:rPr>
        <w:t xml:space="preserve"> ani jego spółki zależne nie były stroną postępowań toczących się przed sądem, organem właściwym dla postępowania arbitrażowego lub organem administracji publicznej </w:t>
      </w:r>
      <w:r w:rsidR="00F81691">
        <w:rPr>
          <w:sz w:val="22"/>
          <w:szCs w:val="22"/>
        </w:rPr>
        <w:br/>
      </w:r>
      <w:r w:rsidRPr="000E22EB">
        <w:rPr>
          <w:sz w:val="22"/>
          <w:szCs w:val="22"/>
        </w:rPr>
        <w:t xml:space="preserve">w zakresie: </w:t>
      </w:r>
    </w:p>
    <w:p w:rsidR="00215AA4" w:rsidRPr="000E22EB" w:rsidRDefault="00215AA4" w:rsidP="004F35C2">
      <w:pPr>
        <w:pStyle w:val="Default"/>
        <w:numPr>
          <w:ilvl w:val="0"/>
          <w:numId w:val="2"/>
        </w:numPr>
        <w:spacing w:before="120"/>
        <w:ind w:right="-108"/>
        <w:jc w:val="both"/>
        <w:rPr>
          <w:sz w:val="22"/>
          <w:szCs w:val="22"/>
        </w:rPr>
      </w:pPr>
      <w:r w:rsidRPr="000E22EB">
        <w:rPr>
          <w:sz w:val="22"/>
          <w:szCs w:val="22"/>
        </w:rPr>
        <w:t xml:space="preserve"> Postępowania dotyczącego zobowiązań albo wierzytelności, którego wartość stanowiłaby co najmniej 10% kapitałów własnych </w:t>
      </w:r>
      <w:r w:rsidR="0080564E">
        <w:rPr>
          <w:sz w:val="22"/>
          <w:szCs w:val="22"/>
        </w:rPr>
        <w:t>Emitenta</w:t>
      </w:r>
      <w:r w:rsidRPr="000E22EB">
        <w:rPr>
          <w:sz w:val="22"/>
          <w:szCs w:val="22"/>
        </w:rPr>
        <w:t xml:space="preserve"> ani </w:t>
      </w:r>
    </w:p>
    <w:p w:rsidR="00B724F9" w:rsidRDefault="00215AA4" w:rsidP="00516B5A">
      <w:pPr>
        <w:pStyle w:val="Default"/>
        <w:numPr>
          <w:ilvl w:val="0"/>
          <w:numId w:val="2"/>
        </w:numPr>
        <w:spacing w:before="120"/>
        <w:ind w:right="-108"/>
        <w:jc w:val="both"/>
        <w:rPr>
          <w:sz w:val="22"/>
          <w:szCs w:val="22"/>
        </w:rPr>
      </w:pPr>
      <w:r w:rsidRPr="000E22EB">
        <w:rPr>
          <w:sz w:val="22"/>
          <w:szCs w:val="22"/>
        </w:rPr>
        <w:t>Dwu lub więcej postępowań dotyczących zobowiązań albo wierzytelności, których wartość stanowiłaby co najmniej 1</w:t>
      </w:r>
      <w:r w:rsidR="00163F57">
        <w:rPr>
          <w:sz w:val="22"/>
          <w:szCs w:val="22"/>
        </w:rPr>
        <w:t xml:space="preserve">0% kapitałów własnych </w:t>
      </w:r>
      <w:r w:rsidR="0080564E">
        <w:rPr>
          <w:sz w:val="22"/>
          <w:szCs w:val="22"/>
        </w:rPr>
        <w:t>Emitenta</w:t>
      </w:r>
      <w:r w:rsidR="00163F57">
        <w:rPr>
          <w:sz w:val="22"/>
          <w:szCs w:val="22"/>
        </w:rPr>
        <w:t>.</w:t>
      </w:r>
    </w:p>
    <w:p w:rsidR="00516B5A" w:rsidRPr="00516B5A" w:rsidRDefault="00516B5A" w:rsidP="00516B5A">
      <w:pPr>
        <w:pStyle w:val="Default"/>
        <w:spacing w:before="120"/>
        <w:ind w:left="360" w:right="-108"/>
        <w:jc w:val="both"/>
        <w:rPr>
          <w:sz w:val="22"/>
          <w:szCs w:val="22"/>
        </w:rPr>
      </w:pPr>
    </w:p>
    <w:p w:rsidR="00F8133E" w:rsidRPr="00F8133E" w:rsidRDefault="00110660" w:rsidP="00F8133E">
      <w:pPr>
        <w:pStyle w:val="Nagwek2"/>
        <w:numPr>
          <w:ilvl w:val="0"/>
          <w:numId w:val="5"/>
        </w:numPr>
        <w:spacing w:after="120"/>
        <w:ind w:left="357" w:hanging="357"/>
        <w:rPr>
          <w:lang w:eastAsia="pl-PL"/>
        </w:rPr>
      </w:pPr>
      <w:bookmarkStart w:id="19" w:name="_Toc452388444"/>
      <w:r w:rsidRPr="00E57B29">
        <w:rPr>
          <w:lang w:eastAsia="pl-PL"/>
        </w:rPr>
        <w:t>Wynagrodzenie biegłego rewidenta</w:t>
      </w:r>
      <w:bookmarkEnd w:id="19"/>
    </w:p>
    <w:p w:rsidR="00F8133E" w:rsidRPr="000D3C5F" w:rsidRDefault="00F8133E" w:rsidP="00F8133E">
      <w:pPr>
        <w:jc w:val="both"/>
        <w:rPr>
          <w:sz w:val="22"/>
          <w:szCs w:val="22"/>
        </w:rPr>
      </w:pPr>
      <w:r w:rsidRPr="000D3C5F">
        <w:rPr>
          <w:sz w:val="22"/>
          <w:szCs w:val="22"/>
        </w:rPr>
        <w:t xml:space="preserve">W dniu </w:t>
      </w:r>
      <w:r w:rsidR="00F74972">
        <w:rPr>
          <w:sz w:val="22"/>
          <w:szCs w:val="22"/>
        </w:rPr>
        <w:t>4 maja 2016</w:t>
      </w:r>
      <w:r w:rsidRPr="000D3C5F">
        <w:rPr>
          <w:sz w:val="22"/>
          <w:szCs w:val="22"/>
        </w:rPr>
        <w:t xml:space="preserve">r. Rada Nadzorcza Emitenta podjęła </w:t>
      </w:r>
      <w:r w:rsidR="00185C76">
        <w:rPr>
          <w:sz w:val="22"/>
          <w:szCs w:val="22"/>
        </w:rPr>
        <w:t xml:space="preserve">decyzję </w:t>
      </w:r>
      <w:r w:rsidRPr="000D3C5F">
        <w:rPr>
          <w:sz w:val="22"/>
          <w:szCs w:val="22"/>
        </w:rPr>
        <w:t xml:space="preserve">o wyborze spółki </w:t>
      </w:r>
      <w:proofErr w:type="spellStart"/>
      <w:r w:rsidRPr="000D3C5F">
        <w:rPr>
          <w:sz w:val="22"/>
          <w:szCs w:val="22"/>
        </w:rPr>
        <w:t>Mazars</w:t>
      </w:r>
      <w:proofErr w:type="spellEnd"/>
      <w:r w:rsidRPr="000D3C5F">
        <w:rPr>
          <w:sz w:val="22"/>
          <w:szCs w:val="22"/>
        </w:rPr>
        <w:t xml:space="preserve"> Audyt </w:t>
      </w:r>
      <w:r w:rsidR="00F81691">
        <w:rPr>
          <w:sz w:val="22"/>
          <w:szCs w:val="22"/>
        </w:rPr>
        <w:br/>
      </w:r>
      <w:r w:rsidRPr="000D3C5F">
        <w:rPr>
          <w:sz w:val="22"/>
          <w:szCs w:val="22"/>
        </w:rPr>
        <w:t>Sp. z o. o z siedzibą w Warszawie jako podmiotu do przeprowadzenia:</w:t>
      </w:r>
    </w:p>
    <w:p w:rsidR="00185C76" w:rsidRPr="00280DE1" w:rsidRDefault="00185C76" w:rsidP="0027618F">
      <w:pPr>
        <w:pStyle w:val="Akapitzlist"/>
        <w:numPr>
          <w:ilvl w:val="0"/>
          <w:numId w:val="36"/>
        </w:numPr>
        <w:jc w:val="both"/>
      </w:pPr>
      <w:r w:rsidRPr="00EA3372">
        <w:rPr>
          <w:rFonts w:ascii="Times New Roman" w:hAnsi="Times New Roman"/>
        </w:rPr>
        <w:t>przeglądu jednostkowego sprawozdania finansowego Spółki za I półrocze roku obrotowego rozpoczynającego się dnia 1 października 2015 r. i kończącego się dnia 30 września 2016 r.</w:t>
      </w:r>
    </w:p>
    <w:p w:rsidR="00185C76" w:rsidRPr="00280DE1" w:rsidRDefault="00185C76" w:rsidP="0027618F">
      <w:pPr>
        <w:pStyle w:val="Akapitzlist"/>
        <w:numPr>
          <w:ilvl w:val="0"/>
          <w:numId w:val="36"/>
        </w:numPr>
        <w:jc w:val="both"/>
      </w:pPr>
      <w:r w:rsidRPr="0027618F">
        <w:rPr>
          <w:rFonts w:ascii="Times New Roman" w:hAnsi="Times New Roman"/>
        </w:rPr>
        <w:t xml:space="preserve">przeglądu skonsolidowanego sprawozdania finansowego Grupy Kapitałowej Spółki </w:t>
      </w:r>
      <w:r w:rsidR="00F81691">
        <w:rPr>
          <w:rFonts w:ascii="Times New Roman" w:hAnsi="Times New Roman"/>
        </w:rPr>
        <w:br/>
        <w:t xml:space="preserve">za </w:t>
      </w:r>
      <w:r w:rsidRPr="0027618F">
        <w:rPr>
          <w:rFonts w:ascii="Times New Roman" w:hAnsi="Times New Roman"/>
        </w:rPr>
        <w:t>I półrocze roku obrotowego rozpoczynającego się dnia 1 października 2015 r. i kończącego się dnia 30 września 2016 r.</w:t>
      </w:r>
    </w:p>
    <w:p w:rsidR="00185C76" w:rsidRPr="00280DE1" w:rsidRDefault="00185C76" w:rsidP="0027618F">
      <w:pPr>
        <w:pStyle w:val="Akapitzlist"/>
        <w:numPr>
          <w:ilvl w:val="0"/>
          <w:numId w:val="36"/>
        </w:numPr>
        <w:jc w:val="both"/>
      </w:pPr>
      <w:r w:rsidRPr="0027618F">
        <w:rPr>
          <w:rFonts w:ascii="Times New Roman" w:hAnsi="Times New Roman"/>
        </w:rPr>
        <w:t xml:space="preserve">badania jednostkowego rocznego sprawozdania Spółki za rok obrotowy rozpoczynający się </w:t>
      </w:r>
      <w:r w:rsidR="00EA3372">
        <w:rPr>
          <w:rFonts w:ascii="Times New Roman" w:hAnsi="Times New Roman"/>
        </w:rPr>
        <w:br/>
      </w:r>
      <w:r w:rsidRPr="0027618F">
        <w:rPr>
          <w:rFonts w:ascii="Times New Roman" w:hAnsi="Times New Roman"/>
        </w:rPr>
        <w:t>1 października 2015 r. i kończący się 30 września 2016 r.</w:t>
      </w:r>
    </w:p>
    <w:p w:rsidR="00EA3372" w:rsidRPr="00EA3372" w:rsidRDefault="00185C76" w:rsidP="00EA3372">
      <w:pPr>
        <w:pStyle w:val="Akapitzlist"/>
        <w:numPr>
          <w:ilvl w:val="0"/>
          <w:numId w:val="36"/>
        </w:numPr>
        <w:jc w:val="both"/>
        <w:rPr>
          <w:rFonts w:ascii="Times New Roman" w:hAnsi="Times New Roman"/>
        </w:rPr>
      </w:pPr>
      <w:r w:rsidRPr="0027618F">
        <w:rPr>
          <w:rFonts w:ascii="Times New Roman" w:hAnsi="Times New Roman"/>
        </w:rPr>
        <w:t xml:space="preserve">badania skonsolidowanego rocznego sprawozdania finansowego Grupy Kapitałowej Spółki za rok obrotowy rozpoczynający się 1 października 2015 r. i kończący się 30 </w:t>
      </w:r>
      <w:r w:rsidRPr="00EA3372">
        <w:rPr>
          <w:rFonts w:ascii="Times New Roman" w:hAnsi="Times New Roman"/>
        </w:rPr>
        <w:t>września 2016 r.</w:t>
      </w:r>
    </w:p>
    <w:p w:rsidR="00EA3372" w:rsidRDefault="00EA3372" w:rsidP="00F8133E">
      <w:pPr>
        <w:jc w:val="both"/>
      </w:pPr>
    </w:p>
    <w:p w:rsidR="00F8133E" w:rsidRPr="000D3C5F" w:rsidRDefault="00F8133E" w:rsidP="00F8133E">
      <w:pPr>
        <w:jc w:val="both"/>
        <w:rPr>
          <w:sz w:val="22"/>
          <w:szCs w:val="22"/>
        </w:rPr>
      </w:pPr>
      <w:r w:rsidRPr="000D3C5F">
        <w:rPr>
          <w:sz w:val="22"/>
          <w:szCs w:val="22"/>
        </w:rPr>
        <w:t xml:space="preserve">Spółka </w:t>
      </w:r>
      <w:proofErr w:type="spellStart"/>
      <w:r w:rsidRPr="000D3C5F">
        <w:rPr>
          <w:sz w:val="22"/>
          <w:szCs w:val="22"/>
        </w:rPr>
        <w:t>Mazars</w:t>
      </w:r>
      <w:proofErr w:type="spellEnd"/>
      <w:r w:rsidRPr="000D3C5F">
        <w:rPr>
          <w:sz w:val="22"/>
          <w:szCs w:val="22"/>
        </w:rPr>
        <w:t xml:space="preserve"> Audyt Sp. z o.o. jest wpisana na listę podmiotów uprawnionych do badania sprawozdań finansowych przez Krajową Radę Biegłych Rewidentów. </w:t>
      </w:r>
    </w:p>
    <w:p w:rsidR="00F8133E" w:rsidRPr="000D3C5F" w:rsidRDefault="00F8133E" w:rsidP="00F8133E">
      <w:pPr>
        <w:jc w:val="both"/>
        <w:rPr>
          <w:sz w:val="22"/>
          <w:szCs w:val="22"/>
        </w:rPr>
      </w:pPr>
    </w:p>
    <w:p w:rsidR="00F8133E" w:rsidRDefault="00185C76" w:rsidP="00F8133E">
      <w:pPr>
        <w:jc w:val="both"/>
        <w:rPr>
          <w:sz w:val="22"/>
          <w:szCs w:val="22"/>
        </w:rPr>
      </w:pPr>
      <w:r w:rsidRPr="0027618F">
        <w:rPr>
          <w:sz w:val="22"/>
          <w:szCs w:val="22"/>
        </w:rPr>
        <w:t xml:space="preserve">Wybór podmiotu uprawnionego do badania sprawozdań finansowych został dokonany zgodnie </w:t>
      </w:r>
      <w:r w:rsidR="00F81691">
        <w:rPr>
          <w:sz w:val="22"/>
          <w:szCs w:val="22"/>
        </w:rPr>
        <w:br/>
      </w:r>
      <w:r w:rsidRPr="0027618F">
        <w:rPr>
          <w:sz w:val="22"/>
          <w:szCs w:val="22"/>
        </w:rPr>
        <w:t>z art. 22 ust. 2 pkt 1 statutu Emitenta, obowiązującymi przepisami i normami zawodowymi.</w:t>
      </w:r>
    </w:p>
    <w:p w:rsidR="00EA3372" w:rsidRPr="000D3C5F" w:rsidRDefault="00EA3372" w:rsidP="00F8133E">
      <w:pPr>
        <w:jc w:val="both"/>
        <w:rPr>
          <w:sz w:val="22"/>
          <w:szCs w:val="22"/>
        </w:rPr>
      </w:pPr>
    </w:p>
    <w:p w:rsidR="00F8133E" w:rsidRPr="000D3C5F" w:rsidRDefault="00F8133E" w:rsidP="00F8133E">
      <w:pPr>
        <w:jc w:val="both"/>
        <w:rPr>
          <w:sz w:val="22"/>
          <w:szCs w:val="22"/>
        </w:rPr>
      </w:pPr>
      <w:r w:rsidRPr="000D3C5F">
        <w:rPr>
          <w:sz w:val="22"/>
          <w:szCs w:val="22"/>
        </w:rPr>
        <w:t xml:space="preserve">Całkowite wynagrodzenie netto przeglądu i badania sprawozdań jednostkowych Emitenta i skonsolidowanych Grupy Kapitałowej wyniesie </w:t>
      </w:r>
      <w:r w:rsidR="008D2D3A">
        <w:rPr>
          <w:sz w:val="22"/>
          <w:szCs w:val="22"/>
        </w:rPr>
        <w:t>138</w:t>
      </w:r>
      <w:r w:rsidRPr="000D3C5F">
        <w:rPr>
          <w:sz w:val="22"/>
          <w:szCs w:val="22"/>
        </w:rPr>
        <w:t xml:space="preserve"> tys. zł.</w:t>
      </w:r>
    </w:p>
    <w:p w:rsidR="00603FA0" w:rsidRDefault="00603FA0" w:rsidP="00F8133E">
      <w:pPr>
        <w:rPr>
          <w:lang w:eastAsia="pl-PL"/>
        </w:rPr>
      </w:pPr>
      <w:r>
        <w:rPr>
          <w:lang w:eastAsia="pl-PL"/>
        </w:rPr>
        <w:br/>
      </w:r>
    </w:p>
    <w:p w:rsidR="00603FA0" w:rsidRDefault="00603FA0">
      <w:pPr>
        <w:rPr>
          <w:lang w:eastAsia="pl-PL"/>
        </w:rPr>
      </w:pPr>
      <w:r>
        <w:rPr>
          <w:lang w:eastAsia="pl-PL"/>
        </w:rPr>
        <w:br w:type="page"/>
      </w:r>
    </w:p>
    <w:p w:rsidR="00215AA4" w:rsidRPr="000E22EB" w:rsidRDefault="00215AA4" w:rsidP="004F35C2">
      <w:pPr>
        <w:pStyle w:val="Nagwek2"/>
        <w:numPr>
          <w:ilvl w:val="0"/>
          <w:numId w:val="5"/>
        </w:numPr>
        <w:spacing w:after="120"/>
        <w:ind w:left="357" w:hanging="357"/>
        <w:rPr>
          <w:rFonts w:cs="Times New Roman"/>
          <w:i/>
        </w:rPr>
      </w:pPr>
      <w:bookmarkStart w:id="20" w:name="_Toc452388445"/>
      <w:r w:rsidRPr="000E22EB">
        <w:rPr>
          <w:rFonts w:cs="Times New Roman"/>
        </w:rPr>
        <w:lastRenderedPageBreak/>
        <w:t>Oświadczenia Zarządu</w:t>
      </w:r>
      <w:bookmarkEnd w:id="20"/>
    </w:p>
    <w:p w:rsidR="009473D0" w:rsidRDefault="00215AA4" w:rsidP="008A248D">
      <w:pPr>
        <w:tabs>
          <w:tab w:val="num" w:pos="1440"/>
        </w:tabs>
        <w:ind w:right="-108"/>
        <w:jc w:val="both"/>
        <w:rPr>
          <w:sz w:val="22"/>
          <w:szCs w:val="22"/>
        </w:rPr>
      </w:pPr>
      <w:r w:rsidRPr="000E22EB">
        <w:rPr>
          <w:sz w:val="22"/>
          <w:szCs w:val="22"/>
        </w:rPr>
        <w:t xml:space="preserve">Zarząd </w:t>
      </w:r>
      <w:r w:rsidR="00A90ACB">
        <w:rPr>
          <w:sz w:val="22"/>
          <w:szCs w:val="22"/>
        </w:rPr>
        <w:t>Emitenta</w:t>
      </w:r>
      <w:r w:rsidRPr="000E22EB">
        <w:rPr>
          <w:sz w:val="22"/>
          <w:szCs w:val="22"/>
        </w:rPr>
        <w:t xml:space="preserve"> oświadcza, że </w:t>
      </w:r>
      <w:r w:rsidR="00185C76">
        <w:rPr>
          <w:sz w:val="22"/>
          <w:szCs w:val="22"/>
        </w:rPr>
        <w:t>półroczne</w:t>
      </w:r>
      <w:r w:rsidR="00185C76" w:rsidRPr="000E22EB">
        <w:rPr>
          <w:sz w:val="22"/>
          <w:szCs w:val="22"/>
        </w:rPr>
        <w:t xml:space="preserve"> </w:t>
      </w:r>
      <w:r w:rsidRPr="000E22EB">
        <w:rPr>
          <w:sz w:val="22"/>
          <w:szCs w:val="22"/>
        </w:rPr>
        <w:t xml:space="preserve">Sprawozdanie z działalności Zarządu zawiera prawdziwy obraz rozwoju, osiągnięć Spółki oraz jej sytuacji, w tym także opis podstawowych </w:t>
      </w:r>
      <w:proofErr w:type="spellStart"/>
      <w:r w:rsidRPr="000E22EB">
        <w:rPr>
          <w:sz w:val="22"/>
          <w:szCs w:val="22"/>
        </w:rPr>
        <w:t>ryzyk</w:t>
      </w:r>
      <w:proofErr w:type="spellEnd"/>
      <w:r w:rsidRPr="000E22EB">
        <w:rPr>
          <w:sz w:val="22"/>
          <w:szCs w:val="22"/>
        </w:rPr>
        <w:t xml:space="preserve"> i zagrożeń. Jednocześnie należy podkreślić, iż zgodnie z obowiązującymi MSSF skonsolidowane sprawozdanie </w:t>
      </w:r>
      <w:r w:rsidR="00F81691">
        <w:rPr>
          <w:sz w:val="22"/>
          <w:szCs w:val="22"/>
        </w:rPr>
        <w:br/>
      </w:r>
      <w:r w:rsidRPr="000E22EB">
        <w:rPr>
          <w:sz w:val="22"/>
          <w:szCs w:val="22"/>
        </w:rPr>
        <w:t xml:space="preserve">z sytuacji finansowej zasadniczo odzwierciedla jedynie sumę aktywów netto podmiotów tworzących Grupę, a nie wartość rynkową poszczególnych spółek z portfela inwestycyjnego </w:t>
      </w:r>
      <w:r w:rsidR="00A90ACB">
        <w:rPr>
          <w:sz w:val="22"/>
          <w:szCs w:val="22"/>
        </w:rPr>
        <w:t>Emitenta</w:t>
      </w:r>
      <w:r w:rsidRPr="000E22EB">
        <w:rPr>
          <w:sz w:val="22"/>
          <w:szCs w:val="22"/>
        </w:rPr>
        <w:t>. Powyższy zapis dotyczy również aktywów netto na 1 akcję. Skonsolidowane sprawozdanie z sytuacji finansowej nie prezentuje wartości spółek według ich wartości godziwej (na podstawie wycen majątkowych, dochodowych lub porównawczych) z wyjątkiem niektórych aktywów, jak nieruchomości, które są rozpoznawane według wartości godziwej (operat), przyjmowanej na podstawie opinii rz</w:t>
      </w:r>
      <w:r w:rsidR="00E212C7" w:rsidRPr="000E22EB">
        <w:rPr>
          <w:sz w:val="22"/>
          <w:szCs w:val="22"/>
        </w:rPr>
        <w:t>eczoznawców oraz</w:t>
      </w:r>
      <w:r w:rsidR="00A13E00" w:rsidRPr="000E22EB">
        <w:rPr>
          <w:sz w:val="22"/>
          <w:szCs w:val="22"/>
        </w:rPr>
        <w:t xml:space="preserve"> wiarygodnej oceny kierownictwa</w:t>
      </w:r>
      <w:r w:rsidR="009473D0">
        <w:rPr>
          <w:sz w:val="22"/>
          <w:szCs w:val="22"/>
        </w:rPr>
        <w:t>.</w:t>
      </w:r>
    </w:p>
    <w:p w:rsidR="00516B5A" w:rsidRPr="000E22EB" w:rsidRDefault="00516B5A" w:rsidP="00BE60FC">
      <w:pPr>
        <w:rPr>
          <w:sz w:val="22"/>
          <w:szCs w:val="22"/>
        </w:rPr>
      </w:pPr>
    </w:p>
    <w:p w:rsidR="00C71F49" w:rsidRDefault="00C71F49" w:rsidP="008A248D">
      <w:pPr>
        <w:tabs>
          <w:tab w:val="num" w:pos="1440"/>
        </w:tabs>
        <w:ind w:right="-108"/>
        <w:jc w:val="both"/>
        <w:rPr>
          <w:sz w:val="22"/>
          <w:szCs w:val="22"/>
        </w:rPr>
      </w:pPr>
    </w:p>
    <w:p w:rsidR="00215AA4" w:rsidRPr="000E22EB" w:rsidRDefault="007E6323" w:rsidP="008A248D">
      <w:pPr>
        <w:tabs>
          <w:tab w:val="num" w:pos="1440"/>
        </w:tabs>
        <w:ind w:right="-108"/>
        <w:jc w:val="both"/>
        <w:rPr>
          <w:sz w:val="22"/>
          <w:szCs w:val="22"/>
        </w:rPr>
      </w:pPr>
      <w:r w:rsidRPr="000E22EB">
        <w:rPr>
          <w:sz w:val="22"/>
          <w:szCs w:val="22"/>
        </w:rPr>
        <w:t>Maciej Wandzel</w:t>
      </w:r>
      <w:r w:rsidR="00D81838" w:rsidRPr="000E22EB">
        <w:rPr>
          <w:sz w:val="22"/>
          <w:szCs w:val="22"/>
        </w:rPr>
        <w:t xml:space="preserve">  </w:t>
      </w:r>
      <w:r w:rsidR="00D81838" w:rsidRPr="000E22EB">
        <w:rPr>
          <w:sz w:val="22"/>
          <w:szCs w:val="22"/>
        </w:rPr>
        <w:tab/>
      </w:r>
      <w:r w:rsidR="00D81838" w:rsidRPr="000E22EB">
        <w:rPr>
          <w:sz w:val="22"/>
          <w:szCs w:val="22"/>
        </w:rPr>
        <w:tab/>
      </w:r>
      <w:r w:rsidR="00D81838" w:rsidRPr="000E22EB">
        <w:rPr>
          <w:sz w:val="22"/>
          <w:szCs w:val="22"/>
        </w:rPr>
        <w:tab/>
      </w:r>
      <w:r w:rsidR="00D81838" w:rsidRPr="000E22EB">
        <w:rPr>
          <w:sz w:val="22"/>
          <w:szCs w:val="22"/>
        </w:rPr>
        <w:tab/>
        <w:t xml:space="preserve">             </w:t>
      </w:r>
      <w:r w:rsidR="005D7EDC" w:rsidRPr="000E22EB">
        <w:rPr>
          <w:sz w:val="22"/>
          <w:szCs w:val="22"/>
        </w:rPr>
        <w:t>Mariusz Omieciński</w:t>
      </w:r>
    </w:p>
    <w:p w:rsidR="00215AA4" w:rsidRPr="000E22EB" w:rsidRDefault="00215AA4" w:rsidP="008A248D">
      <w:pPr>
        <w:tabs>
          <w:tab w:val="num" w:pos="1440"/>
        </w:tabs>
        <w:ind w:right="-108"/>
        <w:jc w:val="both"/>
        <w:rPr>
          <w:sz w:val="22"/>
          <w:szCs w:val="22"/>
        </w:rPr>
      </w:pPr>
    </w:p>
    <w:p w:rsidR="009D1214" w:rsidRPr="000E22EB" w:rsidRDefault="009D1214" w:rsidP="008A248D">
      <w:pPr>
        <w:tabs>
          <w:tab w:val="num" w:pos="1440"/>
        </w:tabs>
        <w:ind w:right="-108"/>
        <w:jc w:val="both"/>
        <w:rPr>
          <w:sz w:val="22"/>
          <w:szCs w:val="22"/>
        </w:rPr>
      </w:pPr>
    </w:p>
    <w:p w:rsidR="00215AA4" w:rsidRPr="000E22EB" w:rsidRDefault="00215AA4" w:rsidP="008A248D">
      <w:pPr>
        <w:tabs>
          <w:tab w:val="num" w:pos="1440"/>
        </w:tabs>
        <w:ind w:right="-108"/>
        <w:jc w:val="both"/>
        <w:rPr>
          <w:sz w:val="22"/>
          <w:szCs w:val="22"/>
        </w:rPr>
      </w:pPr>
      <w:r w:rsidRPr="000E22EB">
        <w:rPr>
          <w:sz w:val="22"/>
          <w:szCs w:val="22"/>
        </w:rPr>
        <w:t xml:space="preserve">_________________________ </w:t>
      </w:r>
      <w:r w:rsidRPr="000E22EB">
        <w:rPr>
          <w:sz w:val="22"/>
          <w:szCs w:val="22"/>
        </w:rPr>
        <w:tab/>
      </w:r>
      <w:r w:rsidRPr="000E22EB">
        <w:rPr>
          <w:sz w:val="22"/>
          <w:szCs w:val="22"/>
        </w:rPr>
        <w:tab/>
      </w:r>
      <w:r w:rsidRPr="000E22EB">
        <w:rPr>
          <w:sz w:val="22"/>
          <w:szCs w:val="22"/>
        </w:rPr>
        <w:tab/>
      </w:r>
      <w:r w:rsidRPr="000E22EB">
        <w:rPr>
          <w:sz w:val="22"/>
          <w:szCs w:val="22"/>
        </w:rPr>
        <w:tab/>
        <w:t>________________________</w:t>
      </w:r>
    </w:p>
    <w:p w:rsidR="006B210D" w:rsidRPr="000E22EB" w:rsidRDefault="006B210D" w:rsidP="008A248D">
      <w:pPr>
        <w:tabs>
          <w:tab w:val="num" w:pos="1440"/>
        </w:tabs>
        <w:ind w:right="-108"/>
        <w:jc w:val="both"/>
        <w:rPr>
          <w:sz w:val="22"/>
          <w:szCs w:val="22"/>
        </w:rPr>
      </w:pPr>
    </w:p>
    <w:p w:rsidR="00AC126A" w:rsidRPr="000E22EB" w:rsidRDefault="00215AA4" w:rsidP="008A248D">
      <w:pPr>
        <w:tabs>
          <w:tab w:val="num" w:pos="1440"/>
        </w:tabs>
        <w:ind w:right="-108"/>
        <w:jc w:val="both"/>
        <w:rPr>
          <w:sz w:val="22"/>
          <w:szCs w:val="22"/>
        </w:rPr>
      </w:pPr>
      <w:r w:rsidRPr="000E22EB">
        <w:rPr>
          <w:sz w:val="22"/>
          <w:szCs w:val="22"/>
        </w:rPr>
        <w:t xml:space="preserve">Prezes Zarządu </w:t>
      </w:r>
      <w:r w:rsidRPr="000E22EB">
        <w:rPr>
          <w:sz w:val="22"/>
          <w:szCs w:val="22"/>
        </w:rPr>
        <w:tab/>
      </w:r>
      <w:r w:rsidRPr="000E22EB">
        <w:rPr>
          <w:sz w:val="22"/>
          <w:szCs w:val="22"/>
        </w:rPr>
        <w:tab/>
      </w:r>
      <w:r w:rsidRPr="000E22EB">
        <w:rPr>
          <w:sz w:val="22"/>
          <w:szCs w:val="22"/>
        </w:rPr>
        <w:tab/>
      </w:r>
      <w:r w:rsidRPr="000E22EB">
        <w:rPr>
          <w:sz w:val="22"/>
          <w:szCs w:val="22"/>
        </w:rPr>
        <w:tab/>
      </w:r>
      <w:r w:rsidRPr="000E22EB">
        <w:rPr>
          <w:sz w:val="22"/>
          <w:szCs w:val="22"/>
        </w:rPr>
        <w:tab/>
      </w:r>
      <w:r w:rsidRPr="000E22EB">
        <w:rPr>
          <w:sz w:val="22"/>
          <w:szCs w:val="22"/>
        </w:rPr>
        <w:tab/>
      </w:r>
      <w:r w:rsidR="00D81838" w:rsidRPr="000E22EB">
        <w:rPr>
          <w:sz w:val="22"/>
          <w:szCs w:val="22"/>
        </w:rPr>
        <w:t xml:space="preserve">  </w:t>
      </w:r>
      <w:r w:rsidR="005D7EDC" w:rsidRPr="000E22EB">
        <w:rPr>
          <w:sz w:val="22"/>
          <w:szCs w:val="22"/>
        </w:rPr>
        <w:t>Członek</w:t>
      </w:r>
      <w:r w:rsidR="007E6323" w:rsidRPr="000E22EB">
        <w:rPr>
          <w:sz w:val="22"/>
          <w:szCs w:val="22"/>
        </w:rPr>
        <w:t xml:space="preserve"> Zarządu</w:t>
      </w:r>
    </w:p>
    <w:p w:rsidR="00C62B36" w:rsidRPr="000E22EB" w:rsidRDefault="00C62B36" w:rsidP="008A248D">
      <w:pPr>
        <w:tabs>
          <w:tab w:val="num" w:pos="1440"/>
        </w:tabs>
        <w:spacing w:before="120"/>
        <w:ind w:right="-108"/>
        <w:jc w:val="both"/>
        <w:rPr>
          <w:sz w:val="22"/>
          <w:szCs w:val="22"/>
        </w:rPr>
      </w:pPr>
    </w:p>
    <w:p w:rsidR="00F45394" w:rsidRPr="000E22EB" w:rsidRDefault="000F6F9B" w:rsidP="008A248D">
      <w:pPr>
        <w:tabs>
          <w:tab w:val="num" w:pos="1440"/>
        </w:tabs>
        <w:spacing w:before="120"/>
        <w:ind w:right="-108"/>
        <w:jc w:val="both"/>
        <w:rPr>
          <w:b/>
          <w:sz w:val="22"/>
          <w:szCs w:val="22"/>
        </w:rPr>
      </w:pPr>
      <w:r>
        <w:rPr>
          <w:sz w:val="22"/>
          <w:szCs w:val="22"/>
        </w:rPr>
        <w:t>30 maja 2016 roku</w:t>
      </w:r>
    </w:p>
    <w:sectPr w:rsidR="00F45394" w:rsidRPr="000E22EB" w:rsidSect="004D68FF">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59D637" w15:done="0"/>
  <w15:commentEx w15:paraId="437BE900" w15:done="0"/>
  <w15:commentEx w15:paraId="03A689DC" w15:done="0"/>
  <w15:commentEx w15:paraId="27035CC5" w15:done="0"/>
  <w15:commentEx w15:paraId="470AAC9C" w15:done="0"/>
  <w15:commentEx w15:paraId="7F8CBB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BA" w:rsidRDefault="00B66CBA">
      <w:r>
        <w:separator/>
      </w:r>
    </w:p>
  </w:endnote>
  <w:endnote w:type="continuationSeparator" w:id="0">
    <w:p w:rsidR="00B66CBA" w:rsidRDefault="00B6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PL">
    <w:altName w:val="Courier New"/>
    <w:charset w:val="00"/>
    <w:family w:val="roman"/>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BA" w:rsidRDefault="00B66CBA" w:rsidP="005619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66CBA" w:rsidRDefault="00B66C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BA" w:rsidRDefault="00B66CBA" w:rsidP="00BC17E7">
    <w:pPr>
      <w:pStyle w:val="Stopka"/>
      <w:framePr w:wrap="around" w:vAnchor="text" w:hAnchor="page" w:x="5810" w:y="359"/>
      <w:rPr>
        <w:rStyle w:val="Numerstrony"/>
      </w:rPr>
    </w:pPr>
    <w:r>
      <w:rPr>
        <w:rStyle w:val="Numerstrony"/>
      </w:rPr>
      <w:fldChar w:fldCharType="begin"/>
    </w:r>
    <w:r>
      <w:rPr>
        <w:rStyle w:val="Numerstrony"/>
      </w:rPr>
      <w:instrText xml:space="preserve">PAGE  </w:instrText>
    </w:r>
    <w:r>
      <w:rPr>
        <w:rStyle w:val="Numerstrony"/>
      </w:rPr>
      <w:fldChar w:fldCharType="separate"/>
    </w:r>
    <w:r w:rsidR="0015527F">
      <w:rPr>
        <w:rStyle w:val="Numerstrony"/>
        <w:noProof/>
      </w:rPr>
      <w:t>9</w:t>
    </w:r>
    <w:r>
      <w:rPr>
        <w:rStyle w:val="Numerstrony"/>
      </w:rPr>
      <w:fldChar w:fldCharType="end"/>
    </w:r>
  </w:p>
  <w:p w:rsidR="00B66CBA" w:rsidRDefault="00B66CBA">
    <w:pPr>
      <w:pStyle w:val="Stopka"/>
    </w:pPr>
    <w:r>
      <w:pict w14:anchorId="0F3B87DC">
        <v:rect id="_x0000_i1026" style="width:0;height:1.5pt" o:hralign="center" o:hrstd="t" o:hr="t" fillcolor="gray" strok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86519"/>
      <w:docPartObj>
        <w:docPartGallery w:val="Page Numbers (Bottom of Page)"/>
        <w:docPartUnique/>
      </w:docPartObj>
    </w:sdtPr>
    <w:sdtContent>
      <w:p w:rsidR="00B66CBA" w:rsidRDefault="00B66CBA">
        <w:pPr>
          <w:pStyle w:val="Stopka"/>
          <w:jc w:val="center"/>
        </w:pPr>
        <w:r>
          <w:fldChar w:fldCharType="begin"/>
        </w:r>
        <w:r>
          <w:instrText>PAGE   \* MERGEFORMAT</w:instrText>
        </w:r>
        <w:r>
          <w:fldChar w:fldCharType="separate"/>
        </w:r>
        <w:r w:rsidR="0015527F">
          <w:rPr>
            <w:noProof/>
          </w:rPr>
          <w:t>11</w:t>
        </w:r>
        <w:r>
          <w:fldChar w:fldCharType="end"/>
        </w:r>
      </w:p>
    </w:sdtContent>
  </w:sdt>
  <w:p w:rsidR="00B66CBA" w:rsidRDefault="00B66C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BA" w:rsidRDefault="00B66CBA">
      <w:r>
        <w:separator/>
      </w:r>
    </w:p>
  </w:footnote>
  <w:footnote w:type="continuationSeparator" w:id="0">
    <w:p w:rsidR="00B66CBA" w:rsidRDefault="00B6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BA" w:rsidRPr="00E66F40" w:rsidRDefault="00B66CBA" w:rsidP="00C51C30">
    <w:pPr>
      <w:pStyle w:val="Tekstpodstawowy"/>
      <w:spacing w:before="120" w:line="360" w:lineRule="auto"/>
      <w:jc w:val="center"/>
      <w:rPr>
        <w:rFonts w:ascii="Times New Roman" w:hAnsi="Times New Roman" w:cs="Times New Roman"/>
        <w:b/>
        <w:i/>
        <w:color w:val="auto"/>
        <w:sz w:val="18"/>
        <w:szCs w:val="18"/>
      </w:rPr>
    </w:pPr>
    <w:r w:rsidRPr="00E66F40">
      <w:rPr>
        <w:rFonts w:ascii="Times New Roman" w:hAnsi="Times New Roman" w:cs="Times New Roman"/>
        <w:b/>
        <w:i/>
        <w:color w:val="auto"/>
        <w:sz w:val="18"/>
        <w:szCs w:val="18"/>
      </w:rPr>
      <w:t>Sprawozdanie Zarządu jednostki dominującej - Soho</w:t>
    </w:r>
    <w:r>
      <w:rPr>
        <w:rFonts w:ascii="Times New Roman" w:hAnsi="Times New Roman" w:cs="Times New Roman"/>
        <w:b/>
        <w:i/>
        <w:color w:val="auto"/>
        <w:sz w:val="18"/>
        <w:szCs w:val="18"/>
      </w:rPr>
      <w:t xml:space="preserve"> Development </w:t>
    </w:r>
    <w:r w:rsidRPr="00E66F40">
      <w:rPr>
        <w:rFonts w:ascii="Times New Roman" w:hAnsi="Times New Roman" w:cs="Times New Roman"/>
        <w:b/>
        <w:i/>
        <w:color w:val="auto"/>
        <w:sz w:val="18"/>
        <w:szCs w:val="18"/>
      </w:rPr>
      <w:t xml:space="preserve">S.A. obejmujące informacje dotyczące działalności jednostki dominującej i </w:t>
    </w:r>
    <w:r>
      <w:rPr>
        <w:rFonts w:ascii="Times New Roman" w:hAnsi="Times New Roman" w:cs="Times New Roman"/>
        <w:b/>
        <w:i/>
        <w:color w:val="auto"/>
        <w:sz w:val="18"/>
        <w:szCs w:val="18"/>
      </w:rPr>
      <w:t>Grupy Kapitałowej za okres od 1 października 2015</w:t>
    </w:r>
    <w:r w:rsidRPr="00E66F40">
      <w:rPr>
        <w:rFonts w:ascii="Times New Roman" w:hAnsi="Times New Roman" w:cs="Times New Roman"/>
        <w:b/>
        <w:i/>
        <w:color w:val="auto"/>
        <w:sz w:val="18"/>
        <w:szCs w:val="18"/>
      </w:rPr>
      <w:t xml:space="preserve">roku do </w:t>
    </w:r>
    <w:r>
      <w:rPr>
        <w:rFonts w:ascii="Times New Roman" w:hAnsi="Times New Roman" w:cs="Times New Roman"/>
        <w:b/>
        <w:i/>
        <w:color w:val="auto"/>
        <w:sz w:val="18"/>
        <w:szCs w:val="18"/>
      </w:rPr>
      <w:t>31 marca 2016</w:t>
    </w:r>
    <w:r w:rsidRPr="00E66F40">
      <w:rPr>
        <w:rFonts w:ascii="Times New Roman" w:hAnsi="Times New Roman" w:cs="Times New Roman"/>
        <w:b/>
        <w:i/>
        <w:color w:val="auto"/>
        <w:sz w:val="18"/>
        <w:szCs w:val="18"/>
      </w:rPr>
      <w:t xml:space="preserve"> roku</w:t>
    </w:r>
  </w:p>
  <w:p w:rsidR="00B66CBA" w:rsidRPr="00C51C30" w:rsidRDefault="00B66CBA" w:rsidP="00C51C30">
    <w:pPr>
      <w:pStyle w:val="Nagwek"/>
    </w:pPr>
    <w:r>
      <w:pict w14:anchorId="296B2A1E">
        <v:rect id="_x0000_i1025"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80A"/>
    <w:multiLevelType w:val="hybridMultilevel"/>
    <w:tmpl w:val="B1FED2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4782FEE"/>
    <w:multiLevelType w:val="hybridMultilevel"/>
    <w:tmpl w:val="F06E69BC"/>
    <w:lvl w:ilvl="0" w:tplc="04150001">
      <w:start w:val="1"/>
      <w:numFmt w:val="bullet"/>
      <w:lvlText w:val=""/>
      <w:lvlJc w:val="left"/>
      <w:pPr>
        <w:tabs>
          <w:tab w:val="num" w:pos="720"/>
        </w:tabs>
        <w:ind w:left="720" w:hanging="360"/>
      </w:pPr>
      <w:rPr>
        <w:rFonts w:ascii="Symbol" w:hAnsi="Symbol" w:hint="default"/>
      </w:rPr>
    </w:lvl>
    <w:lvl w:ilvl="1" w:tplc="E398C9FE" w:tentative="1">
      <w:start w:val="1"/>
      <w:numFmt w:val="bullet"/>
      <w:lvlText w:val=""/>
      <w:lvlJc w:val="left"/>
      <w:pPr>
        <w:tabs>
          <w:tab w:val="num" w:pos="1440"/>
        </w:tabs>
        <w:ind w:left="1440" w:hanging="360"/>
      </w:pPr>
      <w:rPr>
        <w:rFonts w:ascii="Wingdings" w:hAnsi="Wingdings" w:hint="default"/>
      </w:rPr>
    </w:lvl>
    <w:lvl w:ilvl="2" w:tplc="C7F6CB70" w:tentative="1">
      <w:start w:val="1"/>
      <w:numFmt w:val="bullet"/>
      <w:lvlText w:val=""/>
      <w:lvlJc w:val="left"/>
      <w:pPr>
        <w:tabs>
          <w:tab w:val="num" w:pos="2160"/>
        </w:tabs>
        <w:ind w:left="2160" w:hanging="360"/>
      </w:pPr>
      <w:rPr>
        <w:rFonts w:ascii="Wingdings" w:hAnsi="Wingdings" w:hint="default"/>
      </w:rPr>
    </w:lvl>
    <w:lvl w:ilvl="3" w:tplc="414A3E24" w:tentative="1">
      <w:start w:val="1"/>
      <w:numFmt w:val="bullet"/>
      <w:lvlText w:val=""/>
      <w:lvlJc w:val="left"/>
      <w:pPr>
        <w:tabs>
          <w:tab w:val="num" w:pos="2880"/>
        </w:tabs>
        <w:ind w:left="2880" w:hanging="360"/>
      </w:pPr>
      <w:rPr>
        <w:rFonts w:ascii="Wingdings" w:hAnsi="Wingdings" w:hint="default"/>
      </w:rPr>
    </w:lvl>
    <w:lvl w:ilvl="4" w:tplc="48CE70B6" w:tentative="1">
      <w:start w:val="1"/>
      <w:numFmt w:val="bullet"/>
      <w:lvlText w:val=""/>
      <w:lvlJc w:val="left"/>
      <w:pPr>
        <w:tabs>
          <w:tab w:val="num" w:pos="3600"/>
        </w:tabs>
        <w:ind w:left="3600" w:hanging="360"/>
      </w:pPr>
      <w:rPr>
        <w:rFonts w:ascii="Wingdings" w:hAnsi="Wingdings" w:hint="default"/>
      </w:rPr>
    </w:lvl>
    <w:lvl w:ilvl="5" w:tplc="61E89FA4" w:tentative="1">
      <w:start w:val="1"/>
      <w:numFmt w:val="bullet"/>
      <w:lvlText w:val=""/>
      <w:lvlJc w:val="left"/>
      <w:pPr>
        <w:tabs>
          <w:tab w:val="num" w:pos="4320"/>
        </w:tabs>
        <w:ind w:left="4320" w:hanging="360"/>
      </w:pPr>
      <w:rPr>
        <w:rFonts w:ascii="Wingdings" w:hAnsi="Wingdings" w:hint="default"/>
      </w:rPr>
    </w:lvl>
    <w:lvl w:ilvl="6" w:tplc="FE08246A" w:tentative="1">
      <w:start w:val="1"/>
      <w:numFmt w:val="bullet"/>
      <w:lvlText w:val=""/>
      <w:lvlJc w:val="left"/>
      <w:pPr>
        <w:tabs>
          <w:tab w:val="num" w:pos="5040"/>
        </w:tabs>
        <w:ind w:left="5040" w:hanging="360"/>
      </w:pPr>
      <w:rPr>
        <w:rFonts w:ascii="Wingdings" w:hAnsi="Wingdings" w:hint="default"/>
      </w:rPr>
    </w:lvl>
    <w:lvl w:ilvl="7" w:tplc="5366FB1E" w:tentative="1">
      <w:start w:val="1"/>
      <w:numFmt w:val="bullet"/>
      <w:lvlText w:val=""/>
      <w:lvlJc w:val="left"/>
      <w:pPr>
        <w:tabs>
          <w:tab w:val="num" w:pos="5760"/>
        </w:tabs>
        <w:ind w:left="5760" w:hanging="360"/>
      </w:pPr>
      <w:rPr>
        <w:rFonts w:ascii="Wingdings" w:hAnsi="Wingdings" w:hint="default"/>
      </w:rPr>
    </w:lvl>
    <w:lvl w:ilvl="8" w:tplc="74984A72" w:tentative="1">
      <w:start w:val="1"/>
      <w:numFmt w:val="bullet"/>
      <w:lvlText w:val=""/>
      <w:lvlJc w:val="left"/>
      <w:pPr>
        <w:tabs>
          <w:tab w:val="num" w:pos="6480"/>
        </w:tabs>
        <w:ind w:left="6480" w:hanging="360"/>
      </w:pPr>
      <w:rPr>
        <w:rFonts w:ascii="Wingdings" w:hAnsi="Wingdings" w:hint="default"/>
      </w:rPr>
    </w:lvl>
  </w:abstractNum>
  <w:abstractNum w:abstractNumId="2">
    <w:nsid w:val="04C4702D"/>
    <w:multiLevelType w:val="hybridMultilevel"/>
    <w:tmpl w:val="941A36F4"/>
    <w:lvl w:ilvl="0" w:tplc="04150001">
      <w:start w:val="1"/>
      <w:numFmt w:val="bullet"/>
      <w:lvlText w:val=""/>
      <w:lvlJc w:val="left"/>
      <w:pPr>
        <w:tabs>
          <w:tab w:val="num" w:pos="567"/>
        </w:tabs>
        <w:ind w:left="567"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BE2086B"/>
    <w:multiLevelType w:val="hybridMultilevel"/>
    <w:tmpl w:val="64E2A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2916A3"/>
    <w:multiLevelType w:val="hybridMultilevel"/>
    <w:tmpl w:val="D756C06A"/>
    <w:lvl w:ilvl="0" w:tplc="7708DBA4">
      <w:start w:val="1"/>
      <w:numFmt w:val="decimal"/>
      <w:pStyle w:val="Tytu"/>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70276"/>
    <w:multiLevelType w:val="hybridMultilevel"/>
    <w:tmpl w:val="16BC9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771F8E"/>
    <w:multiLevelType w:val="hybridMultilevel"/>
    <w:tmpl w:val="FC2608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CE66CBE"/>
    <w:multiLevelType w:val="hybridMultilevel"/>
    <w:tmpl w:val="D2E64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3E02D9"/>
    <w:multiLevelType w:val="hybridMultilevel"/>
    <w:tmpl w:val="DED67252"/>
    <w:lvl w:ilvl="0" w:tplc="33441E7E">
      <w:start w:val="1"/>
      <w:numFmt w:val="decimal"/>
      <w:lvlText w:val="%1."/>
      <w:lvlJc w:val="left"/>
      <w:pPr>
        <w:ind w:left="360" w:hanging="360"/>
      </w:pPr>
      <w:rPr>
        <w:rFonts w:ascii="Times New Roman" w:hAnsi="Times New Roman" w:cs="Times New Roman"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DD417BD"/>
    <w:multiLevelType w:val="hybridMultilevel"/>
    <w:tmpl w:val="B8C86672"/>
    <w:lvl w:ilvl="0" w:tplc="4E02FD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E47256"/>
    <w:multiLevelType w:val="hybridMultilevel"/>
    <w:tmpl w:val="5AE680C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B7C6D54"/>
    <w:multiLevelType w:val="hybridMultilevel"/>
    <w:tmpl w:val="ACCE0D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D402DA4"/>
    <w:multiLevelType w:val="hybridMultilevel"/>
    <w:tmpl w:val="2B56C5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3BD13CB"/>
    <w:multiLevelType w:val="hybridMultilevel"/>
    <w:tmpl w:val="C30E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C5EE0"/>
    <w:multiLevelType w:val="hybridMultilevel"/>
    <w:tmpl w:val="DF2405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30F69F6"/>
    <w:multiLevelType w:val="hybridMultilevel"/>
    <w:tmpl w:val="C194EB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E63C23"/>
    <w:multiLevelType w:val="hybridMultilevel"/>
    <w:tmpl w:val="1382AB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8FB1BC8"/>
    <w:multiLevelType w:val="hybridMultilevel"/>
    <w:tmpl w:val="5E5438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B8B6376"/>
    <w:multiLevelType w:val="hybridMultilevel"/>
    <w:tmpl w:val="E55230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C92333B"/>
    <w:multiLevelType w:val="hybridMultilevel"/>
    <w:tmpl w:val="56B4B2D2"/>
    <w:lvl w:ilvl="0" w:tplc="636C8646">
      <w:start w:val="1"/>
      <w:numFmt w:val="bullet"/>
      <w:pStyle w:val="Listapunktowana"/>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95DECBC8">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0">
    <w:nsid w:val="50825761"/>
    <w:multiLevelType w:val="hybridMultilevel"/>
    <w:tmpl w:val="D2687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F14E6"/>
    <w:multiLevelType w:val="hybridMultilevel"/>
    <w:tmpl w:val="05B07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217431"/>
    <w:multiLevelType w:val="hybridMultilevel"/>
    <w:tmpl w:val="7D6AB7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A4A1C48"/>
    <w:multiLevelType w:val="hybridMultilevel"/>
    <w:tmpl w:val="5C8248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734A8A"/>
    <w:multiLevelType w:val="hybridMultilevel"/>
    <w:tmpl w:val="BB820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39A5231"/>
    <w:multiLevelType w:val="hybridMultilevel"/>
    <w:tmpl w:val="EF1A79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72A156E"/>
    <w:multiLevelType w:val="hybridMultilevel"/>
    <w:tmpl w:val="85FC8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A3D69EB"/>
    <w:multiLevelType w:val="hybridMultilevel"/>
    <w:tmpl w:val="3BA6D5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EA6294E"/>
    <w:multiLevelType w:val="hybridMultilevel"/>
    <w:tmpl w:val="9ED6E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9B05BD"/>
    <w:multiLevelType w:val="multilevel"/>
    <w:tmpl w:val="272AF39A"/>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nsid w:val="72822B73"/>
    <w:multiLevelType w:val="hybridMultilevel"/>
    <w:tmpl w:val="13202D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2834984"/>
    <w:multiLevelType w:val="hybridMultilevel"/>
    <w:tmpl w:val="11705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4B2168D"/>
    <w:multiLevelType w:val="hybridMultilevel"/>
    <w:tmpl w:val="91C84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5CC542E"/>
    <w:multiLevelType w:val="hybridMultilevel"/>
    <w:tmpl w:val="BF780DC4"/>
    <w:lvl w:ilvl="0" w:tplc="25907E78">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0B373E"/>
    <w:multiLevelType w:val="hybridMultilevel"/>
    <w:tmpl w:val="311C80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DAD284E"/>
    <w:multiLevelType w:val="hybridMultilevel"/>
    <w:tmpl w:val="7F02E784"/>
    <w:lvl w:ilvl="0" w:tplc="253CE0A2">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nsid w:val="7E5C66DD"/>
    <w:multiLevelType w:val="hybridMultilevel"/>
    <w:tmpl w:val="E70435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2"/>
  </w:num>
  <w:num w:numId="3">
    <w:abstractNumId w:val="4"/>
  </w:num>
  <w:num w:numId="4">
    <w:abstractNumId w:val="2"/>
  </w:num>
  <w:num w:numId="5">
    <w:abstractNumId w:val="8"/>
  </w:num>
  <w:num w:numId="6">
    <w:abstractNumId w:val="35"/>
  </w:num>
  <w:num w:numId="7">
    <w:abstractNumId w:val="34"/>
  </w:num>
  <w:num w:numId="8">
    <w:abstractNumId w:val="25"/>
  </w:num>
  <w:num w:numId="9">
    <w:abstractNumId w:val="23"/>
  </w:num>
  <w:num w:numId="10">
    <w:abstractNumId w:val="7"/>
  </w:num>
  <w:num w:numId="11">
    <w:abstractNumId w:val="11"/>
  </w:num>
  <w:num w:numId="12">
    <w:abstractNumId w:val="3"/>
  </w:num>
  <w:num w:numId="13">
    <w:abstractNumId w:val="12"/>
  </w:num>
  <w:num w:numId="14">
    <w:abstractNumId w:val="1"/>
  </w:num>
  <w:num w:numId="15">
    <w:abstractNumId w:val="32"/>
  </w:num>
  <w:num w:numId="16">
    <w:abstractNumId w:val="31"/>
  </w:num>
  <w:num w:numId="17">
    <w:abstractNumId w:val="18"/>
  </w:num>
  <w:num w:numId="18">
    <w:abstractNumId w:val="14"/>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15"/>
  </w:num>
  <w:num w:numId="27">
    <w:abstractNumId w:val="36"/>
  </w:num>
  <w:num w:numId="28">
    <w:abstractNumId w:val="30"/>
  </w:num>
  <w:num w:numId="29">
    <w:abstractNumId w:val="27"/>
  </w:num>
  <w:num w:numId="30">
    <w:abstractNumId w:val="29"/>
  </w:num>
  <w:num w:numId="31">
    <w:abstractNumId w:val="3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26"/>
  </w:num>
  <w:num w:numId="36">
    <w:abstractNumId w:val="28"/>
  </w:num>
  <w:num w:numId="37">
    <w:abstractNumId w:val="13"/>
  </w:num>
  <w:num w:numId="3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D3"/>
    <w:rsid w:val="00000F5A"/>
    <w:rsid w:val="000014B0"/>
    <w:rsid w:val="000018B2"/>
    <w:rsid w:val="000029CD"/>
    <w:rsid w:val="00002B9B"/>
    <w:rsid w:val="00003B05"/>
    <w:rsid w:val="00003B1E"/>
    <w:rsid w:val="000040F3"/>
    <w:rsid w:val="0000424E"/>
    <w:rsid w:val="00004F56"/>
    <w:rsid w:val="00005B71"/>
    <w:rsid w:val="00006727"/>
    <w:rsid w:val="00007013"/>
    <w:rsid w:val="00007FA2"/>
    <w:rsid w:val="00007FC9"/>
    <w:rsid w:val="0001066F"/>
    <w:rsid w:val="00012774"/>
    <w:rsid w:val="0001400D"/>
    <w:rsid w:val="0001432A"/>
    <w:rsid w:val="00014810"/>
    <w:rsid w:val="000151E6"/>
    <w:rsid w:val="00015414"/>
    <w:rsid w:val="00016324"/>
    <w:rsid w:val="00016444"/>
    <w:rsid w:val="00016980"/>
    <w:rsid w:val="000169EE"/>
    <w:rsid w:val="00016D39"/>
    <w:rsid w:val="00016FEC"/>
    <w:rsid w:val="00017571"/>
    <w:rsid w:val="000175F1"/>
    <w:rsid w:val="0002012A"/>
    <w:rsid w:val="000207F4"/>
    <w:rsid w:val="00021094"/>
    <w:rsid w:val="00021F34"/>
    <w:rsid w:val="00022006"/>
    <w:rsid w:val="00022293"/>
    <w:rsid w:val="000223DE"/>
    <w:rsid w:val="00023054"/>
    <w:rsid w:val="00023887"/>
    <w:rsid w:val="000238FC"/>
    <w:rsid w:val="00023E89"/>
    <w:rsid w:val="000240AA"/>
    <w:rsid w:val="000242B2"/>
    <w:rsid w:val="0002434E"/>
    <w:rsid w:val="00024367"/>
    <w:rsid w:val="0002445F"/>
    <w:rsid w:val="00024D5C"/>
    <w:rsid w:val="0002554E"/>
    <w:rsid w:val="00025843"/>
    <w:rsid w:val="00025B05"/>
    <w:rsid w:val="00026EF6"/>
    <w:rsid w:val="00027133"/>
    <w:rsid w:val="000272A1"/>
    <w:rsid w:val="00027B99"/>
    <w:rsid w:val="00030141"/>
    <w:rsid w:val="000302E6"/>
    <w:rsid w:val="00031BE9"/>
    <w:rsid w:val="00031F71"/>
    <w:rsid w:val="00031FC7"/>
    <w:rsid w:val="00032BEF"/>
    <w:rsid w:val="0003327C"/>
    <w:rsid w:val="000348A0"/>
    <w:rsid w:val="00034C10"/>
    <w:rsid w:val="00034DF2"/>
    <w:rsid w:val="00034EE3"/>
    <w:rsid w:val="0003709B"/>
    <w:rsid w:val="00037ED4"/>
    <w:rsid w:val="0004034F"/>
    <w:rsid w:val="00040365"/>
    <w:rsid w:val="000413F1"/>
    <w:rsid w:val="000416B0"/>
    <w:rsid w:val="0004181C"/>
    <w:rsid w:val="00042145"/>
    <w:rsid w:val="000423BD"/>
    <w:rsid w:val="000424B5"/>
    <w:rsid w:val="00042B8E"/>
    <w:rsid w:val="000430E9"/>
    <w:rsid w:val="00043B82"/>
    <w:rsid w:val="000442AB"/>
    <w:rsid w:val="0004447F"/>
    <w:rsid w:val="00044B03"/>
    <w:rsid w:val="0004660C"/>
    <w:rsid w:val="000469E4"/>
    <w:rsid w:val="0004718A"/>
    <w:rsid w:val="000478D4"/>
    <w:rsid w:val="00051E79"/>
    <w:rsid w:val="00053B19"/>
    <w:rsid w:val="00053FBF"/>
    <w:rsid w:val="00054196"/>
    <w:rsid w:val="0005443B"/>
    <w:rsid w:val="00054535"/>
    <w:rsid w:val="00054647"/>
    <w:rsid w:val="000547D1"/>
    <w:rsid w:val="00055B93"/>
    <w:rsid w:val="00055BDE"/>
    <w:rsid w:val="0005601F"/>
    <w:rsid w:val="00056604"/>
    <w:rsid w:val="00056995"/>
    <w:rsid w:val="00056D67"/>
    <w:rsid w:val="00057BA7"/>
    <w:rsid w:val="00057D15"/>
    <w:rsid w:val="0006070E"/>
    <w:rsid w:val="00060E85"/>
    <w:rsid w:val="00061CA8"/>
    <w:rsid w:val="00061E6D"/>
    <w:rsid w:val="00061EF9"/>
    <w:rsid w:val="00062929"/>
    <w:rsid w:val="00062C55"/>
    <w:rsid w:val="000642EC"/>
    <w:rsid w:val="00064313"/>
    <w:rsid w:val="00064482"/>
    <w:rsid w:val="00065166"/>
    <w:rsid w:val="0006558B"/>
    <w:rsid w:val="00065F8C"/>
    <w:rsid w:val="00066F65"/>
    <w:rsid w:val="0006716F"/>
    <w:rsid w:val="00067912"/>
    <w:rsid w:val="00067EC7"/>
    <w:rsid w:val="000700B2"/>
    <w:rsid w:val="00070B15"/>
    <w:rsid w:val="00070D11"/>
    <w:rsid w:val="00070F45"/>
    <w:rsid w:val="00071752"/>
    <w:rsid w:val="00071B53"/>
    <w:rsid w:val="00071EDB"/>
    <w:rsid w:val="0007239D"/>
    <w:rsid w:val="00072892"/>
    <w:rsid w:val="00072EF8"/>
    <w:rsid w:val="0007372F"/>
    <w:rsid w:val="000741CF"/>
    <w:rsid w:val="000749DE"/>
    <w:rsid w:val="000762CF"/>
    <w:rsid w:val="00076320"/>
    <w:rsid w:val="000763A3"/>
    <w:rsid w:val="00076563"/>
    <w:rsid w:val="00077065"/>
    <w:rsid w:val="000777D5"/>
    <w:rsid w:val="00080058"/>
    <w:rsid w:val="00081DA0"/>
    <w:rsid w:val="00082997"/>
    <w:rsid w:val="00083202"/>
    <w:rsid w:val="000832F5"/>
    <w:rsid w:val="000833D6"/>
    <w:rsid w:val="000841C1"/>
    <w:rsid w:val="00084207"/>
    <w:rsid w:val="0008432A"/>
    <w:rsid w:val="0008456F"/>
    <w:rsid w:val="000852CF"/>
    <w:rsid w:val="000853E1"/>
    <w:rsid w:val="00087EEC"/>
    <w:rsid w:val="00087F06"/>
    <w:rsid w:val="00090500"/>
    <w:rsid w:val="00090FE2"/>
    <w:rsid w:val="000929C0"/>
    <w:rsid w:val="00092A7D"/>
    <w:rsid w:val="00093563"/>
    <w:rsid w:val="000944F6"/>
    <w:rsid w:val="000956CF"/>
    <w:rsid w:val="000961A4"/>
    <w:rsid w:val="000963FA"/>
    <w:rsid w:val="000964B8"/>
    <w:rsid w:val="00096676"/>
    <w:rsid w:val="00097387"/>
    <w:rsid w:val="00097D4F"/>
    <w:rsid w:val="00097EFF"/>
    <w:rsid w:val="000A0E52"/>
    <w:rsid w:val="000A3D2A"/>
    <w:rsid w:val="000A571E"/>
    <w:rsid w:val="000A5BDB"/>
    <w:rsid w:val="000A611B"/>
    <w:rsid w:val="000A6399"/>
    <w:rsid w:val="000A73DB"/>
    <w:rsid w:val="000A74B1"/>
    <w:rsid w:val="000B087D"/>
    <w:rsid w:val="000B10D5"/>
    <w:rsid w:val="000B122B"/>
    <w:rsid w:val="000B12B5"/>
    <w:rsid w:val="000B131C"/>
    <w:rsid w:val="000B2429"/>
    <w:rsid w:val="000B2555"/>
    <w:rsid w:val="000B3164"/>
    <w:rsid w:val="000B379F"/>
    <w:rsid w:val="000B41AF"/>
    <w:rsid w:val="000B426F"/>
    <w:rsid w:val="000B4BCC"/>
    <w:rsid w:val="000B4FBB"/>
    <w:rsid w:val="000B502C"/>
    <w:rsid w:val="000B523C"/>
    <w:rsid w:val="000B5413"/>
    <w:rsid w:val="000B5647"/>
    <w:rsid w:val="000B6F7A"/>
    <w:rsid w:val="000B7023"/>
    <w:rsid w:val="000B7FA5"/>
    <w:rsid w:val="000C1A77"/>
    <w:rsid w:val="000C2CB8"/>
    <w:rsid w:val="000C3146"/>
    <w:rsid w:val="000C3E46"/>
    <w:rsid w:val="000C5E65"/>
    <w:rsid w:val="000C6382"/>
    <w:rsid w:val="000C63BC"/>
    <w:rsid w:val="000C6738"/>
    <w:rsid w:val="000C714F"/>
    <w:rsid w:val="000D0159"/>
    <w:rsid w:val="000D0324"/>
    <w:rsid w:val="000D05D3"/>
    <w:rsid w:val="000D065B"/>
    <w:rsid w:val="000D0C01"/>
    <w:rsid w:val="000D15D5"/>
    <w:rsid w:val="000D1B1C"/>
    <w:rsid w:val="000D2A78"/>
    <w:rsid w:val="000D3404"/>
    <w:rsid w:val="000D384B"/>
    <w:rsid w:val="000D4866"/>
    <w:rsid w:val="000D4A2A"/>
    <w:rsid w:val="000D61BD"/>
    <w:rsid w:val="000D65F4"/>
    <w:rsid w:val="000D7429"/>
    <w:rsid w:val="000D786B"/>
    <w:rsid w:val="000E042B"/>
    <w:rsid w:val="000E0AFB"/>
    <w:rsid w:val="000E0C81"/>
    <w:rsid w:val="000E17E3"/>
    <w:rsid w:val="000E22EB"/>
    <w:rsid w:val="000E2CC5"/>
    <w:rsid w:val="000E3334"/>
    <w:rsid w:val="000E337E"/>
    <w:rsid w:val="000E40B8"/>
    <w:rsid w:val="000E46B4"/>
    <w:rsid w:val="000E4C46"/>
    <w:rsid w:val="000E536F"/>
    <w:rsid w:val="000E5C69"/>
    <w:rsid w:val="000E5C72"/>
    <w:rsid w:val="000E66CD"/>
    <w:rsid w:val="000E6776"/>
    <w:rsid w:val="000E6B7A"/>
    <w:rsid w:val="000E70DB"/>
    <w:rsid w:val="000F0120"/>
    <w:rsid w:val="000F03FE"/>
    <w:rsid w:val="000F10F0"/>
    <w:rsid w:val="000F18BE"/>
    <w:rsid w:val="000F20E5"/>
    <w:rsid w:val="000F22FC"/>
    <w:rsid w:val="000F26F4"/>
    <w:rsid w:val="000F2FB6"/>
    <w:rsid w:val="000F3785"/>
    <w:rsid w:val="000F3A10"/>
    <w:rsid w:val="000F4485"/>
    <w:rsid w:val="000F4F24"/>
    <w:rsid w:val="000F6F9B"/>
    <w:rsid w:val="00100654"/>
    <w:rsid w:val="00100DD3"/>
    <w:rsid w:val="00101CC4"/>
    <w:rsid w:val="0010202D"/>
    <w:rsid w:val="001039F6"/>
    <w:rsid w:val="00103C88"/>
    <w:rsid w:val="00103CAD"/>
    <w:rsid w:val="00104432"/>
    <w:rsid w:val="001044A6"/>
    <w:rsid w:val="00104A9E"/>
    <w:rsid w:val="001061DE"/>
    <w:rsid w:val="001069A8"/>
    <w:rsid w:val="00107985"/>
    <w:rsid w:val="00107D8B"/>
    <w:rsid w:val="00107E96"/>
    <w:rsid w:val="001100A2"/>
    <w:rsid w:val="0011047A"/>
    <w:rsid w:val="00110660"/>
    <w:rsid w:val="00110880"/>
    <w:rsid w:val="001108AE"/>
    <w:rsid w:val="00110955"/>
    <w:rsid w:val="00110E52"/>
    <w:rsid w:val="00111835"/>
    <w:rsid w:val="001119D1"/>
    <w:rsid w:val="00111D00"/>
    <w:rsid w:val="0011319C"/>
    <w:rsid w:val="0011356F"/>
    <w:rsid w:val="00113810"/>
    <w:rsid w:val="0011398D"/>
    <w:rsid w:val="00114536"/>
    <w:rsid w:val="001145A4"/>
    <w:rsid w:val="00114877"/>
    <w:rsid w:val="00114D7B"/>
    <w:rsid w:val="00115408"/>
    <w:rsid w:val="00115B2A"/>
    <w:rsid w:val="001164E1"/>
    <w:rsid w:val="00116E32"/>
    <w:rsid w:val="0011755D"/>
    <w:rsid w:val="00117C45"/>
    <w:rsid w:val="001209F3"/>
    <w:rsid w:val="00121FFE"/>
    <w:rsid w:val="0012220E"/>
    <w:rsid w:val="0012232C"/>
    <w:rsid w:val="001226D6"/>
    <w:rsid w:val="00123A06"/>
    <w:rsid w:val="00123A24"/>
    <w:rsid w:val="0012746D"/>
    <w:rsid w:val="001305C9"/>
    <w:rsid w:val="001313F5"/>
    <w:rsid w:val="00132408"/>
    <w:rsid w:val="00134920"/>
    <w:rsid w:val="0013591E"/>
    <w:rsid w:val="00135A44"/>
    <w:rsid w:val="00135A8B"/>
    <w:rsid w:val="00136B28"/>
    <w:rsid w:val="00137BD1"/>
    <w:rsid w:val="001412B3"/>
    <w:rsid w:val="00141402"/>
    <w:rsid w:val="00141869"/>
    <w:rsid w:val="00141AD6"/>
    <w:rsid w:val="00142B30"/>
    <w:rsid w:val="00142DBB"/>
    <w:rsid w:val="0014354E"/>
    <w:rsid w:val="00143597"/>
    <w:rsid w:val="00143797"/>
    <w:rsid w:val="001439A3"/>
    <w:rsid w:val="00143AC3"/>
    <w:rsid w:val="0014424A"/>
    <w:rsid w:val="001450A0"/>
    <w:rsid w:val="00145E32"/>
    <w:rsid w:val="00146D38"/>
    <w:rsid w:val="0014744D"/>
    <w:rsid w:val="001502CD"/>
    <w:rsid w:val="0015041D"/>
    <w:rsid w:val="001513E3"/>
    <w:rsid w:val="0015164B"/>
    <w:rsid w:val="00153BBB"/>
    <w:rsid w:val="00153E4D"/>
    <w:rsid w:val="0015527F"/>
    <w:rsid w:val="00155689"/>
    <w:rsid w:val="00155724"/>
    <w:rsid w:val="00155D0D"/>
    <w:rsid w:val="00157389"/>
    <w:rsid w:val="00157DA0"/>
    <w:rsid w:val="00160643"/>
    <w:rsid w:val="001608F5"/>
    <w:rsid w:val="001610DC"/>
    <w:rsid w:val="00161325"/>
    <w:rsid w:val="00162FDA"/>
    <w:rsid w:val="00163F57"/>
    <w:rsid w:val="00164F3E"/>
    <w:rsid w:val="001650B2"/>
    <w:rsid w:val="001654F8"/>
    <w:rsid w:val="00165A51"/>
    <w:rsid w:val="00167A43"/>
    <w:rsid w:val="00167BD0"/>
    <w:rsid w:val="00167D5F"/>
    <w:rsid w:val="00167DC7"/>
    <w:rsid w:val="0017004F"/>
    <w:rsid w:val="0017092B"/>
    <w:rsid w:val="0017132C"/>
    <w:rsid w:val="001715B0"/>
    <w:rsid w:val="001716AC"/>
    <w:rsid w:val="00171B2D"/>
    <w:rsid w:val="00171BDF"/>
    <w:rsid w:val="0017214A"/>
    <w:rsid w:val="00172352"/>
    <w:rsid w:val="00173549"/>
    <w:rsid w:val="001738CA"/>
    <w:rsid w:val="00174165"/>
    <w:rsid w:val="00174851"/>
    <w:rsid w:val="00175059"/>
    <w:rsid w:val="0017562F"/>
    <w:rsid w:val="001767A3"/>
    <w:rsid w:val="001776D7"/>
    <w:rsid w:val="0018058C"/>
    <w:rsid w:val="00180C60"/>
    <w:rsid w:val="001816A1"/>
    <w:rsid w:val="00181DD2"/>
    <w:rsid w:val="0018275A"/>
    <w:rsid w:val="001838EA"/>
    <w:rsid w:val="00183D19"/>
    <w:rsid w:val="00183F52"/>
    <w:rsid w:val="0018410A"/>
    <w:rsid w:val="00184994"/>
    <w:rsid w:val="00184DCC"/>
    <w:rsid w:val="00185119"/>
    <w:rsid w:val="00185A97"/>
    <w:rsid w:val="00185AA1"/>
    <w:rsid w:val="00185C76"/>
    <w:rsid w:val="00186268"/>
    <w:rsid w:val="00186436"/>
    <w:rsid w:val="00186BDD"/>
    <w:rsid w:val="0018740B"/>
    <w:rsid w:val="001874EB"/>
    <w:rsid w:val="00190715"/>
    <w:rsid w:val="00190767"/>
    <w:rsid w:val="0019099B"/>
    <w:rsid w:val="00191191"/>
    <w:rsid w:val="00191305"/>
    <w:rsid w:val="001913AE"/>
    <w:rsid w:val="00191472"/>
    <w:rsid w:val="00191648"/>
    <w:rsid w:val="001918B6"/>
    <w:rsid w:val="00192560"/>
    <w:rsid w:val="00192F5F"/>
    <w:rsid w:val="00193E21"/>
    <w:rsid w:val="00193F52"/>
    <w:rsid w:val="0019470D"/>
    <w:rsid w:val="0019491B"/>
    <w:rsid w:val="00194AEC"/>
    <w:rsid w:val="001950E1"/>
    <w:rsid w:val="001957B8"/>
    <w:rsid w:val="0019629D"/>
    <w:rsid w:val="00196383"/>
    <w:rsid w:val="00197FBB"/>
    <w:rsid w:val="001A05D8"/>
    <w:rsid w:val="001A0822"/>
    <w:rsid w:val="001A0B39"/>
    <w:rsid w:val="001A0B7D"/>
    <w:rsid w:val="001A117E"/>
    <w:rsid w:val="001A250A"/>
    <w:rsid w:val="001A275E"/>
    <w:rsid w:val="001A343D"/>
    <w:rsid w:val="001A3A98"/>
    <w:rsid w:val="001A4888"/>
    <w:rsid w:val="001A4B1E"/>
    <w:rsid w:val="001A4C65"/>
    <w:rsid w:val="001A5409"/>
    <w:rsid w:val="001A60BD"/>
    <w:rsid w:val="001A63B3"/>
    <w:rsid w:val="001A6F20"/>
    <w:rsid w:val="001B0F70"/>
    <w:rsid w:val="001B29ED"/>
    <w:rsid w:val="001B2D7A"/>
    <w:rsid w:val="001B4584"/>
    <w:rsid w:val="001B46A6"/>
    <w:rsid w:val="001B471F"/>
    <w:rsid w:val="001B511A"/>
    <w:rsid w:val="001B5FCE"/>
    <w:rsid w:val="001B70CA"/>
    <w:rsid w:val="001C0D2F"/>
    <w:rsid w:val="001C1308"/>
    <w:rsid w:val="001C21A8"/>
    <w:rsid w:val="001C2335"/>
    <w:rsid w:val="001C233C"/>
    <w:rsid w:val="001C2537"/>
    <w:rsid w:val="001C26D9"/>
    <w:rsid w:val="001C27B0"/>
    <w:rsid w:val="001C2B16"/>
    <w:rsid w:val="001C371E"/>
    <w:rsid w:val="001C45E1"/>
    <w:rsid w:val="001C4FF4"/>
    <w:rsid w:val="001C6082"/>
    <w:rsid w:val="001D0369"/>
    <w:rsid w:val="001D09F5"/>
    <w:rsid w:val="001D0F64"/>
    <w:rsid w:val="001D10D3"/>
    <w:rsid w:val="001D10EF"/>
    <w:rsid w:val="001D1319"/>
    <w:rsid w:val="001D1D63"/>
    <w:rsid w:val="001D272A"/>
    <w:rsid w:val="001D2AC9"/>
    <w:rsid w:val="001D33D5"/>
    <w:rsid w:val="001D3C89"/>
    <w:rsid w:val="001D3F7A"/>
    <w:rsid w:val="001D4B06"/>
    <w:rsid w:val="001D4F5E"/>
    <w:rsid w:val="001D6774"/>
    <w:rsid w:val="001D6F8E"/>
    <w:rsid w:val="001D719D"/>
    <w:rsid w:val="001D75B1"/>
    <w:rsid w:val="001D7816"/>
    <w:rsid w:val="001D7DD2"/>
    <w:rsid w:val="001E14A8"/>
    <w:rsid w:val="001E1F7C"/>
    <w:rsid w:val="001E38D6"/>
    <w:rsid w:val="001E4C3C"/>
    <w:rsid w:val="001E5056"/>
    <w:rsid w:val="001E60BD"/>
    <w:rsid w:val="001E6409"/>
    <w:rsid w:val="001E7624"/>
    <w:rsid w:val="001E7AE9"/>
    <w:rsid w:val="001F00F3"/>
    <w:rsid w:val="001F1E43"/>
    <w:rsid w:val="001F2399"/>
    <w:rsid w:val="001F26AC"/>
    <w:rsid w:val="001F2DD1"/>
    <w:rsid w:val="001F44A9"/>
    <w:rsid w:val="001F4A15"/>
    <w:rsid w:val="001F56F8"/>
    <w:rsid w:val="001F60EB"/>
    <w:rsid w:val="001F68E7"/>
    <w:rsid w:val="001F7002"/>
    <w:rsid w:val="001F7395"/>
    <w:rsid w:val="001F7B22"/>
    <w:rsid w:val="001F7BEF"/>
    <w:rsid w:val="002007F1"/>
    <w:rsid w:val="00200A0A"/>
    <w:rsid w:val="00201B1D"/>
    <w:rsid w:val="00201B71"/>
    <w:rsid w:val="00201FC1"/>
    <w:rsid w:val="0020269E"/>
    <w:rsid w:val="002031CA"/>
    <w:rsid w:val="00203784"/>
    <w:rsid w:val="00203F81"/>
    <w:rsid w:val="00204782"/>
    <w:rsid w:val="00204F31"/>
    <w:rsid w:val="00204F78"/>
    <w:rsid w:val="00205050"/>
    <w:rsid w:val="00206346"/>
    <w:rsid w:val="00207EB4"/>
    <w:rsid w:val="00210054"/>
    <w:rsid w:val="002105B9"/>
    <w:rsid w:val="00210DF0"/>
    <w:rsid w:val="002121BB"/>
    <w:rsid w:val="0021293B"/>
    <w:rsid w:val="00212C3E"/>
    <w:rsid w:val="00212FAA"/>
    <w:rsid w:val="00213D28"/>
    <w:rsid w:val="00215301"/>
    <w:rsid w:val="00215AA4"/>
    <w:rsid w:val="002163FC"/>
    <w:rsid w:val="00216977"/>
    <w:rsid w:val="00217C06"/>
    <w:rsid w:val="00217F12"/>
    <w:rsid w:val="00220499"/>
    <w:rsid w:val="00221605"/>
    <w:rsid w:val="00221700"/>
    <w:rsid w:val="00221765"/>
    <w:rsid w:val="00221FC0"/>
    <w:rsid w:val="002221CE"/>
    <w:rsid w:val="0022331F"/>
    <w:rsid w:val="00223949"/>
    <w:rsid w:val="00223950"/>
    <w:rsid w:val="00224BCD"/>
    <w:rsid w:val="00224D94"/>
    <w:rsid w:val="0022560A"/>
    <w:rsid w:val="0022578F"/>
    <w:rsid w:val="002262C2"/>
    <w:rsid w:val="002269B6"/>
    <w:rsid w:val="00227406"/>
    <w:rsid w:val="0023001E"/>
    <w:rsid w:val="0023002A"/>
    <w:rsid w:val="002312E2"/>
    <w:rsid w:val="002329AA"/>
    <w:rsid w:val="00233A4C"/>
    <w:rsid w:val="00233D35"/>
    <w:rsid w:val="00234365"/>
    <w:rsid w:val="00236895"/>
    <w:rsid w:val="0023774C"/>
    <w:rsid w:val="002409CE"/>
    <w:rsid w:val="00240A1C"/>
    <w:rsid w:val="0024120B"/>
    <w:rsid w:val="00241214"/>
    <w:rsid w:val="002414D2"/>
    <w:rsid w:val="0024155F"/>
    <w:rsid w:val="00243294"/>
    <w:rsid w:val="00243893"/>
    <w:rsid w:val="00243F9C"/>
    <w:rsid w:val="0024455B"/>
    <w:rsid w:val="0024460D"/>
    <w:rsid w:val="0024470A"/>
    <w:rsid w:val="00246221"/>
    <w:rsid w:val="002465C8"/>
    <w:rsid w:val="00246DE7"/>
    <w:rsid w:val="00247630"/>
    <w:rsid w:val="00247B78"/>
    <w:rsid w:val="00250084"/>
    <w:rsid w:val="00250527"/>
    <w:rsid w:val="00250EA6"/>
    <w:rsid w:val="0025299B"/>
    <w:rsid w:val="00253E0E"/>
    <w:rsid w:val="0025402C"/>
    <w:rsid w:val="00255ED8"/>
    <w:rsid w:val="002563F8"/>
    <w:rsid w:val="002569A3"/>
    <w:rsid w:val="00260145"/>
    <w:rsid w:val="002601D6"/>
    <w:rsid w:val="0026123D"/>
    <w:rsid w:val="00261976"/>
    <w:rsid w:val="00263C73"/>
    <w:rsid w:val="00263E2D"/>
    <w:rsid w:val="002644FA"/>
    <w:rsid w:val="00264C45"/>
    <w:rsid w:val="002659F4"/>
    <w:rsid w:val="00265C0A"/>
    <w:rsid w:val="002669C7"/>
    <w:rsid w:val="00267038"/>
    <w:rsid w:val="00267AAE"/>
    <w:rsid w:val="00270210"/>
    <w:rsid w:val="002705C7"/>
    <w:rsid w:val="002708C8"/>
    <w:rsid w:val="00270B46"/>
    <w:rsid w:val="00271178"/>
    <w:rsid w:val="002727C1"/>
    <w:rsid w:val="00272852"/>
    <w:rsid w:val="00273D3F"/>
    <w:rsid w:val="002759E2"/>
    <w:rsid w:val="0027618F"/>
    <w:rsid w:val="00276CB7"/>
    <w:rsid w:val="00277635"/>
    <w:rsid w:val="00280DE1"/>
    <w:rsid w:val="00280E18"/>
    <w:rsid w:val="00282772"/>
    <w:rsid w:val="00284040"/>
    <w:rsid w:val="002843D4"/>
    <w:rsid w:val="00284ECC"/>
    <w:rsid w:val="00285386"/>
    <w:rsid w:val="00285E3C"/>
    <w:rsid w:val="0028716E"/>
    <w:rsid w:val="0029038F"/>
    <w:rsid w:val="002909CB"/>
    <w:rsid w:val="00291455"/>
    <w:rsid w:val="00291A01"/>
    <w:rsid w:val="00291CAC"/>
    <w:rsid w:val="002922CC"/>
    <w:rsid w:val="00292DA4"/>
    <w:rsid w:val="00294CB1"/>
    <w:rsid w:val="002950FB"/>
    <w:rsid w:val="002957ED"/>
    <w:rsid w:val="00295A14"/>
    <w:rsid w:val="00295B25"/>
    <w:rsid w:val="00296B64"/>
    <w:rsid w:val="0029725A"/>
    <w:rsid w:val="002A0256"/>
    <w:rsid w:val="002A0A49"/>
    <w:rsid w:val="002A0BB0"/>
    <w:rsid w:val="002A0C5C"/>
    <w:rsid w:val="002A11F3"/>
    <w:rsid w:val="002A1F8D"/>
    <w:rsid w:val="002A2913"/>
    <w:rsid w:val="002A2BA2"/>
    <w:rsid w:val="002A2F34"/>
    <w:rsid w:val="002A3405"/>
    <w:rsid w:val="002A3680"/>
    <w:rsid w:val="002A47C2"/>
    <w:rsid w:val="002A558F"/>
    <w:rsid w:val="002A56CD"/>
    <w:rsid w:val="002A6E1C"/>
    <w:rsid w:val="002A7A51"/>
    <w:rsid w:val="002B0374"/>
    <w:rsid w:val="002B08DD"/>
    <w:rsid w:val="002B0982"/>
    <w:rsid w:val="002B0DD5"/>
    <w:rsid w:val="002B0FFF"/>
    <w:rsid w:val="002B11BA"/>
    <w:rsid w:val="002B1BA7"/>
    <w:rsid w:val="002B572A"/>
    <w:rsid w:val="002B59AC"/>
    <w:rsid w:val="002B5A26"/>
    <w:rsid w:val="002B68C7"/>
    <w:rsid w:val="002B694F"/>
    <w:rsid w:val="002B7068"/>
    <w:rsid w:val="002B7BA5"/>
    <w:rsid w:val="002B7D9F"/>
    <w:rsid w:val="002B7FBC"/>
    <w:rsid w:val="002C044D"/>
    <w:rsid w:val="002C0B67"/>
    <w:rsid w:val="002C21D6"/>
    <w:rsid w:val="002C34A6"/>
    <w:rsid w:val="002C3656"/>
    <w:rsid w:val="002C47CA"/>
    <w:rsid w:val="002C58E8"/>
    <w:rsid w:val="002C5B2A"/>
    <w:rsid w:val="002C7702"/>
    <w:rsid w:val="002D1020"/>
    <w:rsid w:val="002D16EB"/>
    <w:rsid w:val="002D195A"/>
    <w:rsid w:val="002D25E1"/>
    <w:rsid w:val="002D2C3A"/>
    <w:rsid w:val="002D2E1F"/>
    <w:rsid w:val="002D3B2C"/>
    <w:rsid w:val="002D3F8E"/>
    <w:rsid w:val="002D496A"/>
    <w:rsid w:val="002D4BBD"/>
    <w:rsid w:val="002D4F8C"/>
    <w:rsid w:val="002D56B8"/>
    <w:rsid w:val="002D5846"/>
    <w:rsid w:val="002D5A89"/>
    <w:rsid w:val="002D6553"/>
    <w:rsid w:val="002D6D08"/>
    <w:rsid w:val="002D717F"/>
    <w:rsid w:val="002D7E5D"/>
    <w:rsid w:val="002E1000"/>
    <w:rsid w:val="002E11C7"/>
    <w:rsid w:val="002E1873"/>
    <w:rsid w:val="002E204F"/>
    <w:rsid w:val="002E2224"/>
    <w:rsid w:val="002E226B"/>
    <w:rsid w:val="002E2BEA"/>
    <w:rsid w:val="002E341F"/>
    <w:rsid w:val="002E374F"/>
    <w:rsid w:val="002E4EE8"/>
    <w:rsid w:val="002E5419"/>
    <w:rsid w:val="002E5944"/>
    <w:rsid w:val="002E6110"/>
    <w:rsid w:val="002E7B42"/>
    <w:rsid w:val="002F11AB"/>
    <w:rsid w:val="002F1999"/>
    <w:rsid w:val="002F1BF8"/>
    <w:rsid w:val="002F1DD6"/>
    <w:rsid w:val="002F21BF"/>
    <w:rsid w:val="002F2311"/>
    <w:rsid w:val="002F4B7D"/>
    <w:rsid w:val="002F4C64"/>
    <w:rsid w:val="002F4E2C"/>
    <w:rsid w:val="002F5828"/>
    <w:rsid w:val="002F5B43"/>
    <w:rsid w:val="002F6C45"/>
    <w:rsid w:val="002F735E"/>
    <w:rsid w:val="002F7675"/>
    <w:rsid w:val="002F7E72"/>
    <w:rsid w:val="002F7F2C"/>
    <w:rsid w:val="002F7F39"/>
    <w:rsid w:val="00300879"/>
    <w:rsid w:val="003013D8"/>
    <w:rsid w:val="00301713"/>
    <w:rsid w:val="00301F4B"/>
    <w:rsid w:val="0030233E"/>
    <w:rsid w:val="00302D07"/>
    <w:rsid w:val="00302DE1"/>
    <w:rsid w:val="00302E0A"/>
    <w:rsid w:val="0030393D"/>
    <w:rsid w:val="00303C10"/>
    <w:rsid w:val="0030423A"/>
    <w:rsid w:val="00304315"/>
    <w:rsid w:val="0030519E"/>
    <w:rsid w:val="003053BE"/>
    <w:rsid w:val="0030552B"/>
    <w:rsid w:val="00305557"/>
    <w:rsid w:val="00305597"/>
    <w:rsid w:val="00305E38"/>
    <w:rsid w:val="00306626"/>
    <w:rsid w:val="00310162"/>
    <w:rsid w:val="0031080E"/>
    <w:rsid w:val="00310E3E"/>
    <w:rsid w:val="003112D1"/>
    <w:rsid w:val="003114B6"/>
    <w:rsid w:val="0031278C"/>
    <w:rsid w:val="00312DB6"/>
    <w:rsid w:val="00313077"/>
    <w:rsid w:val="0031395D"/>
    <w:rsid w:val="003149CE"/>
    <w:rsid w:val="00315F16"/>
    <w:rsid w:val="00316980"/>
    <w:rsid w:val="00316FE1"/>
    <w:rsid w:val="00317052"/>
    <w:rsid w:val="003178AB"/>
    <w:rsid w:val="00320695"/>
    <w:rsid w:val="00320974"/>
    <w:rsid w:val="003215C5"/>
    <w:rsid w:val="00321A22"/>
    <w:rsid w:val="00322727"/>
    <w:rsid w:val="00322B6F"/>
    <w:rsid w:val="00322C91"/>
    <w:rsid w:val="00323009"/>
    <w:rsid w:val="00323747"/>
    <w:rsid w:val="003237EE"/>
    <w:rsid w:val="00324E1D"/>
    <w:rsid w:val="00325CFB"/>
    <w:rsid w:val="00325F6C"/>
    <w:rsid w:val="00327766"/>
    <w:rsid w:val="003309B9"/>
    <w:rsid w:val="00331106"/>
    <w:rsid w:val="003317C8"/>
    <w:rsid w:val="003318EA"/>
    <w:rsid w:val="0033243D"/>
    <w:rsid w:val="003326AA"/>
    <w:rsid w:val="0033355E"/>
    <w:rsid w:val="00333B14"/>
    <w:rsid w:val="0033447B"/>
    <w:rsid w:val="003348A7"/>
    <w:rsid w:val="003349F5"/>
    <w:rsid w:val="00335770"/>
    <w:rsid w:val="00336537"/>
    <w:rsid w:val="00336867"/>
    <w:rsid w:val="00337B6F"/>
    <w:rsid w:val="00337F8F"/>
    <w:rsid w:val="0034039A"/>
    <w:rsid w:val="003408BD"/>
    <w:rsid w:val="00340F0A"/>
    <w:rsid w:val="003413E5"/>
    <w:rsid w:val="003418AB"/>
    <w:rsid w:val="003418CF"/>
    <w:rsid w:val="003421A8"/>
    <w:rsid w:val="00342EB0"/>
    <w:rsid w:val="00343111"/>
    <w:rsid w:val="00343909"/>
    <w:rsid w:val="00343EE9"/>
    <w:rsid w:val="00344A14"/>
    <w:rsid w:val="0035142A"/>
    <w:rsid w:val="0035179D"/>
    <w:rsid w:val="00352176"/>
    <w:rsid w:val="0035500B"/>
    <w:rsid w:val="0035591C"/>
    <w:rsid w:val="00356A34"/>
    <w:rsid w:val="00356AA9"/>
    <w:rsid w:val="0035709E"/>
    <w:rsid w:val="003570C9"/>
    <w:rsid w:val="00357270"/>
    <w:rsid w:val="0035746A"/>
    <w:rsid w:val="00357E0C"/>
    <w:rsid w:val="0036067F"/>
    <w:rsid w:val="003611B5"/>
    <w:rsid w:val="00361952"/>
    <w:rsid w:val="00362BCC"/>
    <w:rsid w:val="00363A1F"/>
    <w:rsid w:val="00364E1B"/>
    <w:rsid w:val="00364F97"/>
    <w:rsid w:val="0036703C"/>
    <w:rsid w:val="0036738E"/>
    <w:rsid w:val="00367E83"/>
    <w:rsid w:val="0037094C"/>
    <w:rsid w:val="00372330"/>
    <w:rsid w:val="00373096"/>
    <w:rsid w:val="00373B4E"/>
    <w:rsid w:val="003748CD"/>
    <w:rsid w:val="00374F56"/>
    <w:rsid w:val="003752FF"/>
    <w:rsid w:val="00376860"/>
    <w:rsid w:val="003822D5"/>
    <w:rsid w:val="003849C5"/>
    <w:rsid w:val="0038543E"/>
    <w:rsid w:val="00386115"/>
    <w:rsid w:val="003863C6"/>
    <w:rsid w:val="003865B6"/>
    <w:rsid w:val="003869B2"/>
    <w:rsid w:val="00390E7B"/>
    <w:rsid w:val="003917E8"/>
    <w:rsid w:val="00393302"/>
    <w:rsid w:val="0039337B"/>
    <w:rsid w:val="00394387"/>
    <w:rsid w:val="00394A61"/>
    <w:rsid w:val="00394C7B"/>
    <w:rsid w:val="00395859"/>
    <w:rsid w:val="003958E8"/>
    <w:rsid w:val="003959CE"/>
    <w:rsid w:val="00395BF7"/>
    <w:rsid w:val="00397382"/>
    <w:rsid w:val="003975FE"/>
    <w:rsid w:val="003A09EA"/>
    <w:rsid w:val="003A0A04"/>
    <w:rsid w:val="003A0FBE"/>
    <w:rsid w:val="003A1D52"/>
    <w:rsid w:val="003A2208"/>
    <w:rsid w:val="003A251C"/>
    <w:rsid w:val="003A3BBC"/>
    <w:rsid w:val="003A492D"/>
    <w:rsid w:val="003A4A33"/>
    <w:rsid w:val="003A688C"/>
    <w:rsid w:val="003A76C9"/>
    <w:rsid w:val="003A7B0A"/>
    <w:rsid w:val="003A7B75"/>
    <w:rsid w:val="003A7CE7"/>
    <w:rsid w:val="003B0C28"/>
    <w:rsid w:val="003B13D5"/>
    <w:rsid w:val="003B1C2E"/>
    <w:rsid w:val="003B2874"/>
    <w:rsid w:val="003B36D2"/>
    <w:rsid w:val="003B3869"/>
    <w:rsid w:val="003B38A6"/>
    <w:rsid w:val="003B416C"/>
    <w:rsid w:val="003B41A0"/>
    <w:rsid w:val="003B516B"/>
    <w:rsid w:val="003B5DF9"/>
    <w:rsid w:val="003B60E1"/>
    <w:rsid w:val="003B6D80"/>
    <w:rsid w:val="003B6E3D"/>
    <w:rsid w:val="003B6F92"/>
    <w:rsid w:val="003B6FD2"/>
    <w:rsid w:val="003B6FDD"/>
    <w:rsid w:val="003B7E34"/>
    <w:rsid w:val="003B7EFB"/>
    <w:rsid w:val="003B7F4F"/>
    <w:rsid w:val="003C0B19"/>
    <w:rsid w:val="003C0B39"/>
    <w:rsid w:val="003C18E0"/>
    <w:rsid w:val="003C1A8C"/>
    <w:rsid w:val="003C1F8A"/>
    <w:rsid w:val="003C1FFC"/>
    <w:rsid w:val="003C28C3"/>
    <w:rsid w:val="003C2932"/>
    <w:rsid w:val="003C29EA"/>
    <w:rsid w:val="003C2A1A"/>
    <w:rsid w:val="003C3185"/>
    <w:rsid w:val="003C361B"/>
    <w:rsid w:val="003C3CB6"/>
    <w:rsid w:val="003C48A3"/>
    <w:rsid w:val="003C48BD"/>
    <w:rsid w:val="003C4DC5"/>
    <w:rsid w:val="003C638C"/>
    <w:rsid w:val="003C7190"/>
    <w:rsid w:val="003C7326"/>
    <w:rsid w:val="003C78F6"/>
    <w:rsid w:val="003C7FBA"/>
    <w:rsid w:val="003D072C"/>
    <w:rsid w:val="003D0A51"/>
    <w:rsid w:val="003D1748"/>
    <w:rsid w:val="003D3322"/>
    <w:rsid w:val="003D3347"/>
    <w:rsid w:val="003D3CB2"/>
    <w:rsid w:val="003D3FF5"/>
    <w:rsid w:val="003D4736"/>
    <w:rsid w:val="003D4D60"/>
    <w:rsid w:val="003D501B"/>
    <w:rsid w:val="003D57E0"/>
    <w:rsid w:val="003D63AE"/>
    <w:rsid w:val="003D6E70"/>
    <w:rsid w:val="003D7EEF"/>
    <w:rsid w:val="003E0E91"/>
    <w:rsid w:val="003E1561"/>
    <w:rsid w:val="003E2186"/>
    <w:rsid w:val="003E240A"/>
    <w:rsid w:val="003E2FA6"/>
    <w:rsid w:val="003E313E"/>
    <w:rsid w:val="003E3259"/>
    <w:rsid w:val="003E3B13"/>
    <w:rsid w:val="003E4293"/>
    <w:rsid w:val="003E53AD"/>
    <w:rsid w:val="003E5DEC"/>
    <w:rsid w:val="003E5E64"/>
    <w:rsid w:val="003E61DD"/>
    <w:rsid w:val="003E6807"/>
    <w:rsid w:val="003E6A62"/>
    <w:rsid w:val="003E79F7"/>
    <w:rsid w:val="003E7A7E"/>
    <w:rsid w:val="003E7D31"/>
    <w:rsid w:val="003F0561"/>
    <w:rsid w:val="003F06DD"/>
    <w:rsid w:val="003F0A36"/>
    <w:rsid w:val="003F1566"/>
    <w:rsid w:val="003F2C53"/>
    <w:rsid w:val="003F3F29"/>
    <w:rsid w:val="003F4B2F"/>
    <w:rsid w:val="003F4EE3"/>
    <w:rsid w:val="003F67E6"/>
    <w:rsid w:val="003F6DA9"/>
    <w:rsid w:val="003F7875"/>
    <w:rsid w:val="003F7903"/>
    <w:rsid w:val="003F7A31"/>
    <w:rsid w:val="003F7C80"/>
    <w:rsid w:val="003F7D50"/>
    <w:rsid w:val="00401130"/>
    <w:rsid w:val="004011CD"/>
    <w:rsid w:val="00401290"/>
    <w:rsid w:val="00401F66"/>
    <w:rsid w:val="00402081"/>
    <w:rsid w:val="004021F5"/>
    <w:rsid w:val="00405622"/>
    <w:rsid w:val="004056FD"/>
    <w:rsid w:val="00405939"/>
    <w:rsid w:val="004061EC"/>
    <w:rsid w:val="00406C8B"/>
    <w:rsid w:val="004076A9"/>
    <w:rsid w:val="004100A3"/>
    <w:rsid w:val="00411312"/>
    <w:rsid w:val="004115F6"/>
    <w:rsid w:val="00411746"/>
    <w:rsid w:val="00411ECC"/>
    <w:rsid w:val="00413525"/>
    <w:rsid w:val="004135EC"/>
    <w:rsid w:val="004139E3"/>
    <w:rsid w:val="00413D2B"/>
    <w:rsid w:val="004143DC"/>
    <w:rsid w:val="004144E0"/>
    <w:rsid w:val="0041465F"/>
    <w:rsid w:val="004152A6"/>
    <w:rsid w:val="00415369"/>
    <w:rsid w:val="00415650"/>
    <w:rsid w:val="004158AC"/>
    <w:rsid w:val="004159F5"/>
    <w:rsid w:val="00415ED3"/>
    <w:rsid w:val="00416216"/>
    <w:rsid w:val="004204A1"/>
    <w:rsid w:val="0042077D"/>
    <w:rsid w:val="00421280"/>
    <w:rsid w:val="00421BBD"/>
    <w:rsid w:val="0042270F"/>
    <w:rsid w:val="004229E3"/>
    <w:rsid w:val="00422F23"/>
    <w:rsid w:val="0042305B"/>
    <w:rsid w:val="00423F64"/>
    <w:rsid w:val="00424723"/>
    <w:rsid w:val="00424D3D"/>
    <w:rsid w:val="00425A0D"/>
    <w:rsid w:val="004270B0"/>
    <w:rsid w:val="0042791A"/>
    <w:rsid w:val="00427D95"/>
    <w:rsid w:val="00430E1E"/>
    <w:rsid w:val="00431A46"/>
    <w:rsid w:val="004322D5"/>
    <w:rsid w:val="00432B1E"/>
    <w:rsid w:val="00433878"/>
    <w:rsid w:val="0043476B"/>
    <w:rsid w:val="00434F04"/>
    <w:rsid w:val="00435AE0"/>
    <w:rsid w:val="00436217"/>
    <w:rsid w:val="00436A48"/>
    <w:rsid w:val="00436C90"/>
    <w:rsid w:val="004374BF"/>
    <w:rsid w:val="00437B2A"/>
    <w:rsid w:val="00440418"/>
    <w:rsid w:val="004404AA"/>
    <w:rsid w:val="00440AF9"/>
    <w:rsid w:val="00440B9A"/>
    <w:rsid w:val="00442B3B"/>
    <w:rsid w:val="00442DBD"/>
    <w:rsid w:val="00442F3A"/>
    <w:rsid w:val="00445592"/>
    <w:rsid w:val="00445969"/>
    <w:rsid w:val="00446425"/>
    <w:rsid w:val="004478C0"/>
    <w:rsid w:val="00447E26"/>
    <w:rsid w:val="00450660"/>
    <w:rsid w:val="00450FBE"/>
    <w:rsid w:val="00451B89"/>
    <w:rsid w:val="0045227F"/>
    <w:rsid w:val="004527A5"/>
    <w:rsid w:val="00452FB2"/>
    <w:rsid w:val="00453E01"/>
    <w:rsid w:val="004553CD"/>
    <w:rsid w:val="00455847"/>
    <w:rsid w:val="00455CB9"/>
    <w:rsid w:val="00455E2C"/>
    <w:rsid w:val="00456120"/>
    <w:rsid w:val="0045647E"/>
    <w:rsid w:val="0045664C"/>
    <w:rsid w:val="004575CB"/>
    <w:rsid w:val="0045760A"/>
    <w:rsid w:val="00460CD2"/>
    <w:rsid w:val="00461AA5"/>
    <w:rsid w:val="00462121"/>
    <w:rsid w:val="00464BAC"/>
    <w:rsid w:val="00465A55"/>
    <w:rsid w:val="0046648B"/>
    <w:rsid w:val="00467AE3"/>
    <w:rsid w:val="00467D20"/>
    <w:rsid w:val="00470CCC"/>
    <w:rsid w:val="004712EF"/>
    <w:rsid w:val="00471712"/>
    <w:rsid w:val="00471866"/>
    <w:rsid w:val="0047354F"/>
    <w:rsid w:val="004738BD"/>
    <w:rsid w:val="004744CA"/>
    <w:rsid w:val="0047457D"/>
    <w:rsid w:val="00474894"/>
    <w:rsid w:val="004754A6"/>
    <w:rsid w:val="004767B8"/>
    <w:rsid w:val="00477F5E"/>
    <w:rsid w:val="004807F3"/>
    <w:rsid w:val="00480DCB"/>
    <w:rsid w:val="00480F66"/>
    <w:rsid w:val="00481197"/>
    <w:rsid w:val="00481F2B"/>
    <w:rsid w:val="00481F67"/>
    <w:rsid w:val="004822E7"/>
    <w:rsid w:val="00482586"/>
    <w:rsid w:val="00483050"/>
    <w:rsid w:val="0048305A"/>
    <w:rsid w:val="004835CD"/>
    <w:rsid w:val="00483EA4"/>
    <w:rsid w:val="0048444F"/>
    <w:rsid w:val="00485A64"/>
    <w:rsid w:val="00486038"/>
    <w:rsid w:val="004861DE"/>
    <w:rsid w:val="00486967"/>
    <w:rsid w:val="00487054"/>
    <w:rsid w:val="004879E6"/>
    <w:rsid w:val="00487B0B"/>
    <w:rsid w:val="00490096"/>
    <w:rsid w:val="0049030A"/>
    <w:rsid w:val="00490B69"/>
    <w:rsid w:val="0049114A"/>
    <w:rsid w:val="004913CA"/>
    <w:rsid w:val="00491697"/>
    <w:rsid w:val="004919AE"/>
    <w:rsid w:val="004920F5"/>
    <w:rsid w:val="0049246B"/>
    <w:rsid w:val="00493197"/>
    <w:rsid w:val="00493D2D"/>
    <w:rsid w:val="00493EA8"/>
    <w:rsid w:val="00494000"/>
    <w:rsid w:val="004940CA"/>
    <w:rsid w:val="0049451F"/>
    <w:rsid w:val="00494655"/>
    <w:rsid w:val="0049537C"/>
    <w:rsid w:val="004959EC"/>
    <w:rsid w:val="00495C6D"/>
    <w:rsid w:val="00496A58"/>
    <w:rsid w:val="00497BD5"/>
    <w:rsid w:val="004A0317"/>
    <w:rsid w:val="004A2568"/>
    <w:rsid w:val="004A2629"/>
    <w:rsid w:val="004A286C"/>
    <w:rsid w:val="004A317A"/>
    <w:rsid w:val="004A474D"/>
    <w:rsid w:val="004A4AE2"/>
    <w:rsid w:val="004A5B10"/>
    <w:rsid w:val="004A6332"/>
    <w:rsid w:val="004A7476"/>
    <w:rsid w:val="004A7805"/>
    <w:rsid w:val="004A7A15"/>
    <w:rsid w:val="004B2AD3"/>
    <w:rsid w:val="004B2D6A"/>
    <w:rsid w:val="004B3620"/>
    <w:rsid w:val="004B3C3E"/>
    <w:rsid w:val="004B43A7"/>
    <w:rsid w:val="004B457F"/>
    <w:rsid w:val="004B4C45"/>
    <w:rsid w:val="004B65A1"/>
    <w:rsid w:val="004B77E1"/>
    <w:rsid w:val="004C01E9"/>
    <w:rsid w:val="004C0336"/>
    <w:rsid w:val="004C0AFE"/>
    <w:rsid w:val="004C146C"/>
    <w:rsid w:val="004C1D1B"/>
    <w:rsid w:val="004C23CF"/>
    <w:rsid w:val="004C25E0"/>
    <w:rsid w:val="004C32ED"/>
    <w:rsid w:val="004C3311"/>
    <w:rsid w:val="004C37B3"/>
    <w:rsid w:val="004C42BB"/>
    <w:rsid w:val="004C4B52"/>
    <w:rsid w:val="004C4F9D"/>
    <w:rsid w:val="004C53F3"/>
    <w:rsid w:val="004C55A3"/>
    <w:rsid w:val="004C5BE6"/>
    <w:rsid w:val="004C5BEB"/>
    <w:rsid w:val="004C6730"/>
    <w:rsid w:val="004C6DEA"/>
    <w:rsid w:val="004D091B"/>
    <w:rsid w:val="004D1695"/>
    <w:rsid w:val="004D1AE6"/>
    <w:rsid w:val="004D1E00"/>
    <w:rsid w:val="004D1E90"/>
    <w:rsid w:val="004D236B"/>
    <w:rsid w:val="004D38A9"/>
    <w:rsid w:val="004D40AD"/>
    <w:rsid w:val="004D56B6"/>
    <w:rsid w:val="004D68FF"/>
    <w:rsid w:val="004D6D82"/>
    <w:rsid w:val="004D7193"/>
    <w:rsid w:val="004D7AD1"/>
    <w:rsid w:val="004E0ADE"/>
    <w:rsid w:val="004E123A"/>
    <w:rsid w:val="004E12A9"/>
    <w:rsid w:val="004E12D0"/>
    <w:rsid w:val="004E2CC3"/>
    <w:rsid w:val="004E3D16"/>
    <w:rsid w:val="004E40ED"/>
    <w:rsid w:val="004E4506"/>
    <w:rsid w:val="004E4542"/>
    <w:rsid w:val="004E486E"/>
    <w:rsid w:val="004E4907"/>
    <w:rsid w:val="004E49AF"/>
    <w:rsid w:val="004E5033"/>
    <w:rsid w:val="004E5882"/>
    <w:rsid w:val="004E5ACE"/>
    <w:rsid w:val="004E6014"/>
    <w:rsid w:val="004E66A6"/>
    <w:rsid w:val="004E7446"/>
    <w:rsid w:val="004F0226"/>
    <w:rsid w:val="004F049C"/>
    <w:rsid w:val="004F1490"/>
    <w:rsid w:val="004F1E78"/>
    <w:rsid w:val="004F29AE"/>
    <w:rsid w:val="004F2CFB"/>
    <w:rsid w:val="004F324C"/>
    <w:rsid w:val="004F35C2"/>
    <w:rsid w:val="004F3A6B"/>
    <w:rsid w:val="004F3D6C"/>
    <w:rsid w:val="004F4496"/>
    <w:rsid w:val="004F4900"/>
    <w:rsid w:val="004F4B9D"/>
    <w:rsid w:val="004F59DB"/>
    <w:rsid w:val="004F7011"/>
    <w:rsid w:val="004F7681"/>
    <w:rsid w:val="004F7726"/>
    <w:rsid w:val="004F7B79"/>
    <w:rsid w:val="005003D4"/>
    <w:rsid w:val="00500944"/>
    <w:rsid w:val="00500E0E"/>
    <w:rsid w:val="00500E5E"/>
    <w:rsid w:val="00500FCB"/>
    <w:rsid w:val="005016B8"/>
    <w:rsid w:val="005021D4"/>
    <w:rsid w:val="005027EE"/>
    <w:rsid w:val="00502C41"/>
    <w:rsid w:val="00503BE4"/>
    <w:rsid w:val="0050412B"/>
    <w:rsid w:val="00504A18"/>
    <w:rsid w:val="005052F7"/>
    <w:rsid w:val="005062F5"/>
    <w:rsid w:val="0050730D"/>
    <w:rsid w:val="005073C0"/>
    <w:rsid w:val="0050763A"/>
    <w:rsid w:val="0050767E"/>
    <w:rsid w:val="00507D8B"/>
    <w:rsid w:val="005105A9"/>
    <w:rsid w:val="0051159C"/>
    <w:rsid w:val="005118E3"/>
    <w:rsid w:val="00512736"/>
    <w:rsid w:val="0051286B"/>
    <w:rsid w:val="00513ADE"/>
    <w:rsid w:val="0051487C"/>
    <w:rsid w:val="00514951"/>
    <w:rsid w:val="00514BAB"/>
    <w:rsid w:val="0051526E"/>
    <w:rsid w:val="00515D64"/>
    <w:rsid w:val="00515F4D"/>
    <w:rsid w:val="005161F5"/>
    <w:rsid w:val="00516B5A"/>
    <w:rsid w:val="00517244"/>
    <w:rsid w:val="00517411"/>
    <w:rsid w:val="00517D5A"/>
    <w:rsid w:val="0052031F"/>
    <w:rsid w:val="005207E5"/>
    <w:rsid w:val="00520BB1"/>
    <w:rsid w:val="00521FD4"/>
    <w:rsid w:val="00522411"/>
    <w:rsid w:val="005231C9"/>
    <w:rsid w:val="00523A64"/>
    <w:rsid w:val="00523E63"/>
    <w:rsid w:val="005248A6"/>
    <w:rsid w:val="005275D4"/>
    <w:rsid w:val="005277D9"/>
    <w:rsid w:val="00530DE6"/>
    <w:rsid w:val="0053145B"/>
    <w:rsid w:val="00532578"/>
    <w:rsid w:val="00532969"/>
    <w:rsid w:val="00532B5E"/>
    <w:rsid w:val="00532F79"/>
    <w:rsid w:val="005334B2"/>
    <w:rsid w:val="00534555"/>
    <w:rsid w:val="00535BE6"/>
    <w:rsid w:val="00536963"/>
    <w:rsid w:val="00536D64"/>
    <w:rsid w:val="00537992"/>
    <w:rsid w:val="00537FF3"/>
    <w:rsid w:val="00540CFE"/>
    <w:rsid w:val="00541C5C"/>
    <w:rsid w:val="00542624"/>
    <w:rsid w:val="005431A5"/>
    <w:rsid w:val="00543C1E"/>
    <w:rsid w:val="00545AB9"/>
    <w:rsid w:val="00545CF9"/>
    <w:rsid w:val="00546590"/>
    <w:rsid w:val="00546BDF"/>
    <w:rsid w:val="005473F5"/>
    <w:rsid w:val="00551A25"/>
    <w:rsid w:val="0055211F"/>
    <w:rsid w:val="00552D5F"/>
    <w:rsid w:val="005533E5"/>
    <w:rsid w:val="00554B4E"/>
    <w:rsid w:val="00556410"/>
    <w:rsid w:val="00556714"/>
    <w:rsid w:val="00557BF1"/>
    <w:rsid w:val="0056048A"/>
    <w:rsid w:val="0056075D"/>
    <w:rsid w:val="00560EED"/>
    <w:rsid w:val="00561235"/>
    <w:rsid w:val="00561445"/>
    <w:rsid w:val="005619BD"/>
    <w:rsid w:val="005619BE"/>
    <w:rsid w:val="005627C2"/>
    <w:rsid w:val="0056395A"/>
    <w:rsid w:val="0056553B"/>
    <w:rsid w:val="00565AD9"/>
    <w:rsid w:val="00566214"/>
    <w:rsid w:val="005666BF"/>
    <w:rsid w:val="00566A81"/>
    <w:rsid w:val="00566B4F"/>
    <w:rsid w:val="0056753D"/>
    <w:rsid w:val="00567ACE"/>
    <w:rsid w:val="0057017F"/>
    <w:rsid w:val="00571B8E"/>
    <w:rsid w:val="00571CA7"/>
    <w:rsid w:val="00572F39"/>
    <w:rsid w:val="005738BF"/>
    <w:rsid w:val="005740EE"/>
    <w:rsid w:val="00574CED"/>
    <w:rsid w:val="00575614"/>
    <w:rsid w:val="005768FC"/>
    <w:rsid w:val="00580596"/>
    <w:rsid w:val="00581580"/>
    <w:rsid w:val="0058272F"/>
    <w:rsid w:val="0058328D"/>
    <w:rsid w:val="00583DAC"/>
    <w:rsid w:val="0058421F"/>
    <w:rsid w:val="0058453A"/>
    <w:rsid w:val="005848D5"/>
    <w:rsid w:val="00584AF4"/>
    <w:rsid w:val="00584CB3"/>
    <w:rsid w:val="00584D72"/>
    <w:rsid w:val="00584E95"/>
    <w:rsid w:val="0058600B"/>
    <w:rsid w:val="0058614C"/>
    <w:rsid w:val="00586462"/>
    <w:rsid w:val="00586D70"/>
    <w:rsid w:val="00587032"/>
    <w:rsid w:val="00587B67"/>
    <w:rsid w:val="00590F89"/>
    <w:rsid w:val="005912B2"/>
    <w:rsid w:val="00592055"/>
    <w:rsid w:val="00593B98"/>
    <w:rsid w:val="00594113"/>
    <w:rsid w:val="0059461F"/>
    <w:rsid w:val="005946B9"/>
    <w:rsid w:val="00594721"/>
    <w:rsid w:val="005947C2"/>
    <w:rsid w:val="00594BF3"/>
    <w:rsid w:val="0059528A"/>
    <w:rsid w:val="00596441"/>
    <w:rsid w:val="00596CFC"/>
    <w:rsid w:val="005970FE"/>
    <w:rsid w:val="0059718C"/>
    <w:rsid w:val="00597578"/>
    <w:rsid w:val="00597DBD"/>
    <w:rsid w:val="00597E1B"/>
    <w:rsid w:val="005A023D"/>
    <w:rsid w:val="005A0338"/>
    <w:rsid w:val="005A0701"/>
    <w:rsid w:val="005A11DA"/>
    <w:rsid w:val="005A1CF3"/>
    <w:rsid w:val="005A1D29"/>
    <w:rsid w:val="005A29DD"/>
    <w:rsid w:val="005A3D92"/>
    <w:rsid w:val="005A3F46"/>
    <w:rsid w:val="005A4B0B"/>
    <w:rsid w:val="005A4FB4"/>
    <w:rsid w:val="005A59EE"/>
    <w:rsid w:val="005A5D23"/>
    <w:rsid w:val="005A5FD1"/>
    <w:rsid w:val="005A7D30"/>
    <w:rsid w:val="005A7D3D"/>
    <w:rsid w:val="005B02AA"/>
    <w:rsid w:val="005B04A2"/>
    <w:rsid w:val="005B0C61"/>
    <w:rsid w:val="005B1EDA"/>
    <w:rsid w:val="005B2115"/>
    <w:rsid w:val="005B2731"/>
    <w:rsid w:val="005B2A0C"/>
    <w:rsid w:val="005B2BC8"/>
    <w:rsid w:val="005B3105"/>
    <w:rsid w:val="005B33CA"/>
    <w:rsid w:val="005B3465"/>
    <w:rsid w:val="005B3F1B"/>
    <w:rsid w:val="005B4667"/>
    <w:rsid w:val="005B5855"/>
    <w:rsid w:val="005B5F71"/>
    <w:rsid w:val="005B685A"/>
    <w:rsid w:val="005B6DBD"/>
    <w:rsid w:val="005B7834"/>
    <w:rsid w:val="005B7A8B"/>
    <w:rsid w:val="005C09AD"/>
    <w:rsid w:val="005C0DBD"/>
    <w:rsid w:val="005C14BD"/>
    <w:rsid w:val="005C20DA"/>
    <w:rsid w:val="005C215E"/>
    <w:rsid w:val="005C247F"/>
    <w:rsid w:val="005C29F2"/>
    <w:rsid w:val="005C2B8E"/>
    <w:rsid w:val="005C3AFF"/>
    <w:rsid w:val="005C4E1F"/>
    <w:rsid w:val="005C5DFA"/>
    <w:rsid w:val="005C67F2"/>
    <w:rsid w:val="005C71A5"/>
    <w:rsid w:val="005C7524"/>
    <w:rsid w:val="005C777E"/>
    <w:rsid w:val="005C7D74"/>
    <w:rsid w:val="005D0255"/>
    <w:rsid w:val="005D124A"/>
    <w:rsid w:val="005D1D10"/>
    <w:rsid w:val="005D235C"/>
    <w:rsid w:val="005D3218"/>
    <w:rsid w:val="005D363A"/>
    <w:rsid w:val="005D4226"/>
    <w:rsid w:val="005D42F8"/>
    <w:rsid w:val="005D4409"/>
    <w:rsid w:val="005D4907"/>
    <w:rsid w:val="005D505F"/>
    <w:rsid w:val="005D5670"/>
    <w:rsid w:val="005D64A3"/>
    <w:rsid w:val="005D6A4E"/>
    <w:rsid w:val="005D6C70"/>
    <w:rsid w:val="005D6D6F"/>
    <w:rsid w:val="005D7EDC"/>
    <w:rsid w:val="005E0054"/>
    <w:rsid w:val="005E1C1B"/>
    <w:rsid w:val="005E2B16"/>
    <w:rsid w:val="005E3BD8"/>
    <w:rsid w:val="005E3E5F"/>
    <w:rsid w:val="005E4C21"/>
    <w:rsid w:val="005E5B39"/>
    <w:rsid w:val="005E6310"/>
    <w:rsid w:val="005E6677"/>
    <w:rsid w:val="005E6BF7"/>
    <w:rsid w:val="005E7F6A"/>
    <w:rsid w:val="005F111D"/>
    <w:rsid w:val="005F16BF"/>
    <w:rsid w:val="005F1B5B"/>
    <w:rsid w:val="005F1D10"/>
    <w:rsid w:val="005F1ECD"/>
    <w:rsid w:val="005F20A2"/>
    <w:rsid w:val="005F2127"/>
    <w:rsid w:val="005F26C2"/>
    <w:rsid w:val="005F3A2D"/>
    <w:rsid w:val="005F4935"/>
    <w:rsid w:val="005F51A6"/>
    <w:rsid w:val="005F52B9"/>
    <w:rsid w:val="005F53B0"/>
    <w:rsid w:val="005F70A7"/>
    <w:rsid w:val="005F774A"/>
    <w:rsid w:val="005F7DB4"/>
    <w:rsid w:val="006004B8"/>
    <w:rsid w:val="0060107C"/>
    <w:rsid w:val="00601F43"/>
    <w:rsid w:val="00602E70"/>
    <w:rsid w:val="006039F3"/>
    <w:rsid w:val="00603BEE"/>
    <w:rsid w:val="00603FA0"/>
    <w:rsid w:val="00604BA2"/>
    <w:rsid w:val="00605964"/>
    <w:rsid w:val="00606061"/>
    <w:rsid w:val="00606488"/>
    <w:rsid w:val="0060680E"/>
    <w:rsid w:val="006073E1"/>
    <w:rsid w:val="00607C24"/>
    <w:rsid w:val="00610C15"/>
    <w:rsid w:val="00611201"/>
    <w:rsid w:val="006118A0"/>
    <w:rsid w:val="006121D4"/>
    <w:rsid w:val="00612E39"/>
    <w:rsid w:val="006134B4"/>
    <w:rsid w:val="006143F1"/>
    <w:rsid w:val="006147EA"/>
    <w:rsid w:val="00615E14"/>
    <w:rsid w:val="00616599"/>
    <w:rsid w:val="00616C1C"/>
    <w:rsid w:val="006217B1"/>
    <w:rsid w:val="00622646"/>
    <w:rsid w:val="00623033"/>
    <w:rsid w:val="00623696"/>
    <w:rsid w:val="00624442"/>
    <w:rsid w:val="006251A9"/>
    <w:rsid w:val="006255A5"/>
    <w:rsid w:val="006257F8"/>
    <w:rsid w:val="0063071B"/>
    <w:rsid w:val="00630E3C"/>
    <w:rsid w:val="00630EAE"/>
    <w:rsid w:val="00633207"/>
    <w:rsid w:val="006332DE"/>
    <w:rsid w:val="00633B8B"/>
    <w:rsid w:val="0063461A"/>
    <w:rsid w:val="00634E64"/>
    <w:rsid w:val="006356C6"/>
    <w:rsid w:val="00635CC8"/>
    <w:rsid w:val="00635CE8"/>
    <w:rsid w:val="0063674B"/>
    <w:rsid w:val="006417DF"/>
    <w:rsid w:val="006418CF"/>
    <w:rsid w:val="00641B7D"/>
    <w:rsid w:val="00641B7E"/>
    <w:rsid w:val="00641C1F"/>
    <w:rsid w:val="0064232E"/>
    <w:rsid w:val="0064262F"/>
    <w:rsid w:val="0064299E"/>
    <w:rsid w:val="00643734"/>
    <w:rsid w:val="00643775"/>
    <w:rsid w:val="006441A2"/>
    <w:rsid w:val="00644331"/>
    <w:rsid w:val="00644D04"/>
    <w:rsid w:val="006454B0"/>
    <w:rsid w:val="00645D1C"/>
    <w:rsid w:val="00646C03"/>
    <w:rsid w:val="00646E00"/>
    <w:rsid w:val="00646F64"/>
    <w:rsid w:val="006473AB"/>
    <w:rsid w:val="00647504"/>
    <w:rsid w:val="00650451"/>
    <w:rsid w:val="0065145D"/>
    <w:rsid w:val="006530BD"/>
    <w:rsid w:val="00653F15"/>
    <w:rsid w:val="00654186"/>
    <w:rsid w:val="006549DD"/>
    <w:rsid w:val="00654D5D"/>
    <w:rsid w:val="00655342"/>
    <w:rsid w:val="00655DAF"/>
    <w:rsid w:val="00657928"/>
    <w:rsid w:val="0065792B"/>
    <w:rsid w:val="00657B04"/>
    <w:rsid w:val="00657D0B"/>
    <w:rsid w:val="00657FB6"/>
    <w:rsid w:val="006624E7"/>
    <w:rsid w:val="00663264"/>
    <w:rsid w:val="00663373"/>
    <w:rsid w:val="00664737"/>
    <w:rsid w:val="00665A08"/>
    <w:rsid w:val="00666BB6"/>
    <w:rsid w:val="006676EB"/>
    <w:rsid w:val="0066789B"/>
    <w:rsid w:val="00667E14"/>
    <w:rsid w:val="00667EAC"/>
    <w:rsid w:val="00671645"/>
    <w:rsid w:val="006716CE"/>
    <w:rsid w:val="006722E7"/>
    <w:rsid w:val="00672712"/>
    <w:rsid w:val="0067365B"/>
    <w:rsid w:val="00674B4A"/>
    <w:rsid w:val="00674DA9"/>
    <w:rsid w:val="00674F23"/>
    <w:rsid w:val="0067546C"/>
    <w:rsid w:val="0067619F"/>
    <w:rsid w:val="00676E79"/>
    <w:rsid w:val="006770D6"/>
    <w:rsid w:val="006773ED"/>
    <w:rsid w:val="00677B44"/>
    <w:rsid w:val="00680125"/>
    <w:rsid w:val="006807BE"/>
    <w:rsid w:val="00680C74"/>
    <w:rsid w:val="00681F88"/>
    <w:rsid w:val="00684100"/>
    <w:rsid w:val="00684399"/>
    <w:rsid w:val="0068452A"/>
    <w:rsid w:val="00684EE1"/>
    <w:rsid w:val="006852DB"/>
    <w:rsid w:val="006855A8"/>
    <w:rsid w:val="006855E0"/>
    <w:rsid w:val="006865EC"/>
    <w:rsid w:val="00686F69"/>
    <w:rsid w:val="00687318"/>
    <w:rsid w:val="0068739B"/>
    <w:rsid w:val="00687B66"/>
    <w:rsid w:val="00690B44"/>
    <w:rsid w:val="00691700"/>
    <w:rsid w:val="006928C2"/>
    <w:rsid w:val="00692A58"/>
    <w:rsid w:val="00692EB4"/>
    <w:rsid w:val="0069332D"/>
    <w:rsid w:val="006940AA"/>
    <w:rsid w:val="006948E3"/>
    <w:rsid w:val="006948F5"/>
    <w:rsid w:val="00694E37"/>
    <w:rsid w:val="006950A5"/>
    <w:rsid w:val="00695388"/>
    <w:rsid w:val="00695E61"/>
    <w:rsid w:val="00696835"/>
    <w:rsid w:val="00696B21"/>
    <w:rsid w:val="00696D3E"/>
    <w:rsid w:val="006972C8"/>
    <w:rsid w:val="00697989"/>
    <w:rsid w:val="00697FE2"/>
    <w:rsid w:val="006A05A9"/>
    <w:rsid w:val="006A07EF"/>
    <w:rsid w:val="006A0CBE"/>
    <w:rsid w:val="006A1D11"/>
    <w:rsid w:val="006A406C"/>
    <w:rsid w:val="006A5784"/>
    <w:rsid w:val="006A585E"/>
    <w:rsid w:val="006A6B7C"/>
    <w:rsid w:val="006A6BFA"/>
    <w:rsid w:val="006A7CF7"/>
    <w:rsid w:val="006B08F2"/>
    <w:rsid w:val="006B09EB"/>
    <w:rsid w:val="006B0A59"/>
    <w:rsid w:val="006B190B"/>
    <w:rsid w:val="006B1FD6"/>
    <w:rsid w:val="006B210D"/>
    <w:rsid w:val="006B2401"/>
    <w:rsid w:val="006B3E37"/>
    <w:rsid w:val="006B4ED5"/>
    <w:rsid w:val="006B65DA"/>
    <w:rsid w:val="006B6CE8"/>
    <w:rsid w:val="006B6F6B"/>
    <w:rsid w:val="006B731A"/>
    <w:rsid w:val="006B7C83"/>
    <w:rsid w:val="006B7CC8"/>
    <w:rsid w:val="006B7EA6"/>
    <w:rsid w:val="006C01C3"/>
    <w:rsid w:val="006C1BF6"/>
    <w:rsid w:val="006C1D26"/>
    <w:rsid w:val="006C20ED"/>
    <w:rsid w:val="006C2817"/>
    <w:rsid w:val="006C2BCF"/>
    <w:rsid w:val="006C2D82"/>
    <w:rsid w:val="006C2DC9"/>
    <w:rsid w:val="006C45E8"/>
    <w:rsid w:val="006C4854"/>
    <w:rsid w:val="006C4A18"/>
    <w:rsid w:val="006C57E2"/>
    <w:rsid w:val="006C62FE"/>
    <w:rsid w:val="006C70FD"/>
    <w:rsid w:val="006C73D9"/>
    <w:rsid w:val="006D01BF"/>
    <w:rsid w:val="006D1417"/>
    <w:rsid w:val="006D27E0"/>
    <w:rsid w:val="006D2E34"/>
    <w:rsid w:val="006D330E"/>
    <w:rsid w:val="006D35B3"/>
    <w:rsid w:val="006D3815"/>
    <w:rsid w:val="006D3A16"/>
    <w:rsid w:val="006D59F0"/>
    <w:rsid w:val="006D5C2B"/>
    <w:rsid w:val="006D5DAF"/>
    <w:rsid w:val="006D644C"/>
    <w:rsid w:val="006D673D"/>
    <w:rsid w:val="006D6D19"/>
    <w:rsid w:val="006D7045"/>
    <w:rsid w:val="006E0386"/>
    <w:rsid w:val="006E03C5"/>
    <w:rsid w:val="006E1166"/>
    <w:rsid w:val="006E1F5A"/>
    <w:rsid w:val="006E25A4"/>
    <w:rsid w:val="006E2ACE"/>
    <w:rsid w:val="006E384C"/>
    <w:rsid w:val="006E4EC4"/>
    <w:rsid w:val="006E50E1"/>
    <w:rsid w:val="006E5256"/>
    <w:rsid w:val="006E632A"/>
    <w:rsid w:val="006E7F98"/>
    <w:rsid w:val="006F0100"/>
    <w:rsid w:val="006F01DB"/>
    <w:rsid w:val="006F0D6D"/>
    <w:rsid w:val="006F247F"/>
    <w:rsid w:val="006F2748"/>
    <w:rsid w:val="006F2BCD"/>
    <w:rsid w:val="006F2BE4"/>
    <w:rsid w:val="006F2CE0"/>
    <w:rsid w:val="006F2EB5"/>
    <w:rsid w:val="006F305B"/>
    <w:rsid w:val="006F376A"/>
    <w:rsid w:val="006F38FC"/>
    <w:rsid w:val="006F391D"/>
    <w:rsid w:val="006F3F99"/>
    <w:rsid w:val="006F4AEE"/>
    <w:rsid w:val="006F5148"/>
    <w:rsid w:val="006F741B"/>
    <w:rsid w:val="006F7897"/>
    <w:rsid w:val="0070061A"/>
    <w:rsid w:val="00700B11"/>
    <w:rsid w:val="00700D9F"/>
    <w:rsid w:val="00701556"/>
    <w:rsid w:val="00702FB3"/>
    <w:rsid w:val="007042A1"/>
    <w:rsid w:val="0070431E"/>
    <w:rsid w:val="00704335"/>
    <w:rsid w:val="007050D5"/>
    <w:rsid w:val="00705375"/>
    <w:rsid w:val="00705517"/>
    <w:rsid w:val="00705C57"/>
    <w:rsid w:val="007064A7"/>
    <w:rsid w:val="007064B9"/>
    <w:rsid w:val="00707692"/>
    <w:rsid w:val="00710005"/>
    <w:rsid w:val="00710902"/>
    <w:rsid w:val="00711EDD"/>
    <w:rsid w:val="00713429"/>
    <w:rsid w:val="00713913"/>
    <w:rsid w:val="00713B23"/>
    <w:rsid w:val="007141EA"/>
    <w:rsid w:val="00715455"/>
    <w:rsid w:val="0071577F"/>
    <w:rsid w:val="00715A9F"/>
    <w:rsid w:val="00715AD7"/>
    <w:rsid w:val="00716E0A"/>
    <w:rsid w:val="00716F31"/>
    <w:rsid w:val="00717023"/>
    <w:rsid w:val="007178C2"/>
    <w:rsid w:val="00720AA0"/>
    <w:rsid w:val="007211A8"/>
    <w:rsid w:val="0072137C"/>
    <w:rsid w:val="00721F4F"/>
    <w:rsid w:val="00722B39"/>
    <w:rsid w:val="00722E4D"/>
    <w:rsid w:val="0072411B"/>
    <w:rsid w:val="007261E9"/>
    <w:rsid w:val="00726815"/>
    <w:rsid w:val="00727F21"/>
    <w:rsid w:val="00730AE9"/>
    <w:rsid w:val="00731288"/>
    <w:rsid w:val="00731600"/>
    <w:rsid w:val="00731A71"/>
    <w:rsid w:val="00732CE1"/>
    <w:rsid w:val="00733443"/>
    <w:rsid w:val="0073378B"/>
    <w:rsid w:val="00733FC5"/>
    <w:rsid w:val="007348F9"/>
    <w:rsid w:val="00734EC5"/>
    <w:rsid w:val="0073663E"/>
    <w:rsid w:val="00737DFB"/>
    <w:rsid w:val="00740381"/>
    <w:rsid w:val="007404D9"/>
    <w:rsid w:val="00740EE5"/>
    <w:rsid w:val="00741D58"/>
    <w:rsid w:val="00741F1F"/>
    <w:rsid w:val="0074288E"/>
    <w:rsid w:val="00742AD6"/>
    <w:rsid w:val="00742D76"/>
    <w:rsid w:val="00742D80"/>
    <w:rsid w:val="00743A49"/>
    <w:rsid w:val="0074418C"/>
    <w:rsid w:val="00744944"/>
    <w:rsid w:val="00745267"/>
    <w:rsid w:val="00745BD0"/>
    <w:rsid w:val="00746161"/>
    <w:rsid w:val="00746BDD"/>
    <w:rsid w:val="00747567"/>
    <w:rsid w:val="00747F09"/>
    <w:rsid w:val="00750891"/>
    <w:rsid w:val="00750C74"/>
    <w:rsid w:val="00750C80"/>
    <w:rsid w:val="00750CDC"/>
    <w:rsid w:val="00751E62"/>
    <w:rsid w:val="00752717"/>
    <w:rsid w:val="00752A4A"/>
    <w:rsid w:val="00752CE5"/>
    <w:rsid w:val="0075330E"/>
    <w:rsid w:val="00753718"/>
    <w:rsid w:val="00754224"/>
    <w:rsid w:val="0075590A"/>
    <w:rsid w:val="00755DA4"/>
    <w:rsid w:val="00760EE8"/>
    <w:rsid w:val="00761AA0"/>
    <w:rsid w:val="00762700"/>
    <w:rsid w:val="00762AB7"/>
    <w:rsid w:val="00762DB1"/>
    <w:rsid w:val="00763934"/>
    <w:rsid w:val="00764388"/>
    <w:rsid w:val="007643CB"/>
    <w:rsid w:val="0076446E"/>
    <w:rsid w:val="0076486E"/>
    <w:rsid w:val="00765196"/>
    <w:rsid w:val="0076540E"/>
    <w:rsid w:val="007662DF"/>
    <w:rsid w:val="00766A84"/>
    <w:rsid w:val="00767393"/>
    <w:rsid w:val="00767889"/>
    <w:rsid w:val="0077070A"/>
    <w:rsid w:val="007707BE"/>
    <w:rsid w:val="0077128A"/>
    <w:rsid w:val="00771346"/>
    <w:rsid w:val="007724F7"/>
    <w:rsid w:val="00772802"/>
    <w:rsid w:val="0077509B"/>
    <w:rsid w:val="007757DB"/>
    <w:rsid w:val="007760B1"/>
    <w:rsid w:val="0077638E"/>
    <w:rsid w:val="007769AD"/>
    <w:rsid w:val="007778CE"/>
    <w:rsid w:val="00777B24"/>
    <w:rsid w:val="00777FD8"/>
    <w:rsid w:val="007800A3"/>
    <w:rsid w:val="0078034A"/>
    <w:rsid w:val="0078039C"/>
    <w:rsid w:val="0078077B"/>
    <w:rsid w:val="007815CB"/>
    <w:rsid w:val="007817BA"/>
    <w:rsid w:val="00781EB3"/>
    <w:rsid w:val="0078299D"/>
    <w:rsid w:val="00783799"/>
    <w:rsid w:val="00784888"/>
    <w:rsid w:val="007848A1"/>
    <w:rsid w:val="007854FD"/>
    <w:rsid w:val="00786BC2"/>
    <w:rsid w:val="00786D10"/>
    <w:rsid w:val="007873EC"/>
    <w:rsid w:val="00793789"/>
    <w:rsid w:val="007948FC"/>
    <w:rsid w:val="00795325"/>
    <w:rsid w:val="00795455"/>
    <w:rsid w:val="0079559E"/>
    <w:rsid w:val="00796728"/>
    <w:rsid w:val="00796894"/>
    <w:rsid w:val="0079746B"/>
    <w:rsid w:val="007A0EAF"/>
    <w:rsid w:val="007A123F"/>
    <w:rsid w:val="007A2153"/>
    <w:rsid w:val="007A21DF"/>
    <w:rsid w:val="007A30EE"/>
    <w:rsid w:val="007A357A"/>
    <w:rsid w:val="007A45AB"/>
    <w:rsid w:val="007A51C1"/>
    <w:rsid w:val="007A7046"/>
    <w:rsid w:val="007A72F9"/>
    <w:rsid w:val="007A7D2C"/>
    <w:rsid w:val="007B099C"/>
    <w:rsid w:val="007B1511"/>
    <w:rsid w:val="007B251F"/>
    <w:rsid w:val="007B44F9"/>
    <w:rsid w:val="007B49BD"/>
    <w:rsid w:val="007B606B"/>
    <w:rsid w:val="007B68AD"/>
    <w:rsid w:val="007B77F8"/>
    <w:rsid w:val="007B7D1E"/>
    <w:rsid w:val="007B7E34"/>
    <w:rsid w:val="007B7F71"/>
    <w:rsid w:val="007C0B95"/>
    <w:rsid w:val="007C16CB"/>
    <w:rsid w:val="007C1743"/>
    <w:rsid w:val="007C192D"/>
    <w:rsid w:val="007C2548"/>
    <w:rsid w:val="007C270C"/>
    <w:rsid w:val="007C4917"/>
    <w:rsid w:val="007C5574"/>
    <w:rsid w:val="007C5AFB"/>
    <w:rsid w:val="007C5CDD"/>
    <w:rsid w:val="007C5F62"/>
    <w:rsid w:val="007C7585"/>
    <w:rsid w:val="007C7FC8"/>
    <w:rsid w:val="007D0071"/>
    <w:rsid w:val="007D0180"/>
    <w:rsid w:val="007D085F"/>
    <w:rsid w:val="007D0D29"/>
    <w:rsid w:val="007D10D0"/>
    <w:rsid w:val="007D1563"/>
    <w:rsid w:val="007D2BD1"/>
    <w:rsid w:val="007D3850"/>
    <w:rsid w:val="007D3986"/>
    <w:rsid w:val="007D3AEB"/>
    <w:rsid w:val="007D4327"/>
    <w:rsid w:val="007D4479"/>
    <w:rsid w:val="007D48F3"/>
    <w:rsid w:val="007D4B80"/>
    <w:rsid w:val="007D5D53"/>
    <w:rsid w:val="007D6980"/>
    <w:rsid w:val="007D75E8"/>
    <w:rsid w:val="007D76AF"/>
    <w:rsid w:val="007D7775"/>
    <w:rsid w:val="007D79C2"/>
    <w:rsid w:val="007D7F89"/>
    <w:rsid w:val="007E10FC"/>
    <w:rsid w:val="007E143B"/>
    <w:rsid w:val="007E14E5"/>
    <w:rsid w:val="007E163B"/>
    <w:rsid w:val="007E1E45"/>
    <w:rsid w:val="007E203D"/>
    <w:rsid w:val="007E3FBD"/>
    <w:rsid w:val="007E428A"/>
    <w:rsid w:val="007E5100"/>
    <w:rsid w:val="007E59E1"/>
    <w:rsid w:val="007E6323"/>
    <w:rsid w:val="007E68FA"/>
    <w:rsid w:val="007E698A"/>
    <w:rsid w:val="007E6C16"/>
    <w:rsid w:val="007F0B72"/>
    <w:rsid w:val="007F3FCC"/>
    <w:rsid w:val="007F45A7"/>
    <w:rsid w:val="007F48C3"/>
    <w:rsid w:val="007F7896"/>
    <w:rsid w:val="007F7FCE"/>
    <w:rsid w:val="0080065A"/>
    <w:rsid w:val="00802E46"/>
    <w:rsid w:val="0080348C"/>
    <w:rsid w:val="00804533"/>
    <w:rsid w:val="008046A4"/>
    <w:rsid w:val="008047CE"/>
    <w:rsid w:val="00804AA5"/>
    <w:rsid w:val="0080556A"/>
    <w:rsid w:val="0080564E"/>
    <w:rsid w:val="008058EA"/>
    <w:rsid w:val="00805D41"/>
    <w:rsid w:val="00806009"/>
    <w:rsid w:val="00806195"/>
    <w:rsid w:val="0080635A"/>
    <w:rsid w:val="00806A45"/>
    <w:rsid w:val="00807001"/>
    <w:rsid w:val="008071ED"/>
    <w:rsid w:val="00807B2A"/>
    <w:rsid w:val="00807F86"/>
    <w:rsid w:val="008101EB"/>
    <w:rsid w:val="00811FE2"/>
    <w:rsid w:val="00812E82"/>
    <w:rsid w:val="00813019"/>
    <w:rsid w:val="0081324C"/>
    <w:rsid w:val="00813B45"/>
    <w:rsid w:val="00813CA4"/>
    <w:rsid w:val="0081430C"/>
    <w:rsid w:val="00814467"/>
    <w:rsid w:val="00814532"/>
    <w:rsid w:val="008147B4"/>
    <w:rsid w:val="00814938"/>
    <w:rsid w:val="00814C98"/>
    <w:rsid w:val="0081581B"/>
    <w:rsid w:val="008158B2"/>
    <w:rsid w:val="008165D9"/>
    <w:rsid w:val="00817068"/>
    <w:rsid w:val="008201DD"/>
    <w:rsid w:val="0082056C"/>
    <w:rsid w:val="0082079F"/>
    <w:rsid w:val="00821A6A"/>
    <w:rsid w:val="008227A1"/>
    <w:rsid w:val="00822B46"/>
    <w:rsid w:val="00822BC3"/>
    <w:rsid w:val="0082315C"/>
    <w:rsid w:val="0082336A"/>
    <w:rsid w:val="0082439D"/>
    <w:rsid w:val="0082489A"/>
    <w:rsid w:val="00824A20"/>
    <w:rsid w:val="00824ED8"/>
    <w:rsid w:val="0082595E"/>
    <w:rsid w:val="00826ADF"/>
    <w:rsid w:val="00831996"/>
    <w:rsid w:val="008319CC"/>
    <w:rsid w:val="00831FCB"/>
    <w:rsid w:val="0083237B"/>
    <w:rsid w:val="008328BA"/>
    <w:rsid w:val="00832B6C"/>
    <w:rsid w:val="008336AB"/>
    <w:rsid w:val="00833A18"/>
    <w:rsid w:val="00833A78"/>
    <w:rsid w:val="00833E61"/>
    <w:rsid w:val="00833F25"/>
    <w:rsid w:val="00836243"/>
    <w:rsid w:val="0083651E"/>
    <w:rsid w:val="00837074"/>
    <w:rsid w:val="0083726F"/>
    <w:rsid w:val="00840C09"/>
    <w:rsid w:val="0084103C"/>
    <w:rsid w:val="0084291D"/>
    <w:rsid w:val="008430A5"/>
    <w:rsid w:val="0084363B"/>
    <w:rsid w:val="008443F3"/>
    <w:rsid w:val="00844682"/>
    <w:rsid w:val="008447C7"/>
    <w:rsid w:val="00844B10"/>
    <w:rsid w:val="00844FE8"/>
    <w:rsid w:val="008464A4"/>
    <w:rsid w:val="008466D7"/>
    <w:rsid w:val="00846E79"/>
    <w:rsid w:val="008515FF"/>
    <w:rsid w:val="0085224E"/>
    <w:rsid w:val="00852AC1"/>
    <w:rsid w:val="00852FB2"/>
    <w:rsid w:val="0085357C"/>
    <w:rsid w:val="0085369D"/>
    <w:rsid w:val="008545FA"/>
    <w:rsid w:val="00854715"/>
    <w:rsid w:val="00854954"/>
    <w:rsid w:val="00855AFF"/>
    <w:rsid w:val="008568A5"/>
    <w:rsid w:val="00857D0F"/>
    <w:rsid w:val="00860155"/>
    <w:rsid w:val="00862846"/>
    <w:rsid w:val="00862879"/>
    <w:rsid w:val="00862FF5"/>
    <w:rsid w:val="00863A1E"/>
    <w:rsid w:val="00864240"/>
    <w:rsid w:val="00864667"/>
    <w:rsid w:val="0086477B"/>
    <w:rsid w:val="00864E8C"/>
    <w:rsid w:val="00865339"/>
    <w:rsid w:val="00865710"/>
    <w:rsid w:val="0086610A"/>
    <w:rsid w:val="008674DB"/>
    <w:rsid w:val="00867A5B"/>
    <w:rsid w:val="0087065F"/>
    <w:rsid w:val="00870929"/>
    <w:rsid w:val="0087247F"/>
    <w:rsid w:val="00872D51"/>
    <w:rsid w:val="00872DF4"/>
    <w:rsid w:val="00873064"/>
    <w:rsid w:val="0087363C"/>
    <w:rsid w:val="00873F3E"/>
    <w:rsid w:val="0087469E"/>
    <w:rsid w:val="008747DF"/>
    <w:rsid w:val="00875ABC"/>
    <w:rsid w:val="00876038"/>
    <w:rsid w:val="0087645F"/>
    <w:rsid w:val="00876A94"/>
    <w:rsid w:val="00876C7B"/>
    <w:rsid w:val="00877334"/>
    <w:rsid w:val="0087742E"/>
    <w:rsid w:val="00877874"/>
    <w:rsid w:val="00877FA1"/>
    <w:rsid w:val="00880DC5"/>
    <w:rsid w:val="00881C6F"/>
    <w:rsid w:val="00882660"/>
    <w:rsid w:val="00882ABA"/>
    <w:rsid w:val="00883096"/>
    <w:rsid w:val="0088325D"/>
    <w:rsid w:val="008834B7"/>
    <w:rsid w:val="008839B7"/>
    <w:rsid w:val="008842CF"/>
    <w:rsid w:val="00885F38"/>
    <w:rsid w:val="008863DC"/>
    <w:rsid w:val="008868B6"/>
    <w:rsid w:val="008873A1"/>
    <w:rsid w:val="008876D9"/>
    <w:rsid w:val="008908BA"/>
    <w:rsid w:val="00892102"/>
    <w:rsid w:val="00892213"/>
    <w:rsid w:val="008922AD"/>
    <w:rsid w:val="0089230B"/>
    <w:rsid w:val="00892DDB"/>
    <w:rsid w:val="00892F5D"/>
    <w:rsid w:val="00893185"/>
    <w:rsid w:val="00893296"/>
    <w:rsid w:val="0089346F"/>
    <w:rsid w:val="00893718"/>
    <w:rsid w:val="00893847"/>
    <w:rsid w:val="00894797"/>
    <w:rsid w:val="008973E3"/>
    <w:rsid w:val="008A079B"/>
    <w:rsid w:val="008A1970"/>
    <w:rsid w:val="008A21D8"/>
    <w:rsid w:val="008A21DE"/>
    <w:rsid w:val="008A248D"/>
    <w:rsid w:val="008A295B"/>
    <w:rsid w:val="008A3489"/>
    <w:rsid w:val="008A4C02"/>
    <w:rsid w:val="008A5434"/>
    <w:rsid w:val="008A7125"/>
    <w:rsid w:val="008A734C"/>
    <w:rsid w:val="008A7B77"/>
    <w:rsid w:val="008A7DDE"/>
    <w:rsid w:val="008A7DE8"/>
    <w:rsid w:val="008A7FBD"/>
    <w:rsid w:val="008B0296"/>
    <w:rsid w:val="008B0ABA"/>
    <w:rsid w:val="008B1DD5"/>
    <w:rsid w:val="008B268E"/>
    <w:rsid w:val="008B2A0D"/>
    <w:rsid w:val="008B2EBE"/>
    <w:rsid w:val="008B320C"/>
    <w:rsid w:val="008B3456"/>
    <w:rsid w:val="008B37EC"/>
    <w:rsid w:val="008B3A61"/>
    <w:rsid w:val="008B3FFD"/>
    <w:rsid w:val="008B5189"/>
    <w:rsid w:val="008B5DFA"/>
    <w:rsid w:val="008B6C64"/>
    <w:rsid w:val="008B72E7"/>
    <w:rsid w:val="008C25AE"/>
    <w:rsid w:val="008C2EF9"/>
    <w:rsid w:val="008C3177"/>
    <w:rsid w:val="008C32B6"/>
    <w:rsid w:val="008C3562"/>
    <w:rsid w:val="008C426A"/>
    <w:rsid w:val="008C542D"/>
    <w:rsid w:val="008C5F07"/>
    <w:rsid w:val="008C6110"/>
    <w:rsid w:val="008C6823"/>
    <w:rsid w:val="008C78B0"/>
    <w:rsid w:val="008C7DCA"/>
    <w:rsid w:val="008D0A5C"/>
    <w:rsid w:val="008D0F83"/>
    <w:rsid w:val="008D10D3"/>
    <w:rsid w:val="008D1570"/>
    <w:rsid w:val="008D1BCC"/>
    <w:rsid w:val="008D2048"/>
    <w:rsid w:val="008D2433"/>
    <w:rsid w:val="008D2669"/>
    <w:rsid w:val="008D2D3A"/>
    <w:rsid w:val="008D2E93"/>
    <w:rsid w:val="008D3504"/>
    <w:rsid w:val="008D3518"/>
    <w:rsid w:val="008D39A7"/>
    <w:rsid w:val="008D4BE7"/>
    <w:rsid w:val="008D4EA0"/>
    <w:rsid w:val="008D7221"/>
    <w:rsid w:val="008D72CB"/>
    <w:rsid w:val="008D7A18"/>
    <w:rsid w:val="008E0962"/>
    <w:rsid w:val="008E13CA"/>
    <w:rsid w:val="008E2777"/>
    <w:rsid w:val="008E280B"/>
    <w:rsid w:val="008E3E5D"/>
    <w:rsid w:val="008E411E"/>
    <w:rsid w:val="008E41AD"/>
    <w:rsid w:val="008E6105"/>
    <w:rsid w:val="008E6931"/>
    <w:rsid w:val="008E714A"/>
    <w:rsid w:val="008E7708"/>
    <w:rsid w:val="008F0882"/>
    <w:rsid w:val="008F1775"/>
    <w:rsid w:val="008F1C0E"/>
    <w:rsid w:val="008F2890"/>
    <w:rsid w:val="008F29D9"/>
    <w:rsid w:val="008F2FBB"/>
    <w:rsid w:val="008F3376"/>
    <w:rsid w:val="008F5175"/>
    <w:rsid w:val="008F5BF2"/>
    <w:rsid w:val="008F5D7C"/>
    <w:rsid w:val="008F5ECF"/>
    <w:rsid w:val="008F60F8"/>
    <w:rsid w:val="008F6753"/>
    <w:rsid w:val="008F6912"/>
    <w:rsid w:val="008F7417"/>
    <w:rsid w:val="008F7778"/>
    <w:rsid w:val="00900AC2"/>
    <w:rsid w:val="00900D10"/>
    <w:rsid w:val="0090145C"/>
    <w:rsid w:val="0090188E"/>
    <w:rsid w:val="00902486"/>
    <w:rsid w:val="009034A2"/>
    <w:rsid w:val="00903578"/>
    <w:rsid w:val="0090386F"/>
    <w:rsid w:val="009038B3"/>
    <w:rsid w:val="00903DF4"/>
    <w:rsid w:val="00904E8E"/>
    <w:rsid w:val="00905775"/>
    <w:rsid w:val="00905ECF"/>
    <w:rsid w:val="00905F54"/>
    <w:rsid w:val="009068A8"/>
    <w:rsid w:val="00906B46"/>
    <w:rsid w:val="00907944"/>
    <w:rsid w:val="009101A0"/>
    <w:rsid w:val="00910376"/>
    <w:rsid w:val="00911F28"/>
    <w:rsid w:val="009121A2"/>
    <w:rsid w:val="0091288C"/>
    <w:rsid w:val="00912930"/>
    <w:rsid w:val="00913433"/>
    <w:rsid w:val="0091366B"/>
    <w:rsid w:val="0091423C"/>
    <w:rsid w:val="00914349"/>
    <w:rsid w:val="00914B92"/>
    <w:rsid w:val="00915504"/>
    <w:rsid w:val="0091690E"/>
    <w:rsid w:val="00916A71"/>
    <w:rsid w:val="00916E90"/>
    <w:rsid w:val="00917C2B"/>
    <w:rsid w:val="00920470"/>
    <w:rsid w:val="00920908"/>
    <w:rsid w:val="00921660"/>
    <w:rsid w:val="00922131"/>
    <w:rsid w:val="00922A71"/>
    <w:rsid w:val="00923823"/>
    <w:rsid w:val="00923AA0"/>
    <w:rsid w:val="00925CF7"/>
    <w:rsid w:val="00925D30"/>
    <w:rsid w:val="00925E55"/>
    <w:rsid w:val="00925FA2"/>
    <w:rsid w:val="009269C5"/>
    <w:rsid w:val="00926FE1"/>
    <w:rsid w:val="00926FFA"/>
    <w:rsid w:val="0092793C"/>
    <w:rsid w:val="009279D8"/>
    <w:rsid w:val="00931228"/>
    <w:rsid w:val="009317BA"/>
    <w:rsid w:val="0093193D"/>
    <w:rsid w:val="009325E6"/>
    <w:rsid w:val="009334D0"/>
    <w:rsid w:val="00933830"/>
    <w:rsid w:val="009349EA"/>
    <w:rsid w:val="00935029"/>
    <w:rsid w:val="009367E8"/>
    <w:rsid w:val="00936CEA"/>
    <w:rsid w:val="0093739B"/>
    <w:rsid w:val="00937AB8"/>
    <w:rsid w:val="00937C61"/>
    <w:rsid w:val="00937F9A"/>
    <w:rsid w:val="00940860"/>
    <w:rsid w:val="00941381"/>
    <w:rsid w:val="009419A8"/>
    <w:rsid w:val="00941E73"/>
    <w:rsid w:val="00941EA6"/>
    <w:rsid w:val="00941EFB"/>
    <w:rsid w:val="00942AC2"/>
    <w:rsid w:val="00943093"/>
    <w:rsid w:val="00943477"/>
    <w:rsid w:val="009441A4"/>
    <w:rsid w:val="00944218"/>
    <w:rsid w:val="009445E3"/>
    <w:rsid w:val="00944CB3"/>
    <w:rsid w:val="009450FE"/>
    <w:rsid w:val="0094587E"/>
    <w:rsid w:val="009460C0"/>
    <w:rsid w:val="00946B12"/>
    <w:rsid w:val="0094739D"/>
    <w:rsid w:val="009473D0"/>
    <w:rsid w:val="0094768D"/>
    <w:rsid w:val="009506E1"/>
    <w:rsid w:val="00950E43"/>
    <w:rsid w:val="0095113C"/>
    <w:rsid w:val="00951330"/>
    <w:rsid w:val="00951639"/>
    <w:rsid w:val="00951AE2"/>
    <w:rsid w:val="00953889"/>
    <w:rsid w:val="00953C4E"/>
    <w:rsid w:val="00953D0F"/>
    <w:rsid w:val="00954954"/>
    <w:rsid w:val="00954A49"/>
    <w:rsid w:val="00954AD0"/>
    <w:rsid w:val="00954C22"/>
    <w:rsid w:val="0095572B"/>
    <w:rsid w:val="00955ABD"/>
    <w:rsid w:val="00955C26"/>
    <w:rsid w:val="00956373"/>
    <w:rsid w:val="009604CC"/>
    <w:rsid w:val="00960695"/>
    <w:rsid w:val="00960779"/>
    <w:rsid w:val="00961137"/>
    <w:rsid w:val="00961402"/>
    <w:rsid w:val="009617B5"/>
    <w:rsid w:val="00961BC5"/>
    <w:rsid w:val="00962579"/>
    <w:rsid w:val="00963CF1"/>
    <w:rsid w:val="00963F2F"/>
    <w:rsid w:val="00964289"/>
    <w:rsid w:val="009655DB"/>
    <w:rsid w:val="0096731E"/>
    <w:rsid w:val="009676F3"/>
    <w:rsid w:val="00967E77"/>
    <w:rsid w:val="00967EDA"/>
    <w:rsid w:val="00967F12"/>
    <w:rsid w:val="00970C41"/>
    <w:rsid w:val="0097217E"/>
    <w:rsid w:val="00972B44"/>
    <w:rsid w:val="00972EC3"/>
    <w:rsid w:val="00976258"/>
    <w:rsid w:val="009770BC"/>
    <w:rsid w:val="00977387"/>
    <w:rsid w:val="0097767B"/>
    <w:rsid w:val="0098021C"/>
    <w:rsid w:val="00980498"/>
    <w:rsid w:val="009804A9"/>
    <w:rsid w:val="009805CE"/>
    <w:rsid w:val="00980F87"/>
    <w:rsid w:val="009812C6"/>
    <w:rsid w:val="00982B30"/>
    <w:rsid w:val="00982F93"/>
    <w:rsid w:val="00985801"/>
    <w:rsid w:val="009862EC"/>
    <w:rsid w:val="0098745A"/>
    <w:rsid w:val="00987985"/>
    <w:rsid w:val="009900AB"/>
    <w:rsid w:val="0099015B"/>
    <w:rsid w:val="00990D24"/>
    <w:rsid w:val="009911E6"/>
    <w:rsid w:val="009913CA"/>
    <w:rsid w:val="00991444"/>
    <w:rsid w:val="00991746"/>
    <w:rsid w:val="00993676"/>
    <w:rsid w:val="00993FDA"/>
    <w:rsid w:val="009948F7"/>
    <w:rsid w:val="00994FE4"/>
    <w:rsid w:val="0099521B"/>
    <w:rsid w:val="00996EC1"/>
    <w:rsid w:val="009970D3"/>
    <w:rsid w:val="009A02AD"/>
    <w:rsid w:val="009A04E0"/>
    <w:rsid w:val="009A082C"/>
    <w:rsid w:val="009A229C"/>
    <w:rsid w:val="009A24C0"/>
    <w:rsid w:val="009A2E0E"/>
    <w:rsid w:val="009A2FFF"/>
    <w:rsid w:val="009A3097"/>
    <w:rsid w:val="009A359B"/>
    <w:rsid w:val="009A40FD"/>
    <w:rsid w:val="009A43D1"/>
    <w:rsid w:val="009A51F3"/>
    <w:rsid w:val="009A745B"/>
    <w:rsid w:val="009A766C"/>
    <w:rsid w:val="009B0FAA"/>
    <w:rsid w:val="009B27E1"/>
    <w:rsid w:val="009B35D3"/>
    <w:rsid w:val="009B3B3D"/>
    <w:rsid w:val="009B42EA"/>
    <w:rsid w:val="009B4C7B"/>
    <w:rsid w:val="009B502A"/>
    <w:rsid w:val="009B5840"/>
    <w:rsid w:val="009B6BF7"/>
    <w:rsid w:val="009B74E9"/>
    <w:rsid w:val="009B794F"/>
    <w:rsid w:val="009B7AD3"/>
    <w:rsid w:val="009C02B1"/>
    <w:rsid w:val="009C0FEE"/>
    <w:rsid w:val="009C1246"/>
    <w:rsid w:val="009C2126"/>
    <w:rsid w:val="009C2B23"/>
    <w:rsid w:val="009C2B6F"/>
    <w:rsid w:val="009C5FC9"/>
    <w:rsid w:val="009C7727"/>
    <w:rsid w:val="009C779F"/>
    <w:rsid w:val="009D0440"/>
    <w:rsid w:val="009D0DE0"/>
    <w:rsid w:val="009D1214"/>
    <w:rsid w:val="009D393E"/>
    <w:rsid w:val="009D3CFB"/>
    <w:rsid w:val="009D3D90"/>
    <w:rsid w:val="009D4F22"/>
    <w:rsid w:val="009D5DF3"/>
    <w:rsid w:val="009D7305"/>
    <w:rsid w:val="009D793D"/>
    <w:rsid w:val="009D7957"/>
    <w:rsid w:val="009E016D"/>
    <w:rsid w:val="009E0429"/>
    <w:rsid w:val="009E1736"/>
    <w:rsid w:val="009E1D8E"/>
    <w:rsid w:val="009E1FBF"/>
    <w:rsid w:val="009E25F5"/>
    <w:rsid w:val="009E2A57"/>
    <w:rsid w:val="009E4826"/>
    <w:rsid w:val="009E4F3D"/>
    <w:rsid w:val="009E54FE"/>
    <w:rsid w:val="009E584C"/>
    <w:rsid w:val="009E63D1"/>
    <w:rsid w:val="009E67D5"/>
    <w:rsid w:val="009E6F5E"/>
    <w:rsid w:val="009E78CA"/>
    <w:rsid w:val="009F0A2C"/>
    <w:rsid w:val="009F11AB"/>
    <w:rsid w:val="009F1748"/>
    <w:rsid w:val="009F18DA"/>
    <w:rsid w:val="009F1C2B"/>
    <w:rsid w:val="009F1F76"/>
    <w:rsid w:val="009F2CA5"/>
    <w:rsid w:val="009F3153"/>
    <w:rsid w:val="009F4492"/>
    <w:rsid w:val="009F4DA1"/>
    <w:rsid w:val="009F5214"/>
    <w:rsid w:val="009F5516"/>
    <w:rsid w:val="009F5D1C"/>
    <w:rsid w:val="009F603B"/>
    <w:rsid w:val="009F71B7"/>
    <w:rsid w:val="00A01A8B"/>
    <w:rsid w:val="00A01D13"/>
    <w:rsid w:val="00A01E78"/>
    <w:rsid w:val="00A0276F"/>
    <w:rsid w:val="00A02AEE"/>
    <w:rsid w:val="00A03D53"/>
    <w:rsid w:val="00A04ABC"/>
    <w:rsid w:val="00A05403"/>
    <w:rsid w:val="00A05A3C"/>
    <w:rsid w:val="00A05B54"/>
    <w:rsid w:val="00A11797"/>
    <w:rsid w:val="00A118BA"/>
    <w:rsid w:val="00A11DB5"/>
    <w:rsid w:val="00A13701"/>
    <w:rsid w:val="00A13E00"/>
    <w:rsid w:val="00A14193"/>
    <w:rsid w:val="00A14209"/>
    <w:rsid w:val="00A14A87"/>
    <w:rsid w:val="00A14FE0"/>
    <w:rsid w:val="00A15A0B"/>
    <w:rsid w:val="00A15B50"/>
    <w:rsid w:val="00A15C68"/>
    <w:rsid w:val="00A16CFA"/>
    <w:rsid w:val="00A16EE3"/>
    <w:rsid w:val="00A176B1"/>
    <w:rsid w:val="00A203F3"/>
    <w:rsid w:val="00A205A6"/>
    <w:rsid w:val="00A21C53"/>
    <w:rsid w:val="00A2248A"/>
    <w:rsid w:val="00A23870"/>
    <w:rsid w:val="00A254F7"/>
    <w:rsid w:val="00A2659B"/>
    <w:rsid w:val="00A27390"/>
    <w:rsid w:val="00A30169"/>
    <w:rsid w:val="00A30E70"/>
    <w:rsid w:val="00A31518"/>
    <w:rsid w:val="00A31F4A"/>
    <w:rsid w:val="00A32247"/>
    <w:rsid w:val="00A32AD5"/>
    <w:rsid w:val="00A32B2D"/>
    <w:rsid w:val="00A3475E"/>
    <w:rsid w:val="00A34C5E"/>
    <w:rsid w:val="00A34CFC"/>
    <w:rsid w:val="00A3565F"/>
    <w:rsid w:val="00A35A86"/>
    <w:rsid w:val="00A35D38"/>
    <w:rsid w:val="00A35DFC"/>
    <w:rsid w:val="00A3674F"/>
    <w:rsid w:val="00A36BBB"/>
    <w:rsid w:val="00A40104"/>
    <w:rsid w:val="00A4058F"/>
    <w:rsid w:val="00A4069D"/>
    <w:rsid w:val="00A41C87"/>
    <w:rsid w:val="00A41D35"/>
    <w:rsid w:val="00A424D0"/>
    <w:rsid w:val="00A42B58"/>
    <w:rsid w:val="00A42D63"/>
    <w:rsid w:val="00A43902"/>
    <w:rsid w:val="00A43B63"/>
    <w:rsid w:val="00A43E9D"/>
    <w:rsid w:val="00A449D0"/>
    <w:rsid w:val="00A44C00"/>
    <w:rsid w:val="00A46431"/>
    <w:rsid w:val="00A464AB"/>
    <w:rsid w:val="00A47CBD"/>
    <w:rsid w:val="00A47DC7"/>
    <w:rsid w:val="00A51541"/>
    <w:rsid w:val="00A51A34"/>
    <w:rsid w:val="00A52DA9"/>
    <w:rsid w:val="00A54030"/>
    <w:rsid w:val="00A54268"/>
    <w:rsid w:val="00A553AD"/>
    <w:rsid w:val="00A56362"/>
    <w:rsid w:val="00A56780"/>
    <w:rsid w:val="00A56951"/>
    <w:rsid w:val="00A56B59"/>
    <w:rsid w:val="00A56E19"/>
    <w:rsid w:val="00A56FAE"/>
    <w:rsid w:val="00A60CDA"/>
    <w:rsid w:val="00A60D69"/>
    <w:rsid w:val="00A615D8"/>
    <w:rsid w:val="00A62D63"/>
    <w:rsid w:val="00A635EA"/>
    <w:rsid w:val="00A647D1"/>
    <w:rsid w:val="00A65B72"/>
    <w:rsid w:val="00A6627C"/>
    <w:rsid w:val="00A66A3A"/>
    <w:rsid w:val="00A67492"/>
    <w:rsid w:val="00A71FAC"/>
    <w:rsid w:val="00A7270A"/>
    <w:rsid w:val="00A72F7E"/>
    <w:rsid w:val="00A730EF"/>
    <w:rsid w:val="00A7311E"/>
    <w:rsid w:val="00A73186"/>
    <w:rsid w:val="00A733F1"/>
    <w:rsid w:val="00A74918"/>
    <w:rsid w:val="00A74B7E"/>
    <w:rsid w:val="00A74D02"/>
    <w:rsid w:val="00A755A0"/>
    <w:rsid w:val="00A75FD2"/>
    <w:rsid w:val="00A77B46"/>
    <w:rsid w:val="00A80640"/>
    <w:rsid w:val="00A80866"/>
    <w:rsid w:val="00A8148B"/>
    <w:rsid w:val="00A82015"/>
    <w:rsid w:val="00A82FB0"/>
    <w:rsid w:val="00A83379"/>
    <w:rsid w:val="00A84CCC"/>
    <w:rsid w:val="00A85324"/>
    <w:rsid w:val="00A85333"/>
    <w:rsid w:val="00A859D3"/>
    <w:rsid w:val="00A86281"/>
    <w:rsid w:val="00A86C58"/>
    <w:rsid w:val="00A87F60"/>
    <w:rsid w:val="00A90326"/>
    <w:rsid w:val="00A90988"/>
    <w:rsid w:val="00A90ACB"/>
    <w:rsid w:val="00A90E72"/>
    <w:rsid w:val="00A918C7"/>
    <w:rsid w:val="00A9249C"/>
    <w:rsid w:val="00A92630"/>
    <w:rsid w:val="00A92B16"/>
    <w:rsid w:val="00A92EDD"/>
    <w:rsid w:val="00A93E3E"/>
    <w:rsid w:val="00A93F50"/>
    <w:rsid w:val="00A94F80"/>
    <w:rsid w:val="00A960D2"/>
    <w:rsid w:val="00A97C1B"/>
    <w:rsid w:val="00AA014C"/>
    <w:rsid w:val="00AA0C3B"/>
    <w:rsid w:val="00AA103A"/>
    <w:rsid w:val="00AA204A"/>
    <w:rsid w:val="00AA20E2"/>
    <w:rsid w:val="00AA26D2"/>
    <w:rsid w:val="00AA2A08"/>
    <w:rsid w:val="00AA2B3B"/>
    <w:rsid w:val="00AA4D5A"/>
    <w:rsid w:val="00AA5839"/>
    <w:rsid w:val="00AA6785"/>
    <w:rsid w:val="00AA6C50"/>
    <w:rsid w:val="00AA7793"/>
    <w:rsid w:val="00AA7A53"/>
    <w:rsid w:val="00AA7F63"/>
    <w:rsid w:val="00AB052A"/>
    <w:rsid w:val="00AB24A2"/>
    <w:rsid w:val="00AB362D"/>
    <w:rsid w:val="00AB36F0"/>
    <w:rsid w:val="00AB3785"/>
    <w:rsid w:val="00AB38A7"/>
    <w:rsid w:val="00AB3F43"/>
    <w:rsid w:val="00AB40FA"/>
    <w:rsid w:val="00AB47A2"/>
    <w:rsid w:val="00AB4D51"/>
    <w:rsid w:val="00AB5DBB"/>
    <w:rsid w:val="00AB6414"/>
    <w:rsid w:val="00AB7098"/>
    <w:rsid w:val="00AB7345"/>
    <w:rsid w:val="00AB767B"/>
    <w:rsid w:val="00AB7CD4"/>
    <w:rsid w:val="00AC0F96"/>
    <w:rsid w:val="00AC1185"/>
    <w:rsid w:val="00AC126A"/>
    <w:rsid w:val="00AC141D"/>
    <w:rsid w:val="00AC14D8"/>
    <w:rsid w:val="00AC150A"/>
    <w:rsid w:val="00AC154A"/>
    <w:rsid w:val="00AC1584"/>
    <w:rsid w:val="00AC17F0"/>
    <w:rsid w:val="00AC1828"/>
    <w:rsid w:val="00AC1DC7"/>
    <w:rsid w:val="00AC20B1"/>
    <w:rsid w:val="00AC38BA"/>
    <w:rsid w:val="00AC3FBB"/>
    <w:rsid w:val="00AC46BF"/>
    <w:rsid w:val="00AC4955"/>
    <w:rsid w:val="00AC4A82"/>
    <w:rsid w:val="00AC5718"/>
    <w:rsid w:val="00AC7460"/>
    <w:rsid w:val="00AC74EE"/>
    <w:rsid w:val="00AC7824"/>
    <w:rsid w:val="00AC7A0C"/>
    <w:rsid w:val="00AC7E4E"/>
    <w:rsid w:val="00AD0458"/>
    <w:rsid w:val="00AD05E2"/>
    <w:rsid w:val="00AD0768"/>
    <w:rsid w:val="00AD1381"/>
    <w:rsid w:val="00AD1EB0"/>
    <w:rsid w:val="00AD3374"/>
    <w:rsid w:val="00AD35B1"/>
    <w:rsid w:val="00AD3A31"/>
    <w:rsid w:val="00AD41A7"/>
    <w:rsid w:val="00AD432F"/>
    <w:rsid w:val="00AD5258"/>
    <w:rsid w:val="00AD609D"/>
    <w:rsid w:val="00AD6834"/>
    <w:rsid w:val="00AD6AE5"/>
    <w:rsid w:val="00AD7D35"/>
    <w:rsid w:val="00AE0690"/>
    <w:rsid w:val="00AE2794"/>
    <w:rsid w:val="00AE4777"/>
    <w:rsid w:val="00AE4C10"/>
    <w:rsid w:val="00AE6366"/>
    <w:rsid w:val="00AE65D4"/>
    <w:rsid w:val="00AE679F"/>
    <w:rsid w:val="00AE72BA"/>
    <w:rsid w:val="00AE7330"/>
    <w:rsid w:val="00AE7A00"/>
    <w:rsid w:val="00AF0768"/>
    <w:rsid w:val="00AF0892"/>
    <w:rsid w:val="00AF0CF9"/>
    <w:rsid w:val="00AF2582"/>
    <w:rsid w:val="00AF28E7"/>
    <w:rsid w:val="00AF2B0E"/>
    <w:rsid w:val="00AF3C75"/>
    <w:rsid w:val="00AF4146"/>
    <w:rsid w:val="00AF4A57"/>
    <w:rsid w:val="00AF5539"/>
    <w:rsid w:val="00AF597D"/>
    <w:rsid w:val="00AF5E6E"/>
    <w:rsid w:val="00AF6DF3"/>
    <w:rsid w:val="00AF7883"/>
    <w:rsid w:val="00AF7D21"/>
    <w:rsid w:val="00B0034F"/>
    <w:rsid w:val="00B0089C"/>
    <w:rsid w:val="00B00C0A"/>
    <w:rsid w:val="00B00E43"/>
    <w:rsid w:val="00B01361"/>
    <w:rsid w:val="00B01AB0"/>
    <w:rsid w:val="00B02AA7"/>
    <w:rsid w:val="00B02C05"/>
    <w:rsid w:val="00B02D76"/>
    <w:rsid w:val="00B031AF"/>
    <w:rsid w:val="00B03AE5"/>
    <w:rsid w:val="00B03BC1"/>
    <w:rsid w:val="00B03CFA"/>
    <w:rsid w:val="00B05C3C"/>
    <w:rsid w:val="00B05EEB"/>
    <w:rsid w:val="00B1046B"/>
    <w:rsid w:val="00B10877"/>
    <w:rsid w:val="00B10D41"/>
    <w:rsid w:val="00B10D7B"/>
    <w:rsid w:val="00B11761"/>
    <w:rsid w:val="00B1183F"/>
    <w:rsid w:val="00B1278F"/>
    <w:rsid w:val="00B14245"/>
    <w:rsid w:val="00B15737"/>
    <w:rsid w:val="00B16A2B"/>
    <w:rsid w:val="00B21900"/>
    <w:rsid w:val="00B2298B"/>
    <w:rsid w:val="00B22E3C"/>
    <w:rsid w:val="00B23090"/>
    <w:rsid w:val="00B24131"/>
    <w:rsid w:val="00B24477"/>
    <w:rsid w:val="00B24C14"/>
    <w:rsid w:val="00B252CB"/>
    <w:rsid w:val="00B2573F"/>
    <w:rsid w:val="00B259EB"/>
    <w:rsid w:val="00B261DD"/>
    <w:rsid w:val="00B262F5"/>
    <w:rsid w:val="00B267C3"/>
    <w:rsid w:val="00B276C9"/>
    <w:rsid w:val="00B302DB"/>
    <w:rsid w:val="00B30937"/>
    <w:rsid w:val="00B316F3"/>
    <w:rsid w:val="00B31F3D"/>
    <w:rsid w:val="00B321F3"/>
    <w:rsid w:val="00B32400"/>
    <w:rsid w:val="00B32D91"/>
    <w:rsid w:val="00B3432E"/>
    <w:rsid w:val="00B35C16"/>
    <w:rsid w:val="00B364BE"/>
    <w:rsid w:val="00B36CD9"/>
    <w:rsid w:val="00B37098"/>
    <w:rsid w:val="00B371C2"/>
    <w:rsid w:val="00B3725B"/>
    <w:rsid w:val="00B409B2"/>
    <w:rsid w:val="00B40C26"/>
    <w:rsid w:val="00B4118A"/>
    <w:rsid w:val="00B41FFF"/>
    <w:rsid w:val="00B4208A"/>
    <w:rsid w:val="00B43672"/>
    <w:rsid w:val="00B43724"/>
    <w:rsid w:val="00B44C40"/>
    <w:rsid w:val="00B46449"/>
    <w:rsid w:val="00B46933"/>
    <w:rsid w:val="00B46AFD"/>
    <w:rsid w:val="00B4749B"/>
    <w:rsid w:val="00B47E87"/>
    <w:rsid w:val="00B47F2C"/>
    <w:rsid w:val="00B505FB"/>
    <w:rsid w:val="00B51738"/>
    <w:rsid w:val="00B51964"/>
    <w:rsid w:val="00B51A2C"/>
    <w:rsid w:val="00B51BE3"/>
    <w:rsid w:val="00B5226A"/>
    <w:rsid w:val="00B53E3E"/>
    <w:rsid w:val="00B541B1"/>
    <w:rsid w:val="00B557E4"/>
    <w:rsid w:val="00B55A6B"/>
    <w:rsid w:val="00B55D86"/>
    <w:rsid w:val="00B56370"/>
    <w:rsid w:val="00B576D2"/>
    <w:rsid w:val="00B603A3"/>
    <w:rsid w:val="00B61729"/>
    <w:rsid w:val="00B62787"/>
    <w:rsid w:val="00B6322B"/>
    <w:rsid w:val="00B63243"/>
    <w:rsid w:val="00B634D9"/>
    <w:rsid w:val="00B63F58"/>
    <w:rsid w:val="00B644C1"/>
    <w:rsid w:val="00B655DF"/>
    <w:rsid w:val="00B6670D"/>
    <w:rsid w:val="00B66A1C"/>
    <w:rsid w:val="00B66B65"/>
    <w:rsid w:val="00B66CBA"/>
    <w:rsid w:val="00B67A3F"/>
    <w:rsid w:val="00B67E12"/>
    <w:rsid w:val="00B70228"/>
    <w:rsid w:val="00B71E09"/>
    <w:rsid w:val="00B724F9"/>
    <w:rsid w:val="00B72AC1"/>
    <w:rsid w:val="00B72D15"/>
    <w:rsid w:val="00B72F80"/>
    <w:rsid w:val="00B73050"/>
    <w:rsid w:val="00B7381F"/>
    <w:rsid w:val="00B73AB4"/>
    <w:rsid w:val="00B73AC0"/>
    <w:rsid w:val="00B742B1"/>
    <w:rsid w:val="00B7455F"/>
    <w:rsid w:val="00B74C6B"/>
    <w:rsid w:val="00B75544"/>
    <w:rsid w:val="00B755A4"/>
    <w:rsid w:val="00B7565E"/>
    <w:rsid w:val="00B756C5"/>
    <w:rsid w:val="00B75B8F"/>
    <w:rsid w:val="00B75F23"/>
    <w:rsid w:val="00B7618E"/>
    <w:rsid w:val="00B7699F"/>
    <w:rsid w:val="00B77809"/>
    <w:rsid w:val="00B77A9D"/>
    <w:rsid w:val="00B77B11"/>
    <w:rsid w:val="00B80296"/>
    <w:rsid w:val="00B80B8A"/>
    <w:rsid w:val="00B810C6"/>
    <w:rsid w:val="00B81C77"/>
    <w:rsid w:val="00B81EFF"/>
    <w:rsid w:val="00B8266E"/>
    <w:rsid w:val="00B827B9"/>
    <w:rsid w:val="00B8281B"/>
    <w:rsid w:val="00B82F98"/>
    <w:rsid w:val="00B83278"/>
    <w:rsid w:val="00B832DC"/>
    <w:rsid w:val="00B83B71"/>
    <w:rsid w:val="00B845D3"/>
    <w:rsid w:val="00B852D6"/>
    <w:rsid w:val="00B8536C"/>
    <w:rsid w:val="00B85CC1"/>
    <w:rsid w:val="00B864E5"/>
    <w:rsid w:val="00B87640"/>
    <w:rsid w:val="00B8790D"/>
    <w:rsid w:val="00B87924"/>
    <w:rsid w:val="00B87CE7"/>
    <w:rsid w:val="00B87D8A"/>
    <w:rsid w:val="00B906A8"/>
    <w:rsid w:val="00B90E36"/>
    <w:rsid w:val="00B9102C"/>
    <w:rsid w:val="00B9157E"/>
    <w:rsid w:val="00B91840"/>
    <w:rsid w:val="00B920D0"/>
    <w:rsid w:val="00B93BE4"/>
    <w:rsid w:val="00B93C15"/>
    <w:rsid w:val="00B940D6"/>
    <w:rsid w:val="00B943F4"/>
    <w:rsid w:val="00B95055"/>
    <w:rsid w:val="00B96FBB"/>
    <w:rsid w:val="00B970C8"/>
    <w:rsid w:val="00B9770A"/>
    <w:rsid w:val="00BA0FAD"/>
    <w:rsid w:val="00BA1E73"/>
    <w:rsid w:val="00BA205B"/>
    <w:rsid w:val="00BA2698"/>
    <w:rsid w:val="00BA2DA5"/>
    <w:rsid w:val="00BA2EDD"/>
    <w:rsid w:val="00BA2F5B"/>
    <w:rsid w:val="00BA36A0"/>
    <w:rsid w:val="00BA4C1E"/>
    <w:rsid w:val="00BA58F1"/>
    <w:rsid w:val="00BA595B"/>
    <w:rsid w:val="00BA7DEE"/>
    <w:rsid w:val="00BA7F8E"/>
    <w:rsid w:val="00BB18C5"/>
    <w:rsid w:val="00BB1AC8"/>
    <w:rsid w:val="00BB35D7"/>
    <w:rsid w:val="00BB3AA4"/>
    <w:rsid w:val="00BB4C07"/>
    <w:rsid w:val="00BB5004"/>
    <w:rsid w:val="00BB5391"/>
    <w:rsid w:val="00BB5898"/>
    <w:rsid w:val="00BB6648"/>
    <w:rsid w:val="00BB6710"/>
    <w:rsid w:val="00BB6A88"/>
    <w:rsid w:val="00BB7EA6"/>
    <w:rsid w:val="00BC04B6"/>
    <w:rsid w:val="00BC04CF"/>
    <w:rsid w:val="00BC06E7"/>
    <w:rsid w:val="00BC1087"/>
    <w:rsid w:val="00BC112C"/>
    <w:rsid w:val="00BC11D4"/>
    <w:rsid w:val="00BC17E7"/>
    <w:rsid w:val="00BC1C53"/>
    <w:rsid w:val="00BC2FEA"/>
    <w:rsid w:val="00BC344D"/>
    <w:rsid w:val="00BC3475"/>
    <w:rsid w:val="00BC35E9"/>
    <w:rsid w:val="00BC3AE8"/>
    <w:rsid w:val="00BC4094"/>
    <w:rsid w:val="00BC5719"/>
    <w:rsid w:val="00BC6609"/>
    <w:rsid w:val="00BC6BD0"/>
    <w:rsid w:val="00BC6F6A"/>
    <w:rsid w:val="00BC7AD9"/>
    <w:rsid w:val="00BD194B"/>
    <w:rsid w:val="00BD2AA6"/>
    <w:rsid w:val="00BD2F07"/>
    <w:rsid w:val="00BD52B2"/>
    <w:rsid w:val="00BD6106"/>
    <w:rsid w:val="00BD6593"/>
    <w:rsid w:val="00BD6819"/>
    <w:rsid w:val="00BD698E"/>
    <w:rsid w:val="00BD78FB"/>
    <w:rsid w:val="00BD7C08"/>
    <w:rsid w:val="00BE00EC"/>
    <w:rsid w:val="00BE012A"/>
    <w:rsid w:val="00BE01DD"/>
    <w:rsid w:val="00BE062B"/>
    <w:rsid w:val="00BE257B"/>
    <w:rsid w:val="00BE25BD"/>
    <w:rsid w:val="00BE2A9B"/>
    <w:rsid w:val="00BE31B1"/>
    <w:rsid w:val="00BE330D"/>
    <w:rsid w:val="00BE3512"/>
    <w:rsid w:val="00BE60FC"/>
    <w:rsid w:val="00BE631A"/>
    <w:rsid w:val="00BE6EE7"/>
    <w:rsid w:val="00BE73A7"/>
    <w:rsid w:val="00BE7C96"/>
    <w:rsid w:val="00BE7CE1"/>
    <w:rsid w:val="00BF0589"/>
    <w:rsid w:val="00BF07BF"/>
    <w:rsid w:val="00BF12DE"/>
    <w:rsid w:val="00BF18E0"/>
    <w:rsid w:val="00BF1E2F"/>
    <w:rsid w:val="00BF242F"/>
    <w:rsid w:val="00BF380D"/>
    <w:rsid w:val="00BF5DA7"/>
    <w:rsid w:val="00BF675E"/>
    <w:rsid w:val="00BF6F5F"/>
    <w:rsid w:val="00BF6FFA"/>
    <w:rsid w:val="00BF71CF"/>
    <w:rsid w:val="00C00210"/>
    <w:rsid w:val="00C002E0"/>
    <w:rsid w:val="00C00477"/>
    <w:rsid w:val="00C01197"/>
    <w:rsid w:val="00C019FB"/>
    <w:rsid w:val="00C01C3C"/>
    <w:rsid w:val="00C029AB"/>
    <w:rsid w:val="00C034F0"/>
    <w:rsid w:val="00C04909"/>
    <w:rsid w:val="00C065DB"/>
    <w:rsid w:val="00C07220"/>
    <w:rsid w:val="00C075FE"/>
    <w:rsid w:val="00C07756"/>
    <w:rsid w:val="00C11347"/>
    <w:rsid w:val="00C12ED7"/>
    <w:rsid w:val="00C156DF"/>
    <w:rsid w:val="00C160A9"/>
    <w:rsid w:val="00C16376"/>
    <w:rsid w:val="00C16A3D"/>
    <w:rsid w:val="00C170FE"/>
    <w:rsid w:val="00C17ACE"/>
    <w:rsid w:val="00C20FEA"/>
    <w:rsid w:val="00C21911"/>
    <w:rsid w:val="00C2197E"/>
    <w:rsid w:val="00C21DF5"/>
    <w:rsid w:val="00C222E0"/>
    <w:rsid w:val="00C2347F"/>
    <w:rsid w:val="00C23B29"/>
    <w:rsid w:val="00C261EE"/>
    <w:rsid w:val="00C264C5"/>
    <w:rsid w:val="00C27993"/>
    <w:rsid w:val="00C27B3C"/>
    <w:rsid w:val="00C3054B"/>
    <w:rsid w:val="00C30757"/>
    <w:rsid w:val="00C32CF6"/>
    <w:rsid w:val="00C32E58"/>
    <w:rsid w:val="00C330C0"/>
    <w:rsid w:val="00C33735"/>
    <w:rsid w:val="00C33908"/>
    <w:rsid w:val="00C342F0"/>
    <w:rsid w:val="00C34CC9"/>
    <w:rsid w:val="00C3555C"/>
    <w:rsid w:val="00C356D3"/>
    <w:rsid w:val="00C364BB"/>
    <w:rsid w:val="00C36A5C"/>
    <w:rsid w:val="00C36BEF"/>
    <w:rsid w:val="00C37ACF"/>
    <w:rsid w:val="00C40069"/>
    <w:rsid w:val="00C408FF"/>
    <w:rsid w:val="00C41107"/>
    <w:rsid w:val="00C41134"/>
    <w:rsid w:val="00C4246E"/>
    <w:rsid w:val="00C42C05"/>
    <w:rsid w:val="00C42FA5"/>
    <w:rsid w:val="00C4304E"/>
    <w:rsid w:val="00C43572"/>
    <w:rsid w:val="00C43CAD"/>
    <w:rsid w:val="00C4431B"/>
    <w:rsid w:val="00C44873"/>
    <w:rsid w:val="00C4517F"/>
    <w:rsid w:val="00C460EB"/>
    <w:rsid w:val="00C468D4"/>
    <w:rsid w:val="00C46FE7"/>
    <w:rsid w:val="00C50257"/>
    <w:rsid w:val="00C50353"/>
    <w:rsid w:val="00C50BC8"/>
    <w:rsid w:val="00C510DC"/>
    <w:rsid w:val="00C515DA"/>
    <w:rsid w:val="00C51C30"/>
    <w:rsid w:val="00C521B8"/>
    <w:rsid w:val="00C534EA"/>
    <w:rsid w:val="00C53D79"/>
    <w:rsid w:val="00C544D3"/>
    <w:rsid w:val="00C54EE4"/>
    <w:rsid w:val="00C5558B"/>
    <w:rsid w:val="00C555D3"/>
    <w:rsid w:val="00C55B74"/>
    <w:rsid w:val="00C563D9"/>
    <w:rsid w:val="00C56E02"/>
    <w:rsid w:val="00C57D34"/>
    <w:rsid w:val="00C57F1B"/>
    <w:rsid w:val="00C602DA"/>
    <w:rsid w:val="00C6030D"/>
    <w:rsid w:val="00C607AF"/>
    <w:rsid w:val="00C608D5"/>
    <w:rsid w:val="00C60E8A"/>
    <w:rsid w:val="00C60F18"/>
    <w:rsid w:val="00C616A8"/>
    <w:rsid w:val="00C62964"/>
    <w:rsid w:val="00C62B36"/>
    <w:rsid w:val="00C62CA0"/>
    <w:rsid w:val="00C63CC6"/>
    <w:rsid w:val="00C63F65"/>
    <w:rsid w:val="00C648B5"/>
    <w:rsid w:val="00C67761"/>
    <w:rsid w:val="00C6797A"/>
    <w:rsid w:val="00C67C26"/>
    <w:rsid w:val="00C70260"/>
    <w:rsid w:val="00C7082E"/>
    <w:rsid w:val="00C709D4"/>
    <w:rsid w:val="00C7136F"/>
    <w:rsid w:val="00C71669"/>
    <w:rsid w:val="00C71768"/>
    <w:rsid w:val="00C71BD0"/>
    <w:rsid w:val="00C71E79"/>
    <w:rsid w:val="00C71F49"/>
    <w:rsid w:val="00C72893"/>
    <w:rsid w:val="00C72EC2"/>
    <w:rsid w:val="00C7369B"/>
    <w:rsid w:val="00C73A40"/>
    <w:rsid w:val="00C747A2"/>
    <w:rsid w:val="00C76F54"/>
    <w:rsid w:val="00C77036"/>
    <w:rsid w:val="00C8131D"/>
    <w:rsid w:val="00C8334F"/>
    <w:rsid w:val="00C834E1"/>
    <w:rsid w:val="00C83FCF"/>
    <w:rsid w:val="00C859E3"/>
    <w:rsid w:val="00C87A6B"/>
    <w:rsid w:val="00C90983"/>
    <w:rsid w:val="00C910C0"/>
    <w:rsid w:val="00C9230B"/>
    <w:rsid w:val="00C936F0"/>
    <w:rsid w:val="00C93A1F"/>
    <w:rsid w:val="00C93E07"/>
    <w:rsid w:val="00C93F9F"/>
    <w:rsid w:val="00C9412A"/>
    <w:rsid w:val="00C9439F"/>
    <w:rsid w:val="00C94A5B"/>
    <w:rsid w:val="00C958FB"/>
    <w:rsid w:val="00C95C9B"/>
    <w:rsid w:val="00C95F58"/>
    <w:rsid w:val="00C96CD2"/>
    <w:rsid w:val="00C96E3D"/>
    <w:rsid w:val="00C9735C"/>
    <w:rsid w:val="00C97D2C"/>
    <w:rsid w:val="00C97D38"/>
    <w:rsid w:val="00CA0F1F"/>
    <w:rsid w:val="00CA187E"/>
    <w:rsid w:val="00CA2335"/>
    <w:rsid w:val="00CA3274"/>
    <w:rsid w:val="00CA34D4"/>
    <w:rsid w:val="00CA4608"/>
    <w:rsid w:val="00CA5131"/>
    <w:rsid w:val="00CA7B7F"/>
    <w:rsid w:val="00CB101B"/>
    <w:rsid w:val="00CB1EF1"/>
    <w:rsid w:val="00CB27E1"/>
    <w:rsid w:val="00CB3B5C"/>
    <w:rsid w:val="00CB46F0"/>
    <w:rsid w:val="00CB54BD"/>
    <w:rsid w:val="00CB5B56"/>
    <w:rsid w:val="00CB6D11"/>
    <w:rsid w:val="00CB6D96"/>
    <w:rsid w:val="00CB7229"/>
    <w:rsid w:val="00CB785A"/>
    <w:rsid w:val="00CB7D4B"/>
    <w:rsid w:val="00CC0A51"/>
    <w:rsid w:val="00CC0FB2"/>
    <w:rsid w:val="00CC18DC"/>
    <w:rsid w:val="00CC1900"/>
    <w:rsid w:val="00CC29A8"/>
    <w:rsid w:val="00CC367C"/>
    <w:rsid w:val="00CC3F7C"/>
    <w:rsid w:val="00CC442C"/>
    <w:rsid w:val="00CC4845"/>
    <w:rsid w:val="00CC5750"/>
    <w:rsid w:val="00CC5934"/>
    <w:rsid w:val="00CC5E95"/>
    <w:rsid w:val="00CC64F7"/>
    <w:rsid w:val="00CC6A45"/>
    <w:rsid w:val="00CC6F1A"/>
    <w:rsid w:val="00CC76EA"/>
    <w:rsid w:val="00CD0135"/>
    <w:rsid w:val="00CD03CA"/>
    <w:rsid w:val="00CD0660"/>
    <w:rsid w:val="00CD0919"/>
    <w:rsid w:val="00CD0A52"/>
    <w:rsid w:val="00CD15BB"/>
    <w:rsid w:val="00CD1A87"/>
    <w:rsid w:val="00CD1B5D"/>
    <w:rsid w:val="00CD2139"/>
    <w:rsid w:val="00CD24C9"/>
    <w:rsid w:val="00CD271B"/>
    <w:rsid w:val="00CD316B"/>
    <w:rsid w:val="00CD35E9"/>
    <w:rsid w:val="00CD3C40"/>
    <w:rsid w:val="00CD4C44"/>
    <w:rsid w:val="00CD50E7"/>
    <w:rsid w:val="00CD5409"/>
    <w:rsid w:val="00CD5A33"/>
    <w:rsid w:val="00CD64C8"/>
    <w:rsid w:val="00CD6749"/>
    <w:rsid w:val="00CD7BEC"/>
    <w:rsid w:val="00CD7DD2"/>
    <w:rsid w:val="00CE0B00"/>
    <w:rsid w:val="00CE0F95"/>
    <w:rsid w:val="00CE12DF"/>
    <w:rsid w:val="00CE14DF"/>
    <w:rsid w:val="00CE1B22"/>
    <w:rsid w:val="00CE1BC2"/>
    <w:rsid w:val="00CE1BFB"/>
    <w:rsid w:val="00CE1CF0"/>
    <w:rsid w:val="00CE1FC8"/>
    <w:rsid w:val="00CE2645"/>
    <w:rsid w:val="00CE26D3"/>
    <w:rsid w:val="00CE2724"/>
    <w:rsid w:val="00CE345D"/>
    <w:rsid w:val="00CE3A01"/>
    <w:rsid w:val="00CE3B01"/>
    <w:rsid w:val="00CE3F83"/>
    <w:rsid w:val="00CE41AA"/>
    <w:rsid w:val="00CE4945"/>
    <w:rsid w:val="00CE5180"/>
    <w:rsid w:val="00CE5E46"/>
    <w:rsid w:val="00CE5E5A"/>
    <w:rsid w:val="00CE66DA"/>
    <w:rsid w:val="00CE7218"/>
    <w:rsid w:val="00CF059E"/>
    <w:rsid w:val="00CF0F11"/>
    <w:rsid w:val="00CF171B"/>
    <w:rsid w:val="00CF1D0A"/>
    <w:rsid w:val="00CF242B"/>
    <w:rsid w:val="00CF25DD"/>
    <w:rsid w:val="00CF27DC"/>
    <w:rsid w:val="00CF3F85"/>
    <w:rsid w:val="00CF414D"/>
    <w:rsid w:val="00CF42BC"/>
    <w:rsid w:val="00CF557E"/>
    <w:rsid w:val="00CF564B"/>
    <w:rsid w:val="00CF585F"/>
    <w:rsid w:val="00CF607E"/>
    <w:rsid w:val="00CF726E"/>
    <w:rsid w:val="00D0078C"/>
    <w:rsid w:val="00D0182B"/>
    <w:rsid w:val="00D01848"/>
    <w:rsid w:val="00D02639"/>
    <w:rsid w:val="00D02927"/>
    <w:rsid w:val="00D0307F"/>
    <w:rsid w:val="00D0330B"/>
    <w:rsid w:val="00D03CBF"/>
    <w:rsid w:val="00D04B47"/>
    <w:rsid w:val="00D04B9F"/>
    <w:rsid w:val="00D06ACE"/>
    <w:rsid w:val="00D07979"/>
    <w:rsid w:val="00D07CD6"/>
    <w:rsid w:val="00D119DA"/>
    <w:rsid w:val="00D11CF0"/>
    <w:rsid w:val="00D127AA"/>
    <w:rsid w:val="00D134D7"/>
    <w:rsid w:val="00D139E1"/>
    <w:rsid w:val="00D13A5D"/>
    <w:rsid w:val="00D13CEB"/>
    <w:rsid w:val="00D14228"/>
    <w:rsid w:val="00D14E68"/>
    <w:rsid w:val="00D15937"/>
    <w:rsid w:val="00D15AB9"/>
    <w:rsid w:val="00D16715"/>
    <w:rsid w:val="00D16807"/>
    <w:rsid w:val="00D1783C"/>
    <w:rsid w:val="00D17D01"/>
    <w:rsid w:val="00D20587"/>
    <w:rsid w:val="00D20F36"/>
    <w:rsid w:val="00D21277"/>
    <w:rsid w:val="00D21B99"/>
    <w:rsid w:val="00D22DD6"/>
    <w:rsid w:val="00D2300D"/>
    <w:rsid w:val="00D2334E"/>
    <w:rsid w:val="00D233DA"/>
    <w:rsid w:val="00D24115"/>
    <w:rsid w:val="00D241BB"/>
    <w:rsid w:val="00D2522E"/>
    <w:rsid w:val="00D25396"/>
    <w:rsid w:val="00D2626C"/>
    <w:rsid w:val="00D26548"/>
    <w:rsid w:val="00D30072"/>
    <w:rsid w:val="00D321AE"/>
    <w:rsid w:val="00D324CB"/>
    <w:rsid w:val="00D3266A"/>
    <w:rsid w:val="00D32A6F"/>
    <w:rsid w:val="00D33E09"/>
    <w:rsid w:val="00D3495A"/>
    <w:rsid w:val="00D34A95"/>
    <w:rsid w:val="00D35B6C"/>
    <w:rsid w:val="00D35F0A"/>
    <w:rsid w:val="00D37309"/>
    <w:rsid w:val="00D37BCD"/>
    <w:rsid w:val="00D37C90"/>
    <w:rsid w:val="00D4093E"/>
    <w:rsid w:val="00D41368"/>
    <w:rsid w:val="00D417A6"/>
    <w:rsid w:val="00D42573"/>
    <w:rsid w:val="00D4282D"/>
    <w:rsid w:val="00D429CD"/>
    <w:rsid w:val="00D433F0"/>
    <w:rsid w:val="00D434D7"/>
    <w:rsid w:val="00D43566"/>
    <w:rsid w:val="00D43AD4"/>
    <w:rsid w:val="00D44A70"/>
    <w:rsid w:val="00D457EF"/>
    <w:rsid w:val="00D46407"/>
    <w:rsid w:val="00D46522"/>
    <w:rsid w:val="00D46BEE"/>
    <w:rsid w:val="00D4710E"/>
    <w:rsid w:val="00D4787B"/>
    <w:rsid w:val="00D50348"/>
    <w:rsid w:val="00D50353"/>
    <w:rsid w:val="00D51042"/>
    <w:rsid w:val="00D5293C"/>
    <w:rsid w:val="00D52964"/>
    <w:rsid w:val="00D5299D"/>
    <w:rsid w:val="00D544D9"/>
    <w:rsid w:val="00D545A5"/>
    <w:rsid w:val="00D54D4B"/>
    <w:rsid w:val="00D5550C"/>
    <w:rsid w:val="00D55A97"/>
    <w:rsid w:val="00D55BF8"/>
    <w:rsid w:val="00D56066"/>
    <w:rsid w:val="00D568FA"/>
    <w:rsid w:val="00D575F2"/>
    <w:rsid w:val="00D57A7D"/>
    <w:rsid w:val="00D6054D"/>
    <w:rsid w:val="00D60BB9"/>
    <w:rsid w:val="00D60E0F"/>
    <w:rsid w:val="00D61462"/>
    <w:rsid w:val="00D61F57"/>
    <w:rsid w:val="00D63034"/>
    <w:rsid w:val="00D634B7"/>
    <w:rsid w:val="00D63641"/>
    <w:rsid w:val="00D63937"/>
    <w:rsid w:val="00D63AE4"/>
    <w:rsid w:val="00D63FFE"/>
    <w:rsid w:val="00D64D5E"/>
    <w:rsid w:val="00D64E4E"/>
    <w:rsid w:val="00D65670"/>
    <w:rsid w:val="00D659E8"/>
    <w:rsid w:val="00D65E8F"/>
    <w:rsid w:val="00D6601E"/>
    <w:rsid w:val="00D67005"/>
    <w:rsid w:val="00D7042C"/>
    <w:rsid w:val="00D70A29"/>
    <w:rsid w:val="00D71499"/>
    <w:rsid w:val="00D718B8"/>
    <w:rsid w:val="00D71E67"/>
    <w:rsid w:val="00D720CF"/>
    <w:rsid w:val="00D743C7"/>
    <w:rsid w:val="00D74637"/>
    <w:rsid w:val="00D75149"/>
    <w:rsid w:val="00D75336"/>
    <w:rsid w:val="00D75CD9"/>
    <w:rsid w:val="00D7611D"/>
    <w:rsid w:val="00D7626A"/>
    <w:rsid w:val="00D76637"/>
    <w:rsid w:val="00D769E4"/>
    <w:rsid w:val="00D76F2B"/>
    <w:rsid w:val="00D76F8F"/>
    <w:rsid w:val="00D76FAC"/>
    <w:rsid w:val="00D774E5"/>
    <w:rsid w:val="00D7752A"/>
    <w:rsid w:val="00D803BC"/>
    <w:rsid w:val="00D81838"/>
    <w:rsid w:val="00D83708"/>
    <w:rsid w:val="00D850AF"/>
    <w:rsid w:val="00D85DAA"/>
    <w:rsid w:val="00D86CC7"/>
    <w:rsid w:val="00D87D10"/>
    <w:rsid w:val="00D90355"/>
    <w:rsid w:val="00D903F1"/>
    <w:rsid w:val="00D90603"/>
    <w:rsid w:val="00D90812"/>
    <w:rsid w:val="00D91C6B"/>
    <w:rsid w:val="00D91D5C"/>
    <w:rsid w:val="00D92A1C"/>
    <w:rsid w:val="00D93438"/>
    <w:rsid w:val="00D937B5"/>
    <w:rsid w:val="00D938A0"/>
    <w:rsid w:val="00D93A39"/>
    <w:rsid w:val="00D95112"/>
    <w:rsid w:val="00D95C82"/>
    <w:rsid w:val="00D9630C"/>
    <w:rsid w:val="00D973B7"/>
    <w:rsid w:val="00D977D5"/>
    <w:rsid w:val="00D97F7A"/>
    <w:rsid w:val="00DA0027"/>
    <w:rsid w:val="00DA0419"/>
    <w:rsid w:val="00DA1860"/>
    <w:rsid w:val="00DA18D2"/>
    <w:rsid w:val="00DA1AE5"/>
    <w:rsid w:val="00DA1B71"/>
    <w:rsid w:val="00DA27F5"/>
    <w:rsid w:val="00DA3BBF"/>
    <w:rsid w:val="00DA3DB1"/>
    <w:rsid w:val="00DA5A78"/>
    <w:rsid w:val="00DA5E52"/>
    <w:rsid w:val="00DA68BE"/>
    <w:rsid w:val="00DA6C21"/>
    <w:rsid w:val="00DA6C30"/>
    <w:rsid w:val="00DA7BD2"/>
    <w:rsid w:val="00DB02AE"/>
    <w:rsid w:val="00DB0BD7"/>
    <w:rsid w:val="00DB0D6C"/>
    <w:rsid w:val="00DB0DA0"/>
    <w:rsid w:val="00DB1314"/>
    <w:rsid w:val="00DB1C10"/>
    <w:rsid w:val="00DB24E7"/>
    <w:rsid w:val="00DB2575"/>
    <w:rsid w:val="00DB2817"/>
    <w:rsid w:val="00DB2B6E"/>
    <w:rsid w:val="00DB2C0F"/>
    <w:rsid w:val="00DB33F1"/>
    <w:rsid w:val="00DB4554"/>
    <w:rsid w:val="00DB476E"/>
    <w:rsid w:val="00DB50BF"/>
    <w:rsid w:val="00DB5F2C"/>
    <w:rsid w:val="00DB6715"/>
    <w:rsid w:val="00DB6AC0"/>
    <w:rsid w:val="00DB78FF"/>
    <w:rsid w:val="00DC051D"/>
    <w:rsid w:val="00DC1E0D"/>
    <w:rsid w:val="00DC2184"/>
    <w:rsid w:val="00DC2F4F"/>
    <w:rsid w:val="00DC35C6"/>
    <w:rsid w:val="00DC5FA4"/>
    <w:rsid w:val="00DC6F89"/>
    <w:rsid w:val="00DD007D"/>
    <w:rsid w:val="00DD18C5"/>
    <w:rsid w:val="00DD312A"/>
    <w:rsid w:val="00DD3A07"/>
    <w:rsid w:val="00DD3C2C"/>
    <w:rsid w:val="00DD4067"/>
    <w:rsid w:val="00DD453B"/>
    <w:rsid w:val="00DD4801"/>
    <w:rsid w:val="00DD4B3C"/>
    <w:rsid w:val="00DD52EC"/>
    <w:rsid w:val="00DD53EC"/>
    <w:rsid w:val="00DD5966"/>
    <w:rsid w:val="00DD6540"/>
    <w:rsid w:val="00DD6A1A"/>
    <w:rsid w:val="00DD6AAB"/>
    <w:rsid w:val="00DD7014"/>
    <w:rsid w:val="00DD7839"/>
    <w:rsid w:val="00DD7D49"/>
    <w:rsid w:val="00DE021A"/>
    <w:rsid w:val="00DE022A"/>
    <w:rsid w:val="00DE08C7"/>
    <w:rsid w:val="00DE0B5B"/>
    <w:rsid w:val="00DE13A1"/>
    <w:rsid w:val="00DE151C"/>
    <w:rsid w:val="00DE2036"/>
    <w:rsid w:val="00DE2C7A"/>
    <w:rsid w:val="00DE3E85"/>
    <w:rsid w:val="00DE4053"/>
    <w:rsid w:val="00DE4264"/>
    <w:rsid w:val="00DE47E9"/>
    <w:rsid w:val="00DE5817"/>
    <w:rsid w:val="00DE5823"/>
    <w:rsid w:val="00DE62BE"/>
    <w:rsid w:val="00DE6526"/>
    <w:rsid w:val="00DE6A23"/>
    <w:rsid w:val="00DE6A58"/>
    <w:rsid w:val="00DE7A77"/>
    <w:rsid w:val="00DF05C3"/>
    <w:rsid w:val="00DF2835"/>
    <w:rsid w:val="00DF28D3"/>
    <w:rsid w:val="00DF2CB9"/>
    <w:rsid w:val="00DF306D"/>
    <w:rsid w:val="00DF30CF"/>
    <w:rsid w:val="00DF3B26"/>
    <w:rsid w:val="00DF436E"/>
    <w:rsid w:val="00DF458B"/>
    <w:rsid w:val="00DF4EC2"/>
    <w:rsid w:val="00DF53F4"/>
    <w:rsid w:val="00DF5E15"/>
    <w:rsid w:val="00DF60B2"/>
    <w:rsid w:val="00DF636E"/>
    <w:rsid w:val="00DF6400"/>
    <w:rsid w:val="00DF688C"/>
    <w:rsid w:val="00DF6AD7"/>
    <w:rsid w:val="00DF784A"/>
    <w:rsid w:val="00DF787D"/>
    <w:rsid w:val="00DF78B9"/>
    <w:rsid w:val="00DF7B03"/>
    <w:rsid w:val="00DF7DB8"/>
    <w:rsid w:val="00DF7FB6"/>
    <w:rsid w:val="00E00145"/>
    <w:rsid w:val="00E0097D"/>
    <w:rsid w:val="00E011F3"/>
    <w:rsid w:val="00E01350"/>
    <w:rsid w:val="00E023DB"/>
    <w:rsid w:val="00E03154"/>
    <w:rsid w:val="00E0332C"/>
    <w:rsid w:val="00E034B7"/>
    <w:rsid w:val="00E03527"/>
    <w:rsid w:val="00E0413F"/>
    <w:rsid w:val="00E04299"/>
    <w:rsid w:val="00E05031"/>
    <w:rsid w:val="00E0554F"/>
    <w:rsid w:val="00E0570F"/>
    <w:rsid w:val="00E05D8E"/>
    <w:rsid w:val="00E070D1"/>
    <w:rsid w:val="00E07634"/>
    <w:rsid w:val="00E07C3B"/>
    <w:rsid w:val="00E07EC1"/>
    <w:rsid w:val="00E115EA"/>
    <w:rsid w:val="00E11DE9"/>
    <w:rsid w:val="00E121D2"/>
    <w:rsid w:val="00E12A4E"/>
    <w:rsid w:val="00E12E5A"/>
    <w:rsid w:val="00E13567"/>
    <w:rsid w:val="00E14D27"/>
    <w:rsid w:val="00E152EB"/>
    <w:rsid w:val="00E15606"/>
    <w:rsid w:val="00E15872"/>
    <w:rsid w:val="00E15EB1"/>
    <w:rsid w:val="00E164E6"/>
    <w:rsid w:val="00E16962"/>
    <w:rsid w:val="00E17355"/>
    <w:rsid w:val="00E17F77"/>
    <w:rsid w:val="00E204C5"/>
    <w:rsid w:val="00E210AF"/>
    <w:rsid w:val="00E212C7"/>
    <w:rsid w:val="00E2135B"/>
    <w:rsid w:val="00E21E5C"/>
    <w:rsid w:val="00E21F3D"/>
    <w:rsid w:val="00E225DD"/>
    <w:rsid w:val="00E225EF"/>
    <w:rsid w:val="00E22D1F"/>
    <w:rsid w:val="00E23517"/>
    <w:rsid w:val="00E24A6E"/>
    <w:rsid w:val="00E24F6C"/>
    <w:rsid w:val="00E25E46"/>
    <w:rsid w:val="00E26533"/>
    <w:rsid w:val="00E26B51"/>
    <w:rsid w:val="00E26EF6"/>
    <w:rsid w:val="00E30933"/>
    <w:rsid w:val="00E31893"/>
    <w:rsid w:val="00E32003"/>
    <w:rsid w:val="00E32817"/>
    <w:rsid w:val="00E32AF6"/>
    <w:rsid w:val="00E340E0"/>
    <w:rsid w:val="00E3412C"/>
    <w:rsid w:val="00E35127"/>
    <w:rsid w:val="00E368D1"/>
    <w:rsid w:val="00E36A7F"/>
    <w:rsid w:val="00E4033C"/>
    <w:rsid w:val="00E42FCC"/>
    <w:rsid w:val="00E43015"/>
    <w:rsid w:val="00E439E5"/>
    <w:rsid w:val="00E441B7"/>
    <w:rsid w:val="00E445CA"/>
    <w:rsid w:val="00E457BE"/>
    <w:rsid w:val="00E45EFC"/>
    <w:rsid w:val="00E4732A"/>
    <w:rsid w:val="00E47502"/>
    <w:rsid w:val="00E520F4"/>
    <w:rsid w:val="00E52E01"/>
    <w:rsid w:val="00E5374B"/>
    <w:rsid w:val="00E53CAA"/>
    <w:rsid w:val="00E53CBF"/>
    <w:rsid w:val="00E53E6D"/>
    <w:rsid w:val="00E54624"/>
    <w:rsid w:val="00E54BB0"/>
    <w:rsid w:val="00E54F93"/>
    <w:rsid w:val="00E555F1"/>
    <w:rsid w:val="00E558DF"/>
    <w:rsid w:val="00E575AA"/>
    <w:rsid w:val="00E604A6"/>
    <w:rsid w:val="00E60CF9"/>
    <w:rsid w:val="00E61034"/>
    <w:rsid w:val="00E63E84"/>
    <w:rsid w:val="00E66763"/>
    <w:rsid w:val="00E67560"/>
    <w:rsid w:val="00E6773D"/>
    <w:rsid w:val="00E67968"/>
    <w:rsid w:val="00E67B13"/>
    <w:rsid w:val="00E67BD1"/>
    <w:rsid w:val="00E70CC7"/>
    <w:rsid w:val="00E7127E"/>
    <w:rsid w:val="00E72187"/>
    <w:rsid w:val="00E72453"/>
    <w:rsid w:val="00E72A8D"/>
    <w:rsid w:val="00E72F39"/>
    <w:rsid w:val="00E741D3"/>
    <w:rsid w:val="00E7482A"/>
    <w:rsid w:val="00E74A12"/>
    <w:rsid w:val="00E74DCF"/>
    <w:rsid w:val="00E752E7"/>
    <w:rsid w:val="00E753B4"/>
    <w:rsid w:val="00E755A0"/>
    <w:rsid w:val="00E77305"/>
    <w:rsid w:val="00E77B02"/>
    <w:rsid w:val="00E77B98"/>
    <w:rsid w:val="00E80066"/>
    <w:rsid w:val="00E8110D"/>
    <w:rsid w:val="00E81842"/>
    <w:rsid w:val="00E82696"/>
    <w:rsid w:val="00E82FB6"/>
    <w:rsid w:val="00E83EEE"/>
    <w:rsid w:val="00E842C2"/>
    <w:rsid w:val="00E859CC"/>
    <w:rsid w:val="00E861EC"/>
    <w:rsid w:val="00E868EE"/>
    <w:rsid w:val="00E873A7"/>
    <w:rsid w:val="00E902CD"/>
    <w:rsid w:val="00E90393"/>
    <w:rsid w:val="00E907FA"/>
    <w:rsid w:val="00E950F6"/>
    <w:rsid w:val="00E9520D"/>
    <w:rsid w:val="00E95898"/>
    <w:rsid w:val="00E96079"/>
    <w:rsid w:val="00E96A24"/>
    <w:rsid w:val="00E96AAA"/>
    <w:rsid w:val="00E972C0"/>
    <w:rsid w:val="00EA0389"/>
    <w:rsid w:val="00EA060F"/>
    <w:rsid w:val="00EA08FE"/>
    <w:rsid w:val="00EA0919"/>
    <w:rsid w:val="00EA2148"/>
    <w:rsid w:val="00EA2435"/>
    <w:rsid w:val="00EA24B4"/>
    <w:rsid w:val="00EA2882"/>
    <w:rsid w:val="00EA28CF"/>
    <w:rsid w:val="00EA3372"/>
    <w:rsid w:val="00EA39F6"/>
    <w:rsid w:val="00EA4266"/>
    <w:rsid w:val="00EA54CC"/>
    <w:rsid w:val="00EA5BEB"/>
    <w:rsid w:val="00EA5CEA"/>
    <w:rsid w:val="00EA6705"/>
    <w:rsid w:val="00EA734C"/>
    <w:rsid w:val="00EA78A1"/>
    <w:rsid w:val="00EA7D2C"/>
    <w:rsid w:val="00EA7E62"/>
    <w:rsid w:val="00EA7F3C"/>
    <w:rsid w:val="00EB0241"/>
    <w:rsid w:val="00EB037C"/>
    <w:rsid w:val="00EB0C74"/>
    <w:rsid w:val="00EB110E"/>
    <w:rsid w:val="00EB1131"/>
    <w:rsid w:val="00EB1197"/>
    <w:rsid w:val="00EB16C7"/>
    <w:rsid w:val="00EB1A55"/>
    <w:rsid w:val="00EB24AE"/>
    <w:rsid w:val="00EB37BF"/>
    <w:rsid w:val="00EB3E77"/>
    <w:rsid w:val="00EB4E63"/>
    <w:rsid w:val="00EB4E90"/>
    <w:rsid w:val="00EB6449"/>
    <w:rsid w:val="00EB6D32"/>
    <w:rsid w:val="00EB7800"/>
    <w:rsid w:val="00EB7F28"/>
    <w:rsid w:val="00EC09C5"/>
    <w:rsid w:val="00EC12B2"/>
    <w:rsid w:val="00EC12F5"/>
    <w:rsid w:val="00EC1CC0"/>
    <w:rsid w:val="00EC5331"/>
    <w:rsid w:val="00EC54D1"/>
    <w:rsid w:val="00EC55F2"/>
    <w:rsid w:val="00EC6B05"/>
    <w:rsid w:val="00EC6EF0"/>
    <w:rsid w:val="00EC7901"/>
    <w:rsid w:val="00EC7CEE"/>
    <w:rsid w:val="00ED0DF7"/>
    <w:rsid w:val="00ED10CC"/>
    <w:rsid w:val="00ED1151"/>
    <w:rsid w:val="00ED1778"/>
    <w:rsid w:val="00ED230E"/>
    <w:rsid w:val="00ED2C0A"/>
    <w:rsid w:val="00ED4C84"/>
    <w:rsid w:val="00ED4EDE"/>
    <w:rsid w:val="00ED559A"/>
    <w:rsid w:val="00ED5751"/>
    <w:rsid w:val="00ED593D"/>
    <w:rsid w:val="00ED6142"/>
    <w:rsid w:val="00ED64C8"/>
    <w:rsid w:val="00ED6571"/>
    <w:rsid w:val="00ED71FE"/>
    <w:rsid w:val="00ED7AD5"/>
    <w:rsid w:val="00EE1561"/>
    <w:rsid w:val="00EE1802"/>
    <w:rsid w:val="00EE1F29"/>
    <w:rsid w:val="00EE31D4"/>
    <w:rsid w:val="00EE3D06"/>
    <w:rsid w:val="00EE460B"/>
    <w:rsid w:val="00EE4E20"/>
    <w:rsid w:val="00EE5364"/>
    <w:rsid w:val="00EE59FC"/>
    <w:rsid w:val="00EE6757"/>
    <w:rsid w:val="00EE6C25"/>
    <w:rsid w:val="00EE7668"/>
    <w:rsid w:val="00EE776E"/>
    <w:rsid w:val="00EF0FB6"/>
    <w:rsid w:val="00EF1DEA"/>
    <w:rsid w:val="00EF1F2F"/>
    <w:rsid w:val="00EF26A3"/>
    <w:rsid w:val="00EF3270"/>
    <w:rsid w:val="00EF5773"/>
    <w:rsid w:val="00EF646A"/>
    <w:rsid w:val="00EF674A"/>
    <w:rsid w:val="00EF68E0"/>
    <w:rsid w:val="00EF74F7"/>
    <w:rsid w:val="00EF76AA"/>
    <w:rsid w:val="00EF774A"/>
    <w:rsid w:val="00EF77DC"/>
    <w:rsid w:val="00F005DD"/>
    <w:rsid w:val="00F0151D"/>
    <w:rsid w:val="00F024F3"/>
    <w:rsid w:val="00F028E5"/>
    <w:rsid w:val="00F02BD9"/>
    <w:rsid w:val="00F02BF0"/>
    <w:rsid w:val="00F04152"/>
    <w:rsid w:val="00F04F7A"/>
    <w:rsid w:val="00F052C8"/>
    <w:rsid w:val="00F05675"/>
    <w:rsid w:val="00F05CDD"/>
    <w:rsid w:val="00F06506"/>
    <w:rsid w:val="00F06D27"/>
    <w:rsid w:val="00F06EE0"/>
    <w:rsid w:val="00F07230"/>
    <w:rsid w:val="00F07324"/>
    <w:rsid w:val="00F100E3"/>
    <w:rsid w:val="00F116B3"/>
    <w:rsid w:val="00F11BA1"/>
    <w:rsid w:val="00F12494"/>
    <w:rsid w:val="00F12817"/>
    <w:rsid w:val="00F12CCD"/>
    <w:rsid w:val="00F12E2A"/>
    <w:rsid w:val="00F13088"/>
    <w:rsid w:val="00F14CE5"/>
    <w:rsid w:val="00F152CE"/>
    <w:rsid w:val="00F1577D"/>
    <w:rsid w:val="00F15F0F"/>
    <w:rsid w:val="00F16232"/>
    <w:rsid w:val="00F16392"/>
    <w:rsid w:val="00F16E13"/>
    <w:rsid w:val="00F17E5F"/>
    <w:rsid w:val="00F20468"/>
    <w:rsid w:val="00F20605"/>
    <w:rsid w:val="00F22038"/>
    <w:rsid w:val="00F224B5"/>
    <w:rsid w:val="00F229DA"/>
    <w:rsid w:val="00F234D9"/>
    <w:rsid w:val="00F24BCB"/>
    <w:rsid w:val="00F24C7C"/>
    <w:rsid w:val="00F25D1D"/>
    <w:rsid w:val="00F27133"/>
    <w:rsid w:val="00F27797"/>
    <w:rsid w:val="00F27871"/>
    <w:rsid w:val="00F27DB3"/>
    <w:rsid w:val="00F305F3"/>
    <w:rsid w:val="00F3181C"/>
    <w:rsid w:val="00F31AA8"/>
    <w:rsid w:val="00F31B32"/>
    <w:rsid w:val="00F31B4A"/>
    <w:rsid w:val="00F3241A"/>
    <w:rsid w:val="00F325C5"/>
    <w:rsid w:val="00F32DFA"/>
    <w:rsid w:val="00F330CC"/>
    <w:rsid w:val="00F334C0"/>
    <w:rsid w:val="00F33B6A"/>
    <w:rsid w:val="00F33BF5"/>
    <w:rsid w:val="00F33ECF"/>
    <w:rsid w:val="00F34B65"/>
    <w:rsid w:val="00F350A5"/>
    <w:rsid w:val="00F355A6"/>
    <w:rsid w:val="00F356E5"/>
    <w:rsid w:val="00F369F7"/>
    <w:rsid w:val="00F36E99"/>
    <w:rsid w:val="00F3733C"/>
    <w:rsid w:val="00F37962"/>
    <w:rsid w:val="00F40B96"/>
    <w:rsid w:val="00F40C53"/>
    <w:rsid w:val="00F40CC1"/>
    <w:rsid w:val="00F41925"/>
    <w:rsid w:val="00F41CCE"/>
    <w:rsid w:val="00F41D72"/>
    <w:rsid w:val="00F43503"/>
    <w:rsid w:val="00F43940"/>
    <w:rsid w:val="00F4475A"/>
    <w:rsid w:val="00F44872"/>
    <w:rsid w:val="00F44DBF"/>
    <w:rsid w:val="00F4512D"/>
    <w:rsid w:val="00F45394"/>
    <w:rsid w:val="00F455CA"/>
    <w:rsid w:val="00F461E5"/>
    <w:rsid w:val="00F47FCD"/>
    <w:rsid w:val="00F51029"/>
    <w:rsid w:val="00F515CE"/>
    <w:rsid w:val="00F5192A"/>
    <w:rsid w:val="00F52951"/>
    <w:rsid w:val="00F52BAD"/>
    <w:rsid w:val="00F53E88"/>
    <w:rsid w:val="00F55E8D"/>
    <w:rsid w:val="00F56E1A"/>
    <w:rsid w:val="00F57091"/>
    <w:rsid w:val="00F5742B"/>
    <w:rsid w:val="00F57927"/>
    <w:rsid w:val="00F606B6"/>
    <w:rsid w:val="00F611EB"/>
    <w:rsid w:val="00F6120C"/>
    <w:rsid w:val="00F6154C"/>
    <w:rsid w:val="00F61E36"/>
    <w:rsid w:val="00F62817"/>
    <w:rsid w:val="00F62FF3"/>
    <w:rsid w:val="00F63712"/>
    <w:rsid w:val="00F63A09"/>
    <w:rsid w:val="00F63A54"/>
    <w:rsid w:val="00F64093"/>
    <w:rsid w:val="00F640EF"/>
    <w:rsid w:val="00F64196"/>
    <w:rsid w:val="00F6484D"/>
    <w:rsid w:val="00F659D1"/>
    <w:rsid w:val="00F65BC0"/>
    <w:rsid w:val="00F66142"/>
    <w:rsid w:val="00F673EE"/>
    <w:rsid w:val="00F70900"/>
    <w:rsid w:val="00F71DEB"/>
    <w:rsid w:val="00F736C1"/>
    <w:rsid w:val="00F739C9"/>
    <w:rsid w:val="00F73B69"/>
    <w:rsid w:val="00F7439B"/>
    <w:rsid w:val="00F74972"/>
    <w:rsid w:val="00F74CE4"/>
    <w:rsid w:val="00F75078"/>
    <w:rsid w:val="00F75E33"/>
    <w:rsid w:val="00F764F4"/>
    <w:rsid w:val="00F766ED"/>
    <w:rsid w:val="00F77C22"/>
    <w:rsid w:val="00F77CC0"/>
    <w:rsid w:val="00F80069"/>
    <w:rsid w:val="00F80F4A"/>
    <w:rsid w:val="00F8133E"/>
    <w:rsid w:val="00F81691"/>
    <w:rsid w:val="00F81887"/>
    <w:rsid w:val="00F829F3"/>
    <w:rsid w:val="00F82CBE"/>
    <w:rsid w:val="00F82E42"/>
    <w:rsid w:val="00F82F2A"/>
    <w:rsid w:val="00F83313"/>
    <w:rsid w:val="00F83670"/>
    <w:rsid w:val="00F850A7"/>
    <w:rsid w:val="00F856C4"/>
    <w:rsid w:val="00F85A1A"/>
    <w:rsid w:val="00F8783E"/>
    <w:rsid w:val="00F90513"/>
    <w:rsid w:val="00F90C78"/>
    <w:rsid w:val="00F919BB"/>
    <w:rsid w:val="00F9246B"/>
    <w:rsid w:val="00F930BA"/>
    <w:rsid w:val="00F93C00"/>
    <w:rsid w:val="00F9419A"/>
    <w:rsid w:val="00F94AC0"/>
    <w:rsid w:val="00F94F30"/>
    <w:rsid w:val="00F962DD"/>
    <w:rsid w:val="00F964CF"/>
    <w:rsid w:val="00F96526"/>
    <w:rsid w:val="00F970D2"/>
    <w:rsid w:val="00F977DC"/>
    <w:rsid w:val="00F97F0C"/>
    <w:rsid w:val="00FA07E0"/>
    <w:rsid w:val="00FA13E3"/>
    <w:rsid w:val="00FA1EFC"/>
    <w:rsid w:val="00FA2194"/>
    <w:rsid w:val="00FA25B9"/>
    <w:rsid w:val="00FA31D6"/>
    <w:rsid w:val="00FA3AB3"/>
    <w:rsid w:val="00FA4497"/>
    <w:rsid w:val="00FA47FF"/>
    <w:rsid w:val="00FA5CF7"/>
    <w:rsid w:val="00FA5E37"/>
    <w:rsid w:val="00FB0311"/>
    <w:rsid w:val="00FB0ADA"/>
    <w:rsid w:val="00FB0FA9"/>
    <w:rsid w:val="00FB1BE3"/>
    <w:rsid w:val="00FB229D"/>
    <w:rsid w:val="00FB2D73"/>
    <w:rsid w:val="00FB3DB2"/>
    <w:rsid w:val="00FB47B2"/>
    <w:rsid w:val="00FB4F1E"/>
    <w:rsid w:val="00FB64CE"/>
    <w:rsid w:val="00FB6F9D"/>
    <w:rsid w:val="00FB7166"/>
    <w:rsid w:val="00FB7B1E"/>
    <w:rsid w:val="00FB7D3A"/>
    <w:rsid w:val="00FC076A"/>
    <w:rsid w:val="00FC1D2E"/>
    <w:rsid w:val="00FC21CB"/>
    <w:rsid w:val="00FC29E3"/>
    <w:rsid w:val="00FC312C"/>
    <w:rsid w:val="00FC36B8"/>
    <w:rsid w:val="00FC3C76"/>
    <w:rsid w:val="00FC41A5"/>
    <w:rsid w:val="00FC4332"/>
    <w:rsid w:val="00FC4724"/>
    <w:rsid w:val="00FC49E9"/>
    <w:rsid w:val="00FC68E7"/>
    <w:rsid w:val="00FC6C87"/>
    <w:rsid w:val="00FC7446"/>
    <w:rsid w:val="00FC744A"/>
    <w:rsid w:val="00FD048A"/>
    <w:rsid w:val="00FD04B2"/>
    <w:rsid w:val="00FD14A0"/>
    <w:rsid w:val="00FD15C2"/>
    <w:rsid w:val="00FD1BBE"/>
    <w:rsid w:val="00FD46AC"/>
    <w:rsid w:val="00FD4B8D"/>
    <w:rsid w:val="00FD551F"/>
    <w:rsid w:val="00FD65C7"/>
    <w:rsid w:val="00FD7554"/>
    <w:rsid w:val="00FE044D"/>
    <w:rsid w:val="00FE0E0C"/>
    <w:rsid w:val="00FE1B6B"/>
    <w:rsid w:val="00FE1C75"/>
    <w:rsid w:val="00FE2639"/>
    <w:rsid w:val="00FE352D"/>
    <w:rsid w:val="00FE35B9"/>
    <w:rsid w:val="00FE374F"/>
    <w:rsid w:val="00FE4137"/>
    <w:rsid w:val="00FE4C84"/>
    <w:rsid w:val="00FE4CDD"/>
    <w:rsid w:val="00FE4FD6"/>
    <w:rsid w:val="00FE6565"/>
    <w:rsid w:val="00FE65F8"/>
    <w:rsid w:val="00FE6961"/>
    <w:rsid w:val="00FE7CB9"/>
    <w:rsid w:val="00FF0612"/>
    <w:rsid w:val="00FF06F8"/>
    <w:rsid w:val="00FF075E"/>
    <w:rsid w:val="00FF084F"/>
    <w:rsid w:val="00FF0BA1"/>
    <w:rsid w:val="00FF0DC9"/>
    <w:rsid w:val="00FF1754"/>
    <w:rsid w:val="00FF2717"/>
    <w:rsid w:val="00FF2882"/>
    <w:rsid w:val="00FF2CF4"/>
    <w:rsid w:val="00FF3DBF"/>
    <w:rsid w:val="00FF3E40"/>
    <w:rsid w:val="00FF447A"/>
    <w:rsid w:val="00FF4D63"/>
    <w:rsid w:val="00FF5B79"/>
    <w:rsid w:val="00FF6590"/>
    <w:rsid w:val="00FF6C15"/>
    <w:rsid w:val="00FF7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8CD"/>
    <w:rPr>
      <w:sz w:val="24"/>
      <w:szCs w:val="24"/>
      <w:lang w:eastAsia="en-US"/>
    </w:rPr>
  </w:style>
  <w:style w:type="paragraph" w:styleId="Nagwek1">
    <w:name w:val="heading 1"/>
    <w:basedOn w:val="Normalny"/>
    <w:next w:val="Normalny"/>
    <w:link w:val="Nagwek1Znak"/>
    <w:uiPriority w:val="99"/>
    <w:qFormat/>
    <w:rsid w:val="00051E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B00E43"/>
    <w:pPr>
      <w:keepNext/>
      <w:keepLines/>
      <w:spacing w:before="200"/>
      <w:outlineLvl w:val="1"/>
    </w:pPr>
    <w:rPr>
      <w:rFonts w:eastAsiaTheme="majorEastAsia" w:cstheme="majorBidi"/>
      <w:b/>
      <w:bCs/>
      <w:sz w:val="28"/>
      <w:szCs w:val="26"/>
    </w:rPr>
  </w:style>
  <w:style w:type="paragraph" w:styleId="Nagwek3">
    <w:name w:val="heading 3"/>
    <w:basedOn w:val="Normalny"/>
    <w:next w:val="Normalny"/>
    <w:link w:val="Nagwek3Znak"/>
    <w:uiPriority w:val="99"/>
    <w:qFormat/>
    <w:rsid w:val="00B87924"/>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9"/>
    <w:qFormat/>
    <w:rsid w:val="00A859D3"/>
    <w:pPr>
      <w:keepNext/>
      <w:spacing w:line="360" w:lineRule="auto"/>
      <w:jc w:val="both"/>
      <w:outlineLvl w:val="4"/>
    </w:pPr>
    <w:rPr>
      <w:i/>
      <w:iCs/>
      <w:sz w:val="22"/>
      <w:szCs w:val="22"/>
    </w:rPr>
  </w:style>
  <w:style w:type="paragraph" w:styleId="Nagwek7">
    <w:name w:val="heading 7"/>
    <w:basedOn w:val="Normalny"/>
    <w:next w:val="Normalny"/>
    <w:link w:val="Nagwek7Znak"/>
    <w:uiPriority w:val="99"/>
    <w:unhideWhenUsed/>
    <w:qFormat/>
    <w:locked/>
    <w:rsid w:val="002C0B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51E79"/>
    <w:rPr>
      <w:rFonts w:ascii="Cambria" w:hAnsi="Cambria" w:cs="Times New Roman"/>
      <w:b/>
      <w:bCs/>
      <w:color w:val="365F91"/>
      <w:sz w:val="28"/>
      <w:szCs w:val="28"/>
      <w:lang w:val="en-US" w:eastAsia="en-US"/>
    </w:rPr>
  </w:style>
  <w:style w:type="character" w:customStyle="1" w:styleId="Nagwek3Znak">
    <w:name w:val="Nagłówek 3 Znak"/>
    <w:basedOn w:val="Domylnaczcionkaakapitu"/>
    <w:link w:val="Nagwek3"/>
    <w:uiPriority w:val="99"/>
    <w:locked/>
    <w:rsid w:val="00B87924"/>
    <w:rPr>
      <w:rFonts w:ascii="Cambria" w:hAnsi="Cambria" w:cs="Times New Roman"/>
      <w:b/>
      <w:bCs/>
      <w:sz w:val="26"/>
      <w:szCs w:val="26"/>
      <w:lang w:val="en-US" w:eastAsia="en-US"/>
    </w:rPr>
  </w:style>
  <w:style w:type="character" w:customStyle="1" w:styleId="Nagwek5Znak">
    <w:name w:val="Nagłówek 5 Znak"/>
    <w:basedOn w:val="Domylnaczcionkaakapitu"/>
    <w:link w:val="Nagwek5"/>
    <w:uiPriority w:val="99"/>
    <w:semiHidden/>
    <w:locked/>
    <w:rsid w:val="00022293"/>
    <w:rPr>
      <w:rFonts w:ascii="Calibri" w:hAnsi="Calibri" w:cs="Times New Roman"/>
      <w:b/>
      <w:bCs/>
      <w:i/>
      <w:iCs/>
      <w:sz w:val="26"/>
      <w:szCs w:val="26"/>
      <w:lang w:val="en-US" w:eastAsia="en-US"/>
    </w:rPr>
  </w:style>
  <w:style w:type="paragraph" w:styleId="Tekstpodstawowy">
    <w:name w:val="Body Text"/>
    <w:aliases w:val="b"/>
    <w:basedOn w:val="Normalny"/>
    <w:link w:val="TekstpodstawowyZnak"/>
    <w:uiPriority w:val="99"/>
    <w:rsid w:val="00A859D3"/>
    <w:rPr>
      <w:rFonts w:ascii="Tms Rmn PL" w:hAnsi="Tms Rmn PL" w:cs="Tms Rmn PL"/>
      <w:color w:val="FF0000"/>
      <w:sz w:val="20"/>
      <w:szCs w:val="20"/>
    </w:rPr>
  </w:style>
  <w:style w:type="character" w:customStyle="1" w:styleId="TekstpodstawowyZnak">
    <w:name w:val="Tekst podstawowy Znak"/>
    <w:aliases w:val="b Znak"/>
    <w:basedOn w:val="Domylnaczcionkaakapitu"/>
    <w:link w:val="Tekstpodstawowy"/>
    <w:uiPriority w:val="99"/>
    <w:semiHidden/>
    <w:locked/>
    <w:rsid w:val="00022293"/>
    <w:rPr>
      <w:rFonts w:cs="Times New Roman"/>
      <w:sz w:val="24"/>
      <w:szCs w:val="24"/>
      <w:lang w:val="en-US" w:eastAsia="en-US"/>
    </w:rPr>
  </w:style>
  <w:style w:type="paragraph" w:styleId="Tekstpodstawowywcity3">
    <w:name w:val="Body Text Indent 3"/>
    <w:basedOn w:val="Normalny"/>
    <w:link w:val="Tekstpodstawowywcity3Znak"/>
    <w:uiPriority w:val="99"/>
    <w:rsid w:val="001A05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22293"/>
    <w:rPr>
      <w:rFonts w:cs="Times New Roman"/>
      <w:sz w:val="16"/>
      <w:szCs w:val="16"/>
      <w:lang w:val="en-US" w:eastAsia="en-US"/>
    </w:rPr>
  </w:style>
  <w:style w:type="paragraph" w:customStyle="1" w:styleId="Listawypunktowanatekst">
    <w:name w:val="Lista wypunktowana tekst"/>
    <w:basedOn w:val="Listapunktowana"/>
    <w:uiPriority w:val="99"/>
    <w:rsid w:val="001A05D8"/>
    <w:pPr>
      <w:numPr>
        <w:numId w:val="0"/>
      </w:numPr>
      <w:autoSpaceDE w:val="0"/>
      <w:autoSpaceDN w:val="0"/>
      <w:spacing w:before="120" w:line="360" w:lineRule="auto"/>
      <w:jc w:val="both"/>
    </w:pPr>
    <w:rPr>
      <w:rFonts w:ascii="Arial" w:hAnsi="Arial" w:cs="Arial"/>
      <w:sz w:val="22"/>
      <w:szCs w:val="22"/>
    </w:rPr>
  </w:style>
  <w:style w:type="paragraph" w:customStyle="1" w:styleId="StylTekstpodstawowyWyjustowany">
    <w:name w:val="Styl Tekst podstawowy + Wyjustowany"/>
    <w:basedOn w:val="Tekstpodstawowy"/>
    <w:rsid w:val="001A05D8"/>
    <w:pPr>
      <w:tabs>
        <w:tab w:val="left" w:pos="-567"/>
      </w:tabs>
      <w:spacing w:line="232" w:lineRule="auto"/>
      <w:jc w:val="both"/>
    </w:pPr>
    <w:rPr>
      <w:rFonts w:ascii="Times New Roman" w:hAnsi="Times New Roman" w:cs="Times New Roman"/>
      <w:color w:val="auto"/>
      <w:sz w:val="22"/>
      <w:szCs w:val="22"/>
      <w:lang w:eastAsia="pl-PL"/>
    </w:rPr>
  </w:style>
  <w:style w:type="character" w:styleId="Odwoaniedokomentarza">
    <w:name w:val="annotation reference"/>
    <w:basedOn w:val="Domylnaczcionkaakapitu"/>
    <w:rsid w:val="001A05D8"/>
    <w:rPr>
      <w:rFonts w:cs="Times New Roman"/>
      <w:sz w:val="16"/>
      <w:szCs w:val="16"/>
    </w:rPr>
  </w:style>
  <w:style w:type="paragraph" w:styleId="Tekstkomentarza">
    <w:name w:val="annotation text"/>
    <w:basedOn w:val="Normalny"/>
    <w:link w:val="TekstkomentarzaZnak"/>
    <w:rsid w:val="001A05D8"/>
    <w:rPr>
      <w:sz w:val="20"/>
      <w:szCs w:val="20"/>
    </w:rPr>
  </w:style>
  <w:style w:type="character" w:customStyle="1" w:styleId="TekstkomentarzaZnak">
    <w:name w:val="Tekst komentarza Znak"/>
    <w:basedOn w:val="Domylnaczcionkaakapitu"/>
    <w:link w:val="Tekstkomentarza"/>
    <w:locked/>
    <w:rsid w:val="001A05D8"/>
    <w:rPr>
      <w:rFonts w:cs="Times New Roman"/>
      <w:lang w:val="en-US" w:eastAsia="en-US" w:bidi="ar-SA"/>
    </w:rPr>
  </w:style>
  <w:style w:type="paragraph" w:styleId="Listapunktowana">
    <w:name w:val="List Bullet"/>
    <w:basedOn w:val="Normalny"/>
    <w:uiPriority w:val="99"/>
    <w:rsid w:val="001A05D8"/>
    <w:pPr>
      <w:numPr>
        <w:numId w:val="1"/>
      </w:numPr>
    </w:pPr>
  </w:style>
  <w:style w:type="paragraph" w:styleId="Tekstdymka">
    <w:name w:val="Balloon Text"/>
    <w:basedOn w:val="Normalny"/>
    <w:link w:val="TekstdymkaZnak"/>
    <w:uiPriority w:val="99"/>
    <w:semiHidden/>
    <w:rsid w:val="001A05D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22293"/>
    <w:rPr>
      <w:rFonts w:cs="Times New Roman"/>
      <w:sz w:val="2"/>
      <w:lang w:val="en-US" w:eastAsia="en-US"/>
    </w:rPr>
  </w:style>
  <w:style w:type="paragraph" w:styleId="Tekstpodstawowy3">
    <w:name w:val="Body Text 3"/>
    <w:basedOn w:val="Normalny"/>
    <w:link w:val="Tekstpodstawowy3Znak"/>
    <w:uiPriority w:val="99"/>
    <w:rsid w:val="000F4F2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022293"/>
    <w:rPr>
      <w:rFonts w:cs="Times New Roman"/>
      <w:sz w:val="16"/>
      <w:szCs w:val="16"/>
      <w:lang w:val="en-US" w:eastAsia="en-US"/>
    </w:rPr>
  </w:style>
  <w:style w:type="paragraph" w:styleId="Tekstpodstawowy2">
    <w:name w:val="Body Text 2"/>
    <w:basedOn w:val="Normalny"/>
    <w:link w:val="Tekstpodstawowy2Znak"/>
    <w:uiPriority w:val="99"/>
    <w:rsid w:val="00E47502"/>
    <w:pPr>
      <w:spacing w:after="120" w:line="480" w:lineRule="auto"/>
    </w:pPr>
  </w:style>
  <w:style w:type="character" w:customStyle="1" w:styleId="Tekstpodstawowy2Znak">
    <w:name w:val="Tekst podstawowy 2 Znak"/>
    <w:basedOn w:val="Domylnaczcionkaakapitu"/>
    <w:link w:val="Tekstpodstawowy2"/>
    <w:uiPriority w:val="99"/>
    <w:semiHidden/>
    <w:locked/>
    <w:rsid w:val="00022293"/>
    <w:rPr>
      <w:rFonts w:cs="Times New Roman"/>
      <w:sz w:val="24"/>
      <w:szCs w:val="24"/>
      <w:lang w:val="en-US" w:eastAsia="en-US"/>
    </w:rPr>
  </w:style>
  <w:style w:type="paragraph" w:styleId="Nagwek">
    <w:name w:val="header"/>
    <w:basedOn w:val="Normalny"/>
    <w:link w:val="NagwekZnak"/>
    <w:uiPriority w:val="99"/>
    <w:rsid w:val="00E47502"/>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022293"/>
    <w:rPr>
      <w:rFonts w:cs="Times New Roman"/>
      <w:sz w:val="24"/>
      <w:szCs w:val="24"/>
      <w:lang w:val="en-US" w:eastAsia="en-US"/>
    </w:rPr>
  </w:style>
  <w:style w:type="paragraph" w:styleId="NormalnyWeb">
    <w:name w:val="Normal (Web)"/>
    <w:basedOn w:val="Normalny"/>
    <w:uiPriority w:val="99"/>
    <w:rsid w:val="00E47502"/>
    <w:pPr>
      <w:spacing w:before="100" w:beforeAutospacing="1" w:after="100" w:afterAutospacing="1"/>
    </w:pPr>
    <w:rPr>
      <w:rFonts w:ascii="Arial" w:hAnsi="Arial" w:cs="Arial"/>
      <w:color w:val="000000"/>
      <w:sz w:val="20"/>
      <w:szCs w:val="20"/>
    </w:rPr>
  </w:style>
  <w:style w:type="paragraph" w:customStyle="1" w:styleId="StylPogrubienieInterlinia15wiersza">
    <w:name w:val="Styl Pogrubienie Interlinia:  15 wiersza"/>
    <w:basedOn w:val="Normalny"/>
    <w:uiPriority w:val="99"/>
    <w:rsid w:val="00E47502"/>
    <w:pPr>
      <w:spacing w:line="360" w:lineRule="auto"/>
      <w:ind w:left="567"/>
    </w:pPr>
    <w:rPr>
      <w:b/>
      <w:bCs/>
      <w:sz w:val="20"/>
      <w:szCs w:val="20"/>
      <w:lang w:eastAsia="pl-PL"/>
    </w:rPr>
  </w:style>
  <w:style w:type="paragraph" w:styleId="Stopka">
    <w:name w:val="footer"/>
    <w:basedOn w:val="Normalny"/>
    <w:link w:val="StopkaZnak"/>
    <w:uiPriority w:val="99"/>
    <w:rsid w:val="00584AF4"/>
    <w:pPr>
      <w:tabs>
        <w:tab w:val="center" w:pos="4536"/>
        <w:tab w:val="right" w:pos="9072"/>
      </w:tabs>
    </w:pPr>
  </w:style>
  <w:style w:type="character" w:customStyle="1" w:styleId="StopkaZnak">
    <w:name w:val="Stopka Znak"/>
    <w:basedOn w:val="Domylnaczcionkaakapitu"/>
    <w:link w:val="Stopka"/>
    <w:uiPriority w:val="99"/>
    <w:locked/>
    <w:rsid w:val="00022293"/>
    <w:rPr>
      <w:rFonts w:cs="Times New Roman"/>
      <w:sz w:val="24"/>
      <w:szCs w:val="24"/>
      <w:lang w:val="en-US" w:eastAsia="en-US"/>
    </w:rPr>
  </w:style>
  <w:style w:type="character" w:styleId="Numerstrony">
    <w:name w:val="page number"/>
    <w:basedOn w:val="Domylnaczcionkaakapitu"/>
    <w:uiPriority w:val="99"/>
    <w:rsid w:val="00584AF4"/>
    <w:rPr>
      <w:rFonts w:cs="Times New Roman"/>
    </w:rPr>
  </w:style>
  <w:style w:type="paragraph" w:styleId="Tematkomentarza">
    <w:name w:val="annotation subject"/>
    <w:basedOn w:val="Tekstkomentarza"/>
    <w:next w:val="Tekstkomentarza"/>
    <w:link w:val="TematkomentarzaZnak"/>
    <w:uiPriority w:val="99"/>
    <w:semiHidden/>
    <w:rsid w:val="00E32AF6"/>
    <w:rPr>
      <w:b/>
      <w:bCs/>
    </w:rPr>
  </w:style>
  <w:style w:type="character" w:customStyle="1" w:styleId="TematkomentarzaZnak">
    <w:name w:val="Temat komentarza Znak"/>
    <w:basedOn w:val="TekstkomentarzaZnak"/>
    <w:link w:val="Tematkomentarza"/>
    <w:uiPriority w:val="99"/>
    <w:semiHidden/>
    <w:locked/>
    <w:rsid w:val="00022293"/>
    <w:rPr>
      <w:rFonts w:cs="Times New Roman"/>
      <w:b/>
      <w:bCs/>
      <w:sz w:val="20"/>
      <w:szCs w:val="20"/>
      <w:lang w:val="en-US" w:eastAsia="en-US" w:bidi="ar-SA"/>
    </w:rPr>
  </w:style>
  <w:style w:type="paragraph" w:styleId="Bezodstpw">
    <w:name w:val="No Spacing"/>
    <w:link w:val="BezodstpwZnak"/>
    <w:uiPriority w:val="1"/>
    <w:qFormat/>
    <w:rsid w:val="003C48A3"/>
    <w:pPr>
      <w:ind w:left="1077" w:right="403" w:firstLine="2665"/>
    </w:pPr>
    <w:rPr>
      <w:rFonts w:ascii="Calibri" w:hAnsi="Calibri" w:cs="Calibri"/>
      <w:lang w:val="en-US" w:eastAsia="en-US"/>
    </w:rPr>
  </w:style>
  <w:style w:type="paragraph" w:customStyle="1" w:styleId="Default">
    <w:name w:val="Default"/>
    <w:rsid w:val="003C48A3"/>
    <w:pPr>
      <w:autoSpaceDE w:val="0"/>
      <w:autoSpaceDN w:val="0"/>
      <w:adjustRightInd w:val="0"/>
    </w:pPr>
    <w:rPr>
      <w:color w:val="000000"/>
      <w:sz w:val="24"/>
      <w:szCs w:val="24"/>
      <w:lang w:eastAsia="en-US"/>
    </w:rPr>
  </w:style>
  <w:style w:type="paragraph" w:styleId="Poprawka">
    <w:name w:val="Revision"/>
    <w:hidden/>
    <w:uiPriority w:val="99"/>
    <w:semiHidden/>
    <w:rsid w:val="002B0374"/>
    <w:rPr>
      <w:sz w:val="24"/>
      <w:szCs w:val="24"/>
      <w:lang w:val="en-US" w:eastAsia="en-US"/>
    </w:rPr>
  </w:style>
  <w:style w:type="paragraph" w:styleId="Akapitzlist">
    <w:name w:val="List Paragraph"/>
    <w:basedOn w:val="Normalny"/>
    <w:uiPriority w:val="34"/>
    <w:qFormat/>
    <w:rsid w:val="00DE47E9"/>
    <w:pPr>
      <w:spacing w:after="200" w:line="276" w:lineRule="auto"/>
      <w:ind w:left="720"/>
      <w:contextualSpacing/>
    </w:pPr>
    <w:rPr>
      <w:rFonts w:ascii="Calibri" w:hAnsi="Calibri"/>
      <w:sz w:val="22"/>
      <w:szCs w:val="22"/>
    </w:rPr>
  </w:style>
  <w:style w:type="character" w:customStyle="1" w:styleId="dane">
    <w:name w:val="dane"/>
    <w:basedOn w:val="Domylnaczcionkaakapitu"/>
    <w:rsid w:val="00051E79"/>
    <w:rPr>
      <w:rFonts w:cs="Times New Roman"/>
    </w:rPr>
  </w:style>
  <w:style w:type="character" w:customStyle="1" w:styleId="apple-converted-space">
    <w:name w:val="apple-converted-space"/>
    <w:basedOn w:val="Domylnaczcionkaakapitu"/>
    <w:rsid w:val="002F7F2C"/>
    <w:rPr>
      <w:rFonts w:cs="Times New Roman"/>
    </w:rPr>
  </w:style>
  <w:style w:type="character" w:customStyle="1" w:styleId="A0">
    <w:name w:val="A0"/>
    <w:uiPriority w:val="99"/>
    <w:rsid w:val="0097217E"/>
    <w:rPr>
      <w:color w:val="000000"/>
      <w:sz w:val="42"/>
    </w:rPr>
  </w:style>
  <w:style w:type="paragraph" w:styleId="Tekstprzypisukocowego">
    <w:name w:val="endnote text"/>
    <w:basedOn w:val="Normalny"/>
    <w:link w:val="TekstprzypisukocowegoZnak"/>
    <w:uiPriority w:val="99"/>
    <w:semiHidden/>
    <w:rsid w:val="00D95C82"/>
    <w:rPr>
      <w:sz w:val="20"/>
      <w:szCs w:val="20"/>
    </w:rPr>
  </w:style>
  <w:style w:type="character" w:customStyle="1" w:styleId="TekstprzypisukocowegoZnak">
    <w:name w:val="Tekst przypisu końcowego Znak"/>
    <w:basedOn w:val="Domylnaczcionkaakapitu"/>
    <w:link w:val="Tekstprzypisukocowego"/>
    <w:uiPriority w:val="99"/>
    <w:semiHidden/>
    <w:locked/>
    <w:rsid w:val="00D95C82"/>
    <w:rPr>
      <w:rFonts w:cs="Times New Roman"/>
      <w:sz w:val="20"/>
      <w:szCs w:val="20"/>
      <w:lang w:val="en-US" w:eastAsia="en-US"/>
    </w:rPr>
  </w:style>
  <w:style w:type="character" w:styleId="Odwoanieprzypisukocowego">
    <w:name w:val="endnote reference"/>
    <w:basedOn w:val="Domylnaczcionkaakapitu"/>
    <w:uiPriority w:val="99"/>
    <w:semiHidden/>
    <w:rsid w:val="00D95C82"/>
    <w:rPr>
      <w:rFonts w:cs="Times New Roman"/>
      <w:vertAlign w:val="superscript"/>
    </w:rPr>
  </w:style>
  <w:style w:type="table" w:styleId="Tabela-Siatka">
    <w:name w:val="Table Grid"/>
    <w:basedOn w:val="Standardowy"/>
    <w:locked/>
    <w:rsid w:val="00EA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A02AD"/>
    <w:pPr>
      <w:spacing w:line="276" w:lineRule="auto"/>
      <w:outlineLvl w:val="9"/>
    </w:pPr>
    <w:rPr>
      <w:rFonts w:asciiTheme="majorHAnsi" w:eastAsiaTheme="majorEastAsia" w:hAnsiTheme="majorHAnsi" w:cstheme="majorBidi"/>
      <w:color w:val="365F91" w:themeColor="accent1" w:themeShade="BF"/>
      <w:lang w:eastAsia="pl-PL"/>
    </w:rPr>
  </w:style>
  <w:style w:type="paragraph" w:styleId="Spistreci3">
    <w:name w:val="toc 3"/>
    <w:basedOn w:val="Normalny"/>
    <w:next w:val="Normalny"/>
    <w:autoRedefine/>
    <w:uiPriority w:val="39"/>
    <w:locked/>
    <w:rsid w:val="009A02AD"/>
    <w:pPr>
      <w:spacing w:after="100"/>
      <w:ind w:left="480"/>
    </w:pPr>
  </w:style>
  <w:style w:type="character" w:styleId="Hipercze">
    <w:name w:val="Hyperlink"/>
    <w:basedOn w:val="Domylnaczcionkaakapitu"/>
    <w:uiPriority w:val="99"/>
    <w:unhideWhenUsed/>
    <w:rsid w:val="009A02AD"/>
    <w:rPr>
      <w:color w:val="0000FF" w:themeColor="hyperlink"/>
      <w:u w:val="single"/>
    </w:rPr>
  </w:style>
  <w:style w:type="paragraph" w:styleId="Podtytu">
    <w:name w:val="Subtitle"/>
    <w:basedOn w:val="Normalny"/>
    <w:next w:val="Normalny"/>
    <w:link w:val="PodtytuZnak"/>
    <w:qFormat/>
    <w:locked/>
    <w:rsid w:val="00C67761"/>
    <w:pPr>
      <w:numPr>
        <w:ilvl w:val="1"/>
      </w:numPr>
    </w:pPr>
    <w:rPr>
      <w:rFonts w:eastAsiaTheme="majorEastAsia" w:cstheme="majorBidi"/>
      <w:b/>
      <w:iCs/>
      <w:spacing w:val="15"/>
    </w:rPr>
  </w:style>
  <w:style w:type="character" w:customStyle="1" w:styleId="PodtytuZnak">
    <w:name w:val="Podtytuł Znak"/>
    <w:basedOn w:val="Domylnaczcionkaakapitu"/>
    <w:link w:val="Podtytu"/>
    <w:rsid w:val="00C67761"/>
    <w:rPr>
      <w:rFonts w:eastAsiaTheme="majorEastAsia" w:cstheme="majorBidi"/>
      <w:b/>
      <w:iCs/>
      <w:spacing w:val="15"/>
      <w:sz w:val="24"/>
      <w:szCs w:val="24"/>
      <w:lang w:val="en-US" w:eastAsia="en-US"/>
    </w:rPr>
  </w:style>
  <w:style w:type="paragraph" w:styleId="Tekstprzypisudolnego">
    <w:name w:val="footnote text"/>
    <w:basedOn w:val="Normalny"/>
    <w:link w:val="TekstprzypisudolnegoZnak"/>
    <w:uiPriority w:val="99"/>
    <w:semiHidden/>
    <w:unhideWhenUsed/>
    <w:rsid w:val="000762CF"/>
    <w:rPr>
      <w:sz w:val="20"/>
      <w:szCs w:val="20"/>
    </w:rPr>
  </w:style>
  <w:style w:type="character" w:customStyle="1" w:styleId="TekstprzypisudolnegoZnak">
    <w:name w:val="Tekst przypisu dolnego Znak"/>
    <w:basedOn w:val="Domylnaczcionkaakapitu"/>
    <w:link w:val="Tekstprzypisudolnego"/>
    <w:uiPriority w:val="99"/>
    <w:semiHidden/>
    <w:rsid w:val="000762CF"/>
    <w:rPr>
      <w:sz w:val="20"/>
      <w:szCs w:val="20"/>
      <w:lang w:val="en-US" w:eastAsia="en-US"/>
    </w:rPr>
  </w:style>
  <w:style w:type="character" w:styleId="Odwoanieprzypisudolnego">
    <w:name w:val="footnote reference"/>
    <w:basedOn w:val="Domylnaczcionkaakapitu"/>
    <w:uiPriority w:val="99"/>
    <w:semiHidden/>
    <w:unhideWhenUsed/>
    <w:rsid w:val="000762CF"/>
    <w:rPr>
      <w:vertAlign w:val="superscript"/>
    </w:rPr>
  </w:style>
  <w:style w:type="paragraph" w:styleId="Tytu">
    <w:name w:val="Title"/>
    <w:basedOn w:val="Normalny"/>
    <w:next w:val="Normalny"/>
    <w:link w:val="TytuZnak"/>
    <w:qFormat/>
    <w:locked/>
    <w:rsid w:val="005F20A2"/>
    <w:pPr>
      <w:framePr w:wrap="notBeside" w:vAnchor="text" w:hAnchor="text" w:y="1"/>
      <w:numPr>
        <w:numId w:val="3"/>
      </w:numPr>
      <w:spacing w:after="300"/>
      <w:ind w:left="357" w:hanging="357"/>
      <w:contextualSpacing/>
    </w:pPr>
    <w:rPr>
      <w:rFonts w:eastAsiaTheme="majorEastAsia" w:cstheme="majorBidi"/>
      <w:b/>
      <w:spacing w:val="5"/>
      <w:kern w:val="28"/>
      <w:szCs w:val="52"/>
    </w:rPr>
  </w:style>
  <w:style w:type="character" w:customStyle="1" w:styleId="TytuZnak">
    <w:name w:val="Tytuł Znak"/>
    <w:basedOn w:val="Domylnaczcionkaakapitu"/>
    <w:link w:val="Tytu"/>
    <w:rsid w:val="005F20A2"/>
    <w:rPr>
      <w:rFonts w:eastAsiaTheme="majorEastAsia" w:cstheme="majorBidi"/>
      <w:b/>
      <w:spacing w:val="5"/>
      <w:kern w:val="28"/>
      <w:sz w:val="24"/>
      <w:szCs w:val="52"/>
      <w:lang w:val="en-US" w:eastAsia="en-US"/>
    </w:rPr>
  </w:style>
  <w:style w:type="paragraph" w:styleId="Spistreci1">
    <w:name w:val="toc 1"/>
    <w:basedOn w:val="Normalny"/>
    <w:next w:val="Normalny"/>
    <w:autoRedefine/>
    <w:uiPriority w:val="39"/>
    <w:locked/>
    <w:rsid w:val="000762CF"/>
    <w:pPr>
      <w:spacing w:after="100"/>
    </w:pPr>
  </w:style>
  <w:style w:type="character" w:customStyle="1" w:styleId="BezodstpwZnak">
    <w:name w:val="Bez odstępów Znak"/>
    <w:basedOn w:val="Domylnaczcionkaakapitu"/>
    <w:link w:val="Bezodstpw"/>
    <w:uiPriority w:val="1"/>
    <w:rsid w:val="00B742B1"/>
    <w:rPr>
      <w:rFonts w:ascii="Calibri" w:hAnsi="Calibri" w:cs="Calibri"/>
      <w:lang w:val="en-US" w:eastAsia="en-US"/>
    </w:rPr>
  </w:style>
  <w:style w:type="character" w:customStyle="1" w:styleId="Nagwek7Znak">
    <w:name w:val="Nagłówek 7 Znak"/>
    <w:basedOn w:val="Domylnaczcionkaakapitu"/>
    <w:link w:val="Nagwek7"/>
    <w:uiPriority w:val="99"/>
    <w:semiHidden/>
    <w:rsid w:val="002C0B67"/>
    <w:rPr>
      <w:rFonts w:asciiTheme="majorHAnsi" w:eastAsiaTheme="majorEastAsia" w:hAnsiTheme="majorHAnsi" w:cstheme="majorBidi"/>
      <w:i/>
      <w:iCs/>
      <w:color w:val="404040" w:themeColor="text1" w:themeTint="BF"/>
      <w:sz w:val="24"/>
      <w:szCs w:val="24"/>
      <w:lang w:val="en-US" w:eastAsia="en-US"/>
    </w:rPr>
  </w:style>
  <w:style w:type="character" w:customStyle="1" w:styleId="Nagwek2Znak">
    <w:name w:val="Nagłówek 2 Znak"/>
    <w:basedOn w:val="Domylnaczcionkaakapitu"/>
    <w:link w:val="Nagwek2"/>
    <w:rsid w:val="00B00E43"/>
    <w:rPr>
      <w:rFonts w:eastAsiaTheme="majorEastAsia" w:cstheme="majorBidi"/>
      <w:b/>
      <w:bCs/>
      <w:sz w:val="28"/>
      <w:szCs w:val="26"/>
      <w:lang w:val="en-US" w:eastAsia="en-US"/>
    </w:rPr>
  </w:style>
  <w:style w:type="paragraph" w:styleId="Spistreci2">
    <w:name w:val="toc 2"/>
    <w:basedOn w:val="Normalny"/>
    <w:next w:val="Normalny"/>
    <w:autoRedefine/>
    <w:uiPriority w:val="39"/>
    <w:locked/>
    <w:rsid w:val="00B00E43"/>
    <w:pPr>
      <w:spacing w:after="100"/>
      <w:ind w:left="240"/>
    </w:pPr>
  </w:style>
  <w:style w:type="paragraph" w:styleId="Zwykytekst">
    <w:name w:val="Plain Text"/>
    <w:basedOn w:val="Normalny"/>
    <w:link w:val="ZwykytekstZnak"/>
    <w:uiPriority w:val="99"/>
    <w:semiHidden/>
    <w:unhideWhenUsed/>
    <w:rsid w:val="007B7D1E"/>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semiHidden/>
    <w:rsid w:val="007B7D1E"/>
    <w:rPr>
      <w:rFonts w:ascii="Calibri" w:eastAsiaTheme="minorHAnsi" w:hAnsi="Calibri" w:cstheme="minorBidi"/>
      <w:szCs w:val="21"/>
      <w:lang w:eastAsia="en-US"/>
    </w:rPr>
  </w:style>
  <w:style w:type="paragraph" w:styleId="Legenda">
    <w:name w:val="caption"/>
    <w:basedOn w:val="Normalny"/>
    <w:next w:val="Normalny"/>
    <w:semiHidden/>
    <w:unhideWhenUsed/>
    <w:qFormat/>
    <w:locked/>
    <w:rsid w:val="00722B3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8CD"/>
    <w:rPr>
      <w:sz w:val="24"/>
      <w:szCs w:val="24"/>
      <w:lang w:eastAsia="en-US"/>
    </w:rPr>
  </w:style>
  <w:style w:type="paragraph" w:styleId="Nagwek1">
    <w:name w:val="heading 1"/>
    <w:basedOn w:val="Normalny"/>
    <w:next w:val="Normalny"/>
    <w:link w:val="Nagwek1Znak"/>
    <w:uiPriority w:val="99"/>
    <w:qFormat/>
    <w:rsid w:val="00051E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B00E43"/>
    <w:pPr>
      <w:keepNext/>
      <w:keepLines/>
      <w:spacing w:before="200"/>
      <w:outlineLvl w:val="1"/>
    </w:pPr>
    <w:rPr>
      <w:rFonts w:eastAsiaTheme="majorEastAsia" w:cstheme="majorBidi"/>
      <w:b/>
      <w:bCs/>
      <w:sz w:val="28"/>
      <w:szCs w:val="26"/>
    </w:rPr>
  </w:style>
  <w:style w:type="paragraph" w:styleId="Nagwek3">
    <w:name w:val="heading 3"/>
    <w:basedOn w:val="Normalny"/>
    <w:next w:val="Normalny"/>
    <w:link w:val="Nagwek3Znak"/>
    <w:uiPriority w:val="99"/>
    <w:qFormat/>
    <w:rsid w:val="00B87924"/>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9"/>
    <w:qFormat/>
    <w:rsid w:val="00A859D3"/>
    <w:pPr>
      <w:keepNext/>
      <w:spacing w:line="360" w:lineRule="auto"/>
      <w:jc w:val="both"/>
      <w:outlineLvl w:val="4"/>
    </w:pPr>
    <w:rPr>
      <w:i/>
      <w:iCs/>
      <w:sz w:val="22"/>
      <w:szCs w:val="22"/>
    </w:rPr>
  </w:style>
  <w:style w:type="paragraph" w:styleId="Nagwek7">
    <w:name w:val="heading 7"/>
    <w:basedOn w:val="Normalny"/>
    <w:next w:val="Normalny"/>
    <w:link w:val="Nagwek7Znak"/>
    <w:uiPriority w:val="99"/>
    <w:unhideWhenUsed/>
    <w:qFormat/>
    <w:locked/>
    <w:rsid w:val="002C0B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51E79"/>
    <w:rPr>
      <w:rFonts w:ascii="Cambria" w:hAnsi="Cambria" w:cs="Times New Roman"/>
      <w:b/>
      <w:bCs/>
      <w:color w:val="365F91"/>
      <w:sz w:val="28"/>
      <w:szCs w:val="28"/>
      <w:lang w:val="en-US" w:eastAsia="en-US"/>
    </w:rPr>
  </w:style>
  <w:style w:type="character" w:customStyle="1" w:styleId="Nagwek3Znak">
    <w:name w:val="Nagłówek 3 Znak"/>
    <w:basedOn w:val="Domylnaczcionkaakapitu"/>
    <w:link w:val="Nagwek3"/>
    <w:uiPriority w:val="99"/>
    <w:locked/>
    <w:rsid w:val="00B87924"/>
    <w:rPr>
      <w:rFonts w:ascii="Cambria" w:hAnsi="Cambria" w:cs="Times New Roman"/>
      <w:b/>
      <w:bCs/>
      <w:sz w:val="26"/>
      <w:szCs w:val="26"/>
      <w:lang w:val="en-US" w:eastAsia="en-US"/>
    </w:rPr>
  </w:style>
  <w:style w:type="character" w:customStyle="1" w:styleId="Nagwek5Znak">
    <w:name w:val="Nagłówek 5 Znak"/>
    <w:basedOn w:val="Domylnaczcionkaakapitu"/>
    <w:link w:val="Nagwek5"/>
    <w:uiPriority w:val="99"/>
    <w:semiHidden/>
    <w:locked/>
    <w:rsid w:val="00022293"/>
    <w:rPr>
      <w:rFonts w:ascii="Calibri" w:hAnsi="Calibri" w:cs="Times New Roman"/>
      <w:b/>
      <w:bCs/>
      <w:i/>
      <w:iCs/>
      <w:sz w:val="26"/>
      <w:szCs w:val="26"/>
      <w:lang w:val="en-US" w:eastAsia="en-US"/>
    </w:rPr>
  </w:style>
  <w:style w:type="paragraph" w:styleId="Tekstpodstawowy">
    <w:name w:val="Body Text"/>
    <w:aliases w:val="b"/>
    <w:basedOn w:val="Normalny"/>
    <w:link w:val="TekstpodstawowyZnak"/>
    <w:uiPriority w:val="99"/>
    <w:rsid w:val="00A859D3"/>
    <w:rPr>
      <w:rFonts w:ascii="Tms Rmn PL" w:hAnsi="Tms Rmn PL" w:cs="Tms Rmn PL"/>
      <w:color w:val="FF0000"/>
      <w:sz w:val="20"/>
      <w:szCs w:val="20"/>
    </w:rPr>
  </w:style>
  <w:style w:type="character" w:customStyle="1" w:styleId="TekstpodstawowyZnak">
    <w:name w:val="Tekst podstawowy Znak"/>
    <w:aliases w:val="b Znak"/>
    <w:basedOn w:val="Domylnaczcionkaakapitu"/>
    <w:link w:val="Tekstpodstawowy"/>
    <w:uiPriority w:val="99"/>
    <w:semiHidden/>
    <w:locked/>
    <w:rsid w:val="00022293"/>
    <w:rPr>
      <w:rFonts w:cs="Times New Roman"/>
      <w:sz w:val="24"/>
      <w:szCs w:val="24"/>
      <w:lang w:val="en-US" w:eastAsia="en-US"/>
    </w:rPr>
  </w:style>
  <w:style w:type="paragraph" w:styleId="Tekstpodstawowywcity3">
    <w:name w:val="Body Text Indent 3"/>
    <w:basedOn w:val="Normalny"/>
    <w:link w:val="Tekstpodstawowywcity3Znak"/>
    <w:uiPriority w:val="99"/>
    <w:rsid w:val="001A05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22293"/>
    <w:rPr>
      <w:rFonts w:cs="Times New Roman"/>
      <w:sz w:val="16"/>
      <w:szCs w:val="16"/>
      <w:lang w:val="en-US" w:eastAsia="en-US"/>
    </w:rPr>
  </w:style>
  <w:style w:type="paragraph" w:customStyle="1" w:styleId="Listawypunktowanatekst">
    <w:name w:val="Lista wypunktowana tekst"/>
    <w:basedOn w:val="Listapunktowana"/>
    <w:uiPriority w:val="99"/>
    <w:rsid w:val="001A05D8"/>
    <w:pPr>
      <w:numPr>
        <w:numId w:val="0"/>
      </w:numPr>
      <w:autoSpaceDE w:val="0"/>
      <w:autoSpaceDN w:val="0"/>
      <w:spacing w:before="120" w:line="360" w:lineRule="auto"/>
      <w:jc w:val="both"/>
    </w:pPr>
    <w:rPr>
      <w:rFonts w:ascii="Arial" w:hAnsi="Arial" w:cs="Arial"/>
      <w:sz w:val="22"/>
      <w:szCs w:val="22"/>
    </w:rPr>
  </w:style>
  <w:style w:type="paragraph" w:customStyle="1" w:styleId="StylTekstpodstawowyWyjustowany">
    <w:name w:val="Styl Tekst podstawowy + Wyjustowany"/>
    <w:basedOn w:val="Tekstpodstawowy"/>
    <w:rsid w:val="001A05D8"/>
    <w:pPr>
      <w:tabs>
        <w:tab w:val="left" w:pos="-567"/>
      </w:tabs>
      <w:spacing w:line="232" w:lineRule="auto"/>
      <w:jc w:val="both"/>
    </w:pPr>
    <w:rPr>
      <w:rFonts w:ascii="Times New Roman" w:hAnsi="Times New Roman" w:cs="Times New Roman"/>
      <w:color w:val="auto"/>
      <w:sz w:val="22"/>
      <w:szCs w:val="22"/>
      <w:lang w:eastAsia="pl-PL"/>
    </w:rPr>
  </w:style>
  <w:style w:type="character" w:styleId="Odwoaniedokomentarza">
    <w:name w:val="annotation reference"/>
    <w:basedOn w:val="Domylnaczcionkaakapitu"/>
    <w:rsid w:val="001A05D8"/>
    <w:rPr>
      <w:rFonts w:cs="Times New Roman"/>
      <w:sz w:val="16"/>
      <w:szCs w:val="16"/>
    </w:rPr>
  </w:style>
  <w:style w:type="paragraph" w:styleId="Tekstkomentarza">
    <w:name w:val="annotation text"/>
    <w:basedOn w:val="Normalny"/>
    <w:link w:val="TekstkomentarzaZnak"/>
    <w:rsid w:val="001A05D8"/>
    <w:rPr>
      <w:sz w:val="20"/>
      <w:szCs w:val="20"/>
    </w:rPr>
  </w:style>
  <w:style w:type="character" w:customStyle="1" w:styleId="TekstkomentarzaZnak">
    <w:name w:val="Tekst komentarza Znak"/>
    <w:basedOn w:val="Domylnaczcionkaakapitu"/>
    <w:link w:val="Tekstkomentarza"/>
    <w:locked/>
    <w:rsid w:val="001A05D8"/>
    <w:rPr>
      <w:rFonts w:cs="Times New Roman"/>
      <w:lang w:val="en-US" w:eastAsia="en-US" w:bidi="ar-SA"/>
    </w:rPr>
  </w:style>
  <w:style w:type="paragraph" w:styleId="Listapunktowana">
    <w:name w:val="List Bullet"/>
    <w:basedOn w:val="Normalny"/>
    <w:uiPriority w:val="99"/>
    <w:rsid w:val="001A05D8"/>
    <w:pPr>
      <w:numPr>
        <w:numId w:val="1"/>
      </w:numPr>
    </w:pPr>
  </w:style>
  <w:style w:type="paragraph" w:styleId="Tekstdymka">
    <w:name w:val="Balloon Text"/>
    <w:basedOn w:val="Normalny"/>
    <w:link w:val="TekstdymkaZnak"/>
    <w:uiPriority w:val="99"/>
    <w:semiHidden/>
    <w:rsid w:val="001A05D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22293"/>
    <w:rPr>
      <w:rFonts w:cs="Times New Roman"/>
      <w:sz w:val="2"/>
      <w:lang w:val="en-US" w:eastAsia="en-US"/>
    </w:rPr>
  </w:style>
  <w:style w:type="paragraph" w:styleId="Tekstpodstawowy3">
    <w:name w:val="Body Text 3"/>
    <w:basedOn w:val="Normalny"/>
    <w:link w:val="Tekstpodstawowy3Znak"/>
    <w:uiPriority w:val="99"/>
    <w:rsid w:val="000F4F2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022293"/>
    <w:rPr>
      <w:rFonts w:cs="Times New Roman"/>
      <w:sz w:val="16"/>
      <w:szCs w:val="16"/>
      <w:lang w:val="en-US" w:eastAsia="en-US"/>
    </w:rPr>
  </w:style>
  <w:style w:type="paragraph" w:styleId="Tekstpodstawowy2">
    <w:name w:val="Body Text 2"/>
    <w:basedOn w:val="Normalny"/>
    <w:link w:val="Tekstpodstawowy2Znak"/>
    <w:uiPriority w:val="99"/>
    <w:rsid w:val="00E47502"/>
    <w:pPr>
      <w:spacing w:after="120" w:line="480" w:lineRule="auto"/>
    </w:pPr>
  </w:style>
  <w:style w:type="character" w:customStyle="1" w:styleId="Tekstpodstawowy2Znak">
    <w:name w:val="Tekst podstawowy 2 Znak"/>
    <w:basedOn w:val="Domylnaczcionkaakapitu"/>
    <w:link w:val="Tekstpodstawowy2"/>
    <w:uiPriority w:val="99"/>
    <w:semiHidden/>
    <w:locked/>
    <w:rsid w:val="00022293"/>
    <w:rPr>
      <w:rFonts w:cs="Times New Roman"/>
      <w:sz w:val="24"/>
      <w:szCs w:val="24"/>
      <w:lang w:val="en-US" w:eastAsia="en-US"/>
    </w:rPr>
  </w:style>
  <w:style w:type="paragraph" w:styleId="Nagwek">
    <w:name w:val="header"/>
    <w:basedOn w:val="Normalny"/>
    <w:link w:val="NagwekZnak"/>
    <w:uiPriority w:val="99"/>
    <w:rsid w:val="00E47502"/>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022293"/>
    <w:rPr>
      <w:rFonts w:cs="Times New Roman"/>
      <w:sz w:val="24"/>
      <w:szCs w:val="24"/>
      <w:lang w:val="en-US" w:eastAsia="en-US"/>
    </w:rPr>
  </w:style>
  <w:style w:type="paragraph" w:styleId="NormalnyWeb">
    <w:name w:val="Normal (Web)"/>
    <w:basedOn w:val="Normalny"/>
    <w:uiPriority w:val="99"/>
    <w:rsid w:val="00E47502"/>
    <w:pPr>
      <w:spacing w:before="100" w:beforeAutospacing="1" w:after="100" w:afterAutospacing="1"/>
    </w:pPr>
    <w:rPr>
      <w:rFonts w:ascii="Arial" w:hAnsi="Arial" w:cs="Arial"/>
      <w:color w:val="000000"/>
      <w:sz w:val="20"/>
      <w:szCs w:val="20"/>
    </w:rPr>
  </w:style>
  <w:style w:type="paragraph" w:customStyle="1" w:styleId="StylPogrubienieInterlinia15wiersza">
    <w:name w:val="Styl Pogrubienie Interlinia:  15 wiersza"/>
    <w:basedOn w:val="Normalny"/>
    <w:uiPriority w:val="99"/>
    <w:rsid w:val="00E47502"/>
    <w:pPr>
      <w:spacing w:line="360" w:lineRule="auto"/>
      <w:ind w:left="567"/>
    </w:pPr>
    <w:rPr>
      <w:b/>
      <w:bCs/>
      <w:sz w:val="20"/>
      <w:szCs w:val="20"/>
      <w:lang w:eastAsia="pl-PL"/>
    </w:rPr>
  </w:style>
  <w:style w:type="paragraph" w:styleId="Stopka">
    <w:name w:val="footer"/>
    <w:basedOn w:val="Normalny"/>
    <w:link w:val="StopkaZnak"/>
    <w:uiPriority w:val="99"/>
    <w:rsid w:val="00584AF4"/>
    <w:pPr>
      <w:tabs>
        <w:tab w:val="center" w:pos="4536"/>
        <w:tab w:val="right" w:pos="9072"/>
      </w:tabs>
    </w:pPr>
  </w:style>
  <w:style w:type="character" w:customStyle="1" w:styleId="StopkaZnak">
    <w:name w:val="Stopka Znak"/>
    <w:basedOn w:val="Domylnaczcionkaakapitu"/>
    <w:link w:val="Stopka"/>
    <w:uiPriority w:val="99"/>
    <w:locked/>
    <w:rsid w:val="00022293"/>
    <w:rPr>
      <w:rFonts w:cs="Times New Roman"/>
      <w:sz w:val="24"/>
      <w:szCs w:val="24"/>
      <w:lang w:val="en-US" w:eastAsia="en-US"/>
    </w:rPr>
  </w:style>
  <w:style w:type="character" w:styleId="Numerstrony">
    <w:name w:val="page number"/>
    <w:basedOn w:val="Domylnaczcionkaakapitu"/>
    <w:uiPriority w:val="99"/>
    <w:rsid w:val="00584AF4"/>
    <w:rPr>
      <w:rFonts w:cs="Times New Roman"/>
    </w:rPr>
  </w:style>
  <w:style w:type="paragraph" w:styleId="Tematkomentarza">
    <w:name w:val="annotation subject"/>
    <w:basedOn w:val="Tekstkomentarza"/>
    <w:next w:val="Tekstkomentarza"/>
    <w:link w:val="TematkomentarzaZnak"/>
    <w:uiPriority w:val="99"/>
    <w:semiHidden/>
    <w:rsid w:val="00E32AF6"/>
    <w:rPr>
      <w:b/>
      <w:bCs/>
    </w:rPr>
  </w:style>
  <w:style w:type="character" w:customStyle="1" w:styleId="TematkomentarzaZnak">
    <w:name w:val="Temat komentarza Znak"/>
    <w:basedOn w:val="TekstkomentarzaZnak"/>
    <w:link w:val="Tematkomentarza"/>
    <w:uiPriority w:val="99"/>
    <w:semiHidden/>
    <w:locked/>
    <w:rsid w:val="00022293"/>
    <w:rPr>
      <w:rFonts w:cs="Times New Roman"/>
      <w:b/>
      <w:bCs/>
      <w:sz w:val="20"/>
      <w:szCs w:val="20"/>
      <w:lang w:val="en-US" w:eastAsia="en-US" w:bidi="ar-SA"/>
    </w:rPr>
  </w:style>
  <w:style w:type="paragraph" w:styleId="Bezodstpw">
    <w:name w:val="No Spacing"/>
    <w:link w:val="BezodstpwZnak"/>
    <w:uiPriority w:val="1"/>
    <w:qFormat/>
    <w:rsid w:val="003C48A3"/>
    <w:pPr>
      <w:ind w:left="1077" w:right="403" w:firstLine="2665"/>
    </w:pPr>
    <w:rPr>
      <w:rFonts w:ascii="Calibri" w:hAnsi="Calibri" w:cs="Calibri"/>
      <w:lang w:val="en-US" w:eastAsia="en-US"/>
    </w:rPr>
  </w:style>
  <w:style w:type="paragraph" w:customStyle="1" w:styleId="Default">
    <w:name w:val="Default"/>
    <w:rsid w:val="003C48A3"/>
    <w:pPr>
      <w:autoSpaceDE w:val="0"/>
      <w:autoSpaceDN w:val="0"/>
      <w:adjustRightInd w:val="0"/>
    </w:pPr>
    <w:rPr>
      <w:color w:val="000000"/>
      <w:sz w:val="24"/>
      <w:szCs w:val="24"/>
      <w:lang w:eastAsia="en-US"/>
    </w:rPr>
  </w:style>
  <w:style w:type="paragraph" w:styleId="Poprawka">
    <w:name w:val="Revision"/>
    <w:hidden/>
    <w:uiPriority w:val="99"/>
    <w:semiHidden/>
    <w:rsid w:val="002B0374"/>
    <w:rPr>
      <w:sz w:val="24"/>
      <w:szCs w:val="24"/>
      <w:lang w:val="en-US" w:eastAsia="en-US"/>
    </w:rPr>
  </w:style>
  <w:style w:type="paragraph" w:styleId="Akapitzlist">
    <w:name w:val="List Paragraph"/>
    <w:basedOn w:val="Normalny"/>
    <w:uiPriority w:val="34"/>
    <w:qFormat/>
    <w:rsid w:val="00DE47E9"/>
    <w:pPr>
      <w:spacing w:after="200" w:line="276" w:lineRule="auto"/>
      <w:ind w:left="720"/>
      <w:contextualSpacing/>
    </w:pPr>
    <w:rPr>
      <w:rFonts w:ascii="Calibri" w:hAnsi="Calibri"/>
      <w:sz w:val="22"/>
      <w:szCs w:val="22"/>
    </w:rPr>
  </w:style>
  <w:style w:type="character" w:customStyle="1" w:styleId="dane">
    <w:name w:val="dane"/>
    <w:basedOn w:val="Domylnaczcionkaakapitu"/>
    <w:rsid w:val="00051E79"/>
    <w:rPr>
      <w:rFonts w:cs="Times New Roman"/>
    </w:rPr>
  </w:style>
  <w:style w:type="character" w:customStyle="1" w:styleId="apple-converted-space">
    <w:name w:val="apple-converted-space"/>
    <w:basedOn w:val="Domylnaczcionkaakapitu"/>
    <w:rsid w:val="002F7F2C"/>
    <w:rPr>
      <w:rFonts w:cs="Times New Roman"/>
    </w:rPr>
  </w:style>
  <w:style w:type="character" w:customStyle="1" w:styleId="A0">
    <w:name w:val="A0"/>
    <w:uiPriority w:val="99"/>
    <w:rsid w:val="0097217E"/>
    <w:rPr>
      <w:color w:val="000000"/>
      <w:sz w:val="42"/>
    </w:rPr>
  </w:style>
  <w:style w:type="paragraph" w:styleId="Tekstprzypisukocowego">
    <w:name w:val="endnote text"/>
    <w:basedOn w:val="Normalny"/>
    <w:link w:val="TekstprzypisukocowegoZnak"/>
    <w:uiPriority w:val="99"/>
    <w:semiHidden/>
    <w:rsid w:val="00D95C82"/>
    <w:rPr>
      <w:sz w:val="20"/>
      <w:szCs w:val="20"/>
    </w:rPr>
  </w:style>
  <w:style w:type="character" w:customStyle="1" w:styleId="TekstprzypisukocowegoZnak">
    <w:name w:val="Tekst przypisu końcowego Znak"/>
    <w:basedOn w:val="Domylnaczcionkaakapitu"/>
    <w:link w:val="Tekstprzypisukocowego"/>
    <w:uiPriority w:val="99"/>
    <w:semiHidden/>
    <w:locked/>
    <w:rsid w:val="00D95C82"/>
    <w:rPr>
      <w:rFonts w:cs="Times New Roman"/>
      <w:sz w:val="20"/>
      <w:szCs w:val="20"/>
      <w:lang w:val="en-US" w:eastAsia="en-US"/>
    </w:rPr>
  </w:style>
  <w:style w:type="character" w:styleId="Odwoanieprzypisukocowego">
    <w:name w:val="endnote reference"/>
    <w:basedOn w:val="Domylnaczcionkaakapitu"/>
    <w:uiPriority w:val="99"/>
    <w:semiHidden/>
    <w:rsid w:val="00D95C82"/>
    <w:rPr>
      <w:rFonts w:cs="Times New Roman"/>
      <w:vertAlign w:val="superscript"/>
    </w:rPr>
  </w:style>
  <w:style w:type="table" w:styleId="Tabela-Siatka">
    <w:name w:val="Table Grid"/>
    <w:basedOn w:val="Standardowy"/>
    <w:locked/>
    <w:rsid w:val="00EA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A02AD"/>
    <w:pPr>
      <w:spacing w:line="276" w:lineRule="auto"/>
      <w:outlineLvl w:val="9"/>
    </w:pPr>
    <w:rPr>
      <w:rFonts w:asciiTheme="majorHAnsi" w:eastAsiaTheme="majorEastAsia" w:hAnsiTheme="majorHAnsi" w:cstheme="majorBidi"/>
      <w:color w:val="365F91" w:themeColor="accent1" w:themeShade="BF"/>
      <w:lang w:eastAsia="pl-PL"/>
    </w:rPr>
  </w:style>
  <w:style w:type="paragraph" w:styleId="Spistreci3">
    <w:name w:val="toc 3"/>
    <w:basedOn w:val="Normalny"/>
    <w:next w:val="Normalny"/>
    <w:autoRedefine/>
    <w:uiPriority w:val="39"/>
    <w:locked/>
    <w:rsid w:val="009A02AD"/>
    <w:pPr>
      <w:spacing w:after="100"/>
      <w:ind w:left="480"/>
    </w:pPr>
  </w:style>
  <w:style w:type="character" w:styleId="Hipercze">
    <w:name w:val="Hyperlink"/>
    <w:basedOn w:val="Domylnaczcionkaakapitu"/>
    <w:uiPriority w:val="99"/>
    <w:unhideWhenUsed/>
    <w:rsid w:val="009A02AD"/>
    <w:rPr>
      <w:color w:val="0000FF" w:themeColor="hyperlink"/>
      <w:u w:val="single"/>
    </w:rPr>
  </w:style>
  <w:style w:type="paragraph" w:styleId="Podtytu">
    <w:name w:val="Subtitle"/>
    <w:basedOn w:val="Normalny"/>
    <w:next w:val="Normalny"/>
    <w:link w:val="PodtytuZnak"/>
    <w:qFormat/>
    <w:locked/>
    <w:rsid w:val="00C67761"/>
    <w:pPr>
      <w:numPr>
        <w:ilvl w:val="1"/>
      </w:numPr>
    </w:pPr>
    <w:rPr>
      <w:rFonts w:eastAsiaTheme="majorEastAsia" w:cstheme="majorBidi"/>
      <w:b/>
      <w:iCs/>
      <w:spacing w:val="15"/>
    </w:rPr>
  </w:style>
  <w:style w:type="character" w:customStyle="1" w:styleId="PodtytuZnak">
    <w:name w:val="Podtytuł Znak"/>
    <w:basedOn w:val="Domylnaczcionkaakapitu"/>
    <w:link w:val="Podtytu"/>
    <w:rsid w:val="00C67761"/>
    <w:rPr>
      <w:rFonts w:eastAsiaTheme="majorEastAsia" w:cstheme="majorBidi"/>
      <w:b/>
      <w:iCs/>
      <w:spacing w:val="15"/>
      <w:sz w:val="24"/>
      <w:szCs w:val="24"/>
      <w:lang w:val="en-US" w:eastAsia="en-US"/>
    </w:rPr>
  </w:style>
  <w:style w:type="paragraph" w:styleId="Tekstprzypisudolnego">
    <w:name w:val="footnote text"/>
    <w:basedOn w:val="Normalny"/>
    <w:link w:val="TekstprzypisudolnegoZnak"/>
    <w:uiPriority w:val="99"/>
    <w:semiHidden/>
    <w:unhideWhenUsed/>
    <w:rsid w:val="000762CF"/>
    <w:rPr>
      <w:sz w:val="20"/>
      <w:szCs w:val="20"/>
    </w:rPr>
  </w:style>
  <w:style w:type="character" w:customStyle="1" w:styleId="TekstprzypisudolnegoZnak">
    <w:name w:val="Tekst przypisu dolnego Znak"/>
    <w:basedOn w:val="Domylnaczcionkaakapitu"/>
    <w:link w:val="Tekstprzypisudolnego"/>
    <w:uiPriority w:val="99"/>
    <w:semiHidden/>
    <w:rsid w:val="000762CF"/>
    <w:rPr>
      <w:sz w:val="20"/>
      <w:szCs w:val="20"/>
      <w:lang w:val="en-US" w:eastAsia="en-US"/>
    </w:rPr>
  </w:style>
  <w:style w:type="character" w:styleId="Odwoanieprzypisudolnego">
    <w:name w:val="footnote reference"/>
    <w:basedOn w:val="Domylnaczcionkaakapitu"/>
    <w:uiPriority w:val="99"/>
    <w:semiHidden/>
    <w:unhideWhenUsed/>
    <w:rsid w:val="000762CF"/>
    <w:rPr>
      <w:vertAlign w:val="superscript"/>
    </w:rPr>
  </w:style>
  <w:style w:type="paragraph" w:styleId="Tytu">
    <w:name w:val="Title"/>
    <w:basedOn w:val="Normalny"/>
    <w:next w:val="Normalny"/>
    <w:link w:val="TytuZnak"/>
    <w:qFormat/>
    <w:locked/>
    <w:rsid w:val="005F20A2"/>
    <w:pPr>
      <w:framePr w:wrap="notBeside" w:vAnchor="text" w:hAnchor="text" w:y="1"/>
      <w:numPr>
        <w:numId w:val="3"/>
      </w:numPr>
      <w:spacing w:after="300"/>
      <w:ind w:left="357" w:hanging="357"/>
      <w:contextualSpacing/>
    </w:pPr>
    <w:rPr>
      <w:rFonts w:eastAsiaTheme="majorEastAsia" w:cstheme="majorBidi"/>
      <w:b/>
      <w:spacing w:val="5"/>
      <w:kern w:val="28"/>
      <w:szCs w:val="52"/>
    </w:rPr>
  </w:style>
  <w:style w:type="character" w:customStyle="1" w:styleId="TytuZnak">
    <w:name w:val="Tytuł Znak"/>
    <w:basedOn w:val="Domylnaczcionkaakapitu"/>
    <w:link w:val="Tytu"/>
    <w:rsid w:val="005F20A2"/>
    <w:rPr>
      <w:rFonts w:eastAsiaTheme="majorEastAsia" w:cstheme="majorBidi"/>
      <w:b/>
      <w:spacing w:val="5"/>
      <w:kern w:val="28"/>
      <w:sz w:val="24"/>
      <w:szCs w:val="52"/>
      <w:lang w:val="en-US" w:eastAsia="en-US"/>
    </w:rPr>
  </w:style>
  <w:style w:type="paragraph" w:styleId="Spistreci1">
    <w:name w:val="toc 1"/>
    <w:basedOn w:val="Normalny"/>
    <w:next w:val="Normalny"/>
    <w:autoRedefine/>
    <w:uiPriority w:val="39"/>
    <w:locked/>
    <w:rsid w:val="000762CF"/>
    <w:pPr>
      <w:spacing w:after="100"/>
    </w:pPr>
  </w:style>
  <w:style w:type="character" w:customStyle="1" w:styleId="BezodstpwZnak">
    <w:name w:val="Bez odstępów Znak"/>
    <w:basedOn w:val="Domylnaczcionkaakapitu"/>
    <w:link w:val="Bezodstpw"/>
    <w:uiPriority w:val="1"/>
    <w:rsid w:val="00B742B1"/>
    <w:rPr>
      <w:rFonts w:ascii="Calibri" w:hAnsi="Calibri" w:cs="Calibri"/>
      <w:lang w:val="en-US" w:eastAsia="en-US"/>
    </w:rPr>
  </w:style>
  <w:style w:type="character" w:customStyle="1" w:styleId="Nagwek7Znak">
    <w:name w:val="Nagłówek 7 Znak"/>
    <w:basedOn w:val="Domylnaczcionkaakapitu"/>
    <w:link w:val="Nagwek7"/>
    <w:uiPriority w:val="99"/>
    <w:semiHidden/>
    <w:rsid w:val="002C0B67"/>
    <w:rPr>
      <w:rFonts w:asciiTheme="majorHAnsi" w:eastAsiaTheme="majorEastAsia" w:hAnsiTheme="majorHAnsi" w:cstheme="majorBidi"/>
      <w:i/>
      <w:iCs/>
      <w:color w:val="404040" w:themeColor="text1" w:themeTint="BF"/>
      <w:sz w:val="24"/>
      <w:szCs w:val="24"/>
      <w:lang w:val="en-US" w:eastAsia="en-US"/>
    </w:rPr>
  </w:style>
  <w:style w:type="character" w:customStyle="1" w:styleId="Nagwek2Znak">
    <w:name w:val="Nagłówek 2 Znak"/>
    <w:basedOn w:val="Domylnaczcionkaakapitu"/>
    <w:link w:val="Nagwek2"/>
    <w:rsid w:val="00B00E43"/>
    <w:rPr>
      <w:rFonts w:eastAsiaTheme="majorEastAsia" w:cstheme="majorBidi"/>
      <w:b/>
      <w:bCs/>
      <w:sz w:val="28"/>
      <w:szCs w:val="26"/>
      <w:lang w:val="en-US" w:eastAsia="en-US"/>
    </w:rPr>
  </w:style>
  <w:style w:type="paragraph" w:styleId="Spistreci2">
    <w:name w:val="toc 2"/>
    <w:basedOn w:val="Normalny"/>
    <w:next w:val="Normalny"/>
    <w:autoRedefine/>
    <w:uiPriority w:val="39"/>
    <w:locked/>
    <w:rsid w:val="00B00E43"/>
    <w:pPr>
      <w:spacing w:after="100"/>
      <w:ind w:left="240"/>
    </w:pPr>
  </w:style>
  <w:style w:type="paragraph" w:styleId="Zwykytekst">
    <w:name w:val="Plain Text"/>
    <w:basedOn w:val="Normalny"/>
    <w:link w:val="ZwykytekstZnak"/>
    <w:uiPriority w:val="99"/>
    <w:semiHidden/>
    <w:unhideWhenUsed/>
    <w:rsid w:val="007B7D1E"/>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semiHidden/>
    <w:rsid w:val="007B7D1E"/>
    <w:rPr>
      <w:rFonts w:ascii="Calibri" w:eastAsiaTheme="minorHAnsi" w:hAnsi="Calibri" w:cstheme="minorBidi"/>
      <w:szCs w:val="21"/>
      <w:lang w:eastAsia="en-US"/>
    </w:rPr>
  </w:style>
  <w:style w:type="paragraph" w:styleId="Legenda">
    <w:name w:val="caption"/>
    <w:basedOn w:val="Normalny"/>
    <w:next w:val="Normalny"/>
    <w:semiHidden/>
    <w:unhideWhenUsed/>
    <w:qFormat/>
    <w:locked/>
    <w:rsid w:val="00722B3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2">
      <w:bodyDiv w:val="1"/>
      <w:marLeft w:val="0"/>
      <w:marRight w:val="0"/>
      <w:marTop w:val="0"/>
      <w:marBottom w:val="0"/>
      <w:divBdr>
        <w:top w:val="none" w:sz="0" w:space="0" w:color="auto"/>
        <w:left w:val="none" w:sz="0" w:space="0" w:color="auto"/>
        <w:bottom w:val="none" w:sz="0" w:space="0" w:color="auto"/>
        <w:right w:val="none" w:sz="0" w:space="0" w:color="auto"/>
      </w:divBdr>
    </w:div>
    <w:div w:id="15549140">
      <w:bodyDiv w:val="1"/>
      <w:marLeft w:val="0"/>
      <w:marRight w:val="0"/>
      <w:marTop w:val="0"/>
      <w:marBottom w:val="0"/>
      <w:divBdr>
        <w:top w:val="none" w:sz="0" w:space="0" w:color="auto"/>
        <w:left w:val="none" w:sz="0" w:space="0" w:color="auto"/>
        <w:bottom w:val="none" w:sz="0" w:space="0" w:color="auto"/>
        <w:right w:val="none" w:sz="0" w:space="0" w:color="auto"/>
      </w:divBdr>
    </w:div>
    <w:div w:id="26495627">
      <w:bodyDiv w:val="1"/>
      <w:marLeft w:val="0"/>
      <w:marRight w:val="0"/>
      <w:marTop w:val="0"/>
      <w:marBottom w:val="0"/>
      <w:divBdr>
        <w:top w:val="none" w:sz="0" w:space="0" w:color="auto"/>
        <w:left w:val="none" w:sz="0" w:space="0" w:color="auto"/>
        <w:bottom w:val="none" w:sz="0" w:space="0" w:color="auto"/>
        <w:right w:val="none" w:sz="0" w:space="0" w:color="auto"/>
      </w:divBdr>
    </w:div>
    <w:div w:id="26687176">
      <w:bodyDiv w:val="1"/>
      <w:marLeft w:val="0"/>
      <w:marRight w:val="0"/>
      <w:marTop w:val="0"/>
      <w:marBottom w:val="0"/>
      <w:divBdr>
        <w:top w:val="none" w:sz="0" w:space="0" w:color="auto"/>
        <w:left w:val="none" w:sz="0" w:space="0" w:color="auto"/>
        <w:bottom w:val="none" w:sz="0" w:space="0" w:color="auto"/>
        <w:right w:val="none" w:sz="0" w:space="0" w:color="auto"/>
      </w:divBdr>
    </w:div>
    <w:div w:id="66075717">
      <w:bodyDiv w:val="1"/>
      <w:marLeft w:val="0"/>
      <w:marRight w:val="0"/>
      <w:marTop w:val="0"/>
      <w:marBottom w:val="0"/>
      <w:divBdr>
        <w:top w:val="none" w:sz="0" w:space="0" w:color="auto"/>
        <w:left w:val="none" w:sz="0" w:space="0" w:color="auto"/>
        <w:bottom w:val="none" w:sz="0" w:space="0" w:color="auto"/>
        <w:right w:val="none" w:sz="0" w:space="0" w:color="auto"/>
      </w:divBdr>
    </w:div>
    <w:div w:id="68581952">
      <w:bodyDiv w:val="1"/>
      <w:marLeft w:val="0"/>
      <w:marRight w:val="0"/>
      <w:marTop w:val="0"/>
      <w:marBottom w:val="0"/>
      <w:divBdr>
        <w:top w:val="none" w:sz="0" w:space="0" w:color="auto"/>
        <w:left w:val="none" w:sz="0" w:space="0" w:color="auto"/>
        <w:bottom w:val="none" w:sz="0" w:space="0" w:color="auto"/>
        <w:right w:val="none" w:sz="0" w:space="0" w:color="auto"/>
      </w:divBdr>
    </w:div>
    <w:div w:id="81608373">
      <w:bodyDiv w:val="1"/>
      <w:marLeft w:val="0"/>
      <w:marRight w:val="0"/>
      <w:marTop w:val="0"/>
      <w:marBottom w:val="0"/>
      <w:divBdr>
        <w:top w:val="none" w:sz="0" w:space="0" w:color="auto"/>
        <w:left w:val="none" w:sz="0" w:space="0" w:color="auto"/>
        <w:bottom w:val="none" w:sz="0" w:space="0" w:color="auto"/>
        <w:right w:val="none" w:sz="0" w:space="0" w:color="auto"/>
      </w:divBdr>
    </w:div>
    <w:div w:id="87894935">
      <w:bodyDiv w:val="1"/>
      <w:marLeft w:val="0"/>
      <w:marRight w:val="0"/>
      <w:marTop w:val="0"/>
      <w:marBottom w:val="0"/>
      <w:divBdr>
        <w:top w:val="none" w:sz="0" w:space="0" w:color="auto"/>
        <w:left w:val="none" w:sz="0" w:space="0" w:color="auto"/>
        <w:bottom w:val="none" w:sz="0" w:space="0" w:color="auto"/>
        <w:right w:val="none" w:sz="0" w:space="0" w:color="auto"/>
      </w:divBdr>
    </w:div>
    <w:div w:id="103695089">
      <w:bodyDiv w:val="1"/>
      <w:marLeft w:val="0"/>
      <w:marRight w:val="0"/>
      <w:marTop w:val="0"/>
      <w:marBottom w:val="0"/>
      <w:divBdr>
        <w:top w:val="none" w:sz="0" w:space="0" w:color="auto"/>
        <w:left w:val="none" w:sz="0" w:space="0" w:color="auto"/>
        <w:bottom w:val="none" w:sz="0" w:space="0" w:color="auto"/>
        <w:right w:val="none" w:sz="0" w:space="0" w:color="auto"/>
      </w:divBdr>
    </w:div>
    <w:div w:id="164780939">
      <w:bodyDiv w:val="1"/>
      <w:marLeft w:val="0"/>
      <w:marRight w:val="0"/>
      <w:marTop w:val="0"/>
      <w:marBottom w:val="0"/>
      <w:divBdr>
        <w:top w:val="none" w:sz="0" w:space="0" w:color="auto"/>
        <w:left w:val="none" w:sz="0" w:space="0" w:color="auto"/>
        <w:bottom w:val="none" w:sz="0" w:space="0" w:color="auto"/>
        <w:right w:val="none" w:sz="0" w:space="0" w:color="auto"/>
      </w:divBdr>
    </w:div>
    <w:div w:id="167058839">
      <w:bodyDiv w:val="1"/>
      <w:marLeft w:val="0"/>
      <w:marRight w:val="0"/>
      <w:marTop w:val="0"/>
      <w:marBottom w:val="0"/>
      <w:divBdr>
        <w:top w:val="none" w:sz="0" w:space="0" w:color="auto"/>
        <w:left w:val="none" w:sz="0" w:space="0" w:color="auto"/>
        <w:bottom w:val="none" w:sz="0" w:space="0" w:color="auto"/>
        <w:right w:val="none" w:sz="0" w:space="0" w:color="auto"/>
      </w:divBdr>
    </w:div>
    <w:div w:id="216817600">
      <w:bodyDiv w:val="1"/>
      <w:marLeft w:val="0"/>
      <w:marRight w:val="0"/>
      <w:marTop w:val="0"/>
      <w:marBottom w:val="0"/>
      <w:divBdr>
        <w:top w:val="none" w:sz="0" w:space="0" w:color="auto"/>
        <w:left w:val="none" w:sz="0" w:space="0" w:color="auto"/>
        <w:bottom w:val="none" w:sz="0" w:space="0" w:color="auto"/>
        <w:right w:val="none" w:sz="0" w:space="0" w:color="auto"/>
      </w:divBdr>
    </w:div>
    <w:div w:id="223639906">
      <w:bodyDiv w:val="1"/>
      <w:marLeft w:val="0"/>
      <w:marRight w:val="0"/>
      <w:marTop w:val="0"/>
      <w:marBottom w:val="0"/>
      <w:divBdr>
        <w:top w:val="none" w:sz="0" w:space="0" w:color="auto"/>
        <w:left w:val="none" w:sz="0" w:space="0" w:color="auto"/>
        <w:bottom w:val="none" w:sz="0" w:space="0" w:color="auto"/>
        <w:right w:val="none" w:sz="0" w:space="0" w:color="auto"/>
      </w:divBdr>
    </w:div>
    <w:div w:id="229467639">
      <w:bodyDiv w:val="1"/>
      <w:marLeft w:val="0"/>
      <w:marRight w:val="0"/>
      <w:marTop w:val="0"/>
      <w:marBottom w:val="0"/>
      <w:divBdr>
        <w:top w:val="none" w:sz="0" w:space="0" w:color="auto"/>
        <w:left w:val="none" w:sz="0" w:space="0" w:color="auto"/>
        <w:bottom w:val="none" w:sz="0" w:space="0" w:color="auto"/>
        <w:right w:val="none" w:sz="0" w:space="0" w:color="auto"/>
      </w:divBdr>
    </w:div>
    <w:div w:id="294024853">
      <w:bodyDiv w:val="1"/>
      <w:marLeft w:val="0"/>
      <w:marRight w:val="0"/>
      <w:marTop w:val="0"/>
      <w:marBottom w:val="0"/>
      <w:divBdr>
        <w:top w:val="none" w:sz="0" w:space="0" w:color="auto"/>
        <w:left w:val="none" w:sz="0" w:space="0" w:color="auto"/>
        <w:bottom w:val="none" w:sz="0" w:space="0" w:color="auto"/>
        <w:right w:val="none" w:sz="0" w:space="0" w:color="auto"/>
      </w:divBdr>
    </w:div>
    <w:div w:id="315575818">
      <w:bodyDiv w:val="1"/>
      <w:marLeft w:val="0"/>
      <w:marRight w:val="0"/>
      <w:marTop w:val="0"/>
      <w:marBottom w:val="0"/>
      <w:divBdr>
        <w:top w:val="none" w:sz="0" w:space="0" w:color="auto"/>
        <w:left w:val="none" w:sz="0" w:space="0" w:color="auto"/>
        <w:bottom w:val="none" w:sz="0" w:space="0" w:color="auto"/>
        <w:right w:val="none" w:sz="0" w:space="0" w:color="auto"/>
      </w:divBdr>
    </w:div>
    <w:div w:id="426460172">
      <w:bodyDiv w:val="1"/>
      <w:marLeft w:val="0"/>
      <w:marRight w:val="0"/>
      <w:marTop w:val="0"/>
      <w:marBottom w:val="0"/>
      <w:divBdr>
        <w:top w:val="none" w:sz="0" w:space="0" w:color="auto"/>
        <w:left w:val="none" w:sz="0" w:space="0" w:color="auto"/>
        <w:bottom w:val="none" w:sz="0" w:space="0" w:color="auto"/>
        <w:right w:val="none" w:sz="0" w:space="0" w:color="auto"/>
      </w:divBdr>
    </w:div>
    <w:div w:id="440497158">
      <w:bodyDiv w:val="1"/>
      <w:marLeft w:val="0"/>
      <w:marRight w:val="0"/>
      <w:marTop w:val="0"/>
      <w:marBottom w:val="0"/>
      <w:divBdr>
        <w:top w:val="none" w:sz="0" w:space="0" w:color="auto"/>
        <w:left w:val="none" w:sz="0" w:space="0" w:color="auto"/>
        <w:bottom w:val="none" w:sz="0" w:space="0" w:color="auto"/>
        <w:right w:val="none" w:sz="0" w:space="0" w:color="auto"/>
      </w:divBdr>
    </w:div>
    <w:div w:id="487285952">
      <w:bodyDiv w:val="1"/>
      <w:marLeft w:val="0"/>
      <w:marRight w:val="0"/>
      <w:marTop w:val="0"/>
      <w:marBottom w:val="0"/>
      <w:divBdr>
        <w:top w:val="none" w:sz="0" w:space="0" w:color="auto"/>
        <w:left w:val="none" w:sz="0" w:space="0" w:color="auto"/>
        <w:bottom w:val="none" w:sz="0" w:space="0" w:color="auto"/>
        <w:right w:val="none" w:sz="0" w:space="0" w:color="auto"/>
      </w:divBdr>
      <w:divsChild>
        <w:div w:id="2051493987">
          <w:marLeft w:val="446"/>
          <w:marRight w:val="0"/>
          <w:marTop w:val="0"/>
          <w:marBottom w:val="240"/>
          <w:divBdr>
            <w:top w:val="none" w:sz="0" w:space="0" w:color="auto"/>
            <w:left w:val="none" w:sz="0" w:space="0" w:color="auto"/>
            <w:bottom w:val="none" w:sz="0" w:space="0" w:color="auto"/>
            <w:right w:val="none" w:sz="0" w:space="0" w:color="auto"/>
          </w:divBdr>
        </w:div>
        <w:div w:id="886182630">
          <w:marLeft w:val="446"/>
          <w:marRight w:val="0"/>
          <w:marTop w:val="0"/>
          <w:marBottom w:val="240"/>
          <w:divBdr>
            <w:top w:val="none" w:sz="0" w:space="0" w:color="auto"/>
            <w:left w:val="none" w:sz="0" w:space="0" w:color="auto"/>
            <w:bottom w:val="none" w:sz="0" w:space="0" w:color="auto"/>
            <w:right w:val="none" w:sz="0" w:space="0" w:color="auto"/>
          </w:divBdr>
        </w:div>
      </w:divsChild>
    </w:div>
    <w:div w:id="495271555">
      <w:bodyDiv w:val="1"/>
      <w:marLeft w:val="0"/>
      <w:marRight w:val="0"/>
      <w:marTop w:val="0"/>
      <w:marBottom w:val="0"/>
      <w:divBdr>
        <w:top w:val="none" w:sz="0" w:space="0" w:color="auto"/>
        <w:left w:val="none" w:sz="0" w:space="0" w:color="auto"/>
        <w:bottom w:val="none" w:sz="0" w:space="0" w:color="auto"/>
        <w:right w:val="none" w:sz="0" w:space="0" w:color="auto"/>
      </w:divBdr>
    </w:div>
    <w:div w:id="498425478">
      <w:bodyDiv w:val="1"/>
      <w:marLeft w:val="0"/>
      <w:marRight w:val="0"/>
      <w:marTop w:val="0"/>
      <w:marBottom w:val="0"/>
      <w:divBdr>
        <w:top w:val="none" w:sz="0" w:space="0" w:color="auto"/>
        <w:left w:val="none" w:sz="0" w:space="0" w:color="auto"/>
        <w:bottom w:val="none" w:sz="0" w:space="0" w:color="auto"/>
        <w:right w:val="none" w:sz="0" w:space="0" w:color="auto"/>
      </w:divBdr>
    </w:div>
    <w:div w:id="527067725">
      <w:bodyDiv w:val="1"/>
      <w:marLeft w:val="0"/>
      <w:marRight w:val="0"/>
      <w:marTop w:val="0"/>
      <w:marBottom w:val="0"/>
      <w:divBdr>
        <w:top w:val="none" w:sz="0" w:space="0" w:color="auto"/>
        <w:left w:val="none" w:sz="0" w:space="0" w:color="auto"/>
        <w:bottom w:val="none" w:sz="0" w:space="0" w:color="auto"/>
        <w:right w:val="none" w:sz="0" w:space="0" w:color="auto"/>
      </w:divBdr>
    </w:div>
    <w:div w:id="534198335">
      <w:bodyDiv w:val="1"/>
      <w:marLeft w:val="0"/>
      <w:marRight w:val="0"/>
      <w:marTop w:val="0"/>
      <w:marBottom w:val="0"/>
      <w:divBdr>
        <w:top w:val="none" w:sz="0" w:space="0" w:color="auto"/>
        <w:left w:val="none" w:sz="0" w:space="0" w:color="auto"/>
        <w:bottom w:val="none" w:sz="0" w:space="0" w:color="auto"/>
        <w:right w:val="none" w:sz="0" w:space="0" w:color="auto"/>
      </w:divBdr>
    </w:div>
    <w:div w:id="573852612">
      <w:bodyDiv w:val="1"/>
      <w:marLeft w:val="0"/>
      <w:marRight w:val="0"/>
      <w:marTop w:val="0"/>
      <w:marBottom w:val="0"/>
      <w:divBdr>
        <w:top w:val="none" w:sz="0" w:space="0" w:color="auto"/>
        <w:left w:val="none" w:sz="0" w:space="0" w:color="auto"/>
        <w:bottom w:val="none" w:sz="0" w:space="0" w:color="auto"/>
        <w:right w:val="none" w:sz="0" w:space="0" w:color="auto"/>
      </w:divBdr>
    </w:div>
    <w:div w:id="579876358">
      <w:bodyDiv w:val="1"/>
      <w:marLeft w:val="0"/>
      <w:marRight w:val="0"/>
      <w:marTop w:val="0"/>
      <w:marBottom w:val="0"/>
      <w:divBdr>
        <w:top w:val="none" w:sz="0" w:space="0" w:color="auto"/>
        <w:left w:val="none" w:sz="0" w:space="0" w:color="auto"/>
        <w:bottom w:val="none" w:sz="0" w:space="0" w:color="auto"/>
        <w:right w:val="none" w:sz="0" w:space="0" w:color="auto"/>
      </w:divBdr>
    </w:div>
    <w:div w:id="592737574">
      <w:bodyDiv w:val="1"/>
      <w:marLeft w:val="0"/>
      <w:marRight w:val="0"/>
      <w:marTop w:val="0"/>
      <w:marBottom w:val="0"/>
      <w:divBdr>
        <w:top w:val="none" w:sz="0" w:space="0" w:color="auto"/>
        <w:left w:val="none" w:sz="0" w:space="0" w:color="auto"/>
        <w:bottom w:val="none" w:sz="0" w:space="0" w:color="auto"/>
        <w:right w:val="none" w:sz="0" w:space="0" w:color="auto"/>
      </w:divBdr>
    </w:div>
    <w:div w:id="624703162">
      <w:bodyDiv w:val="1"/>
      <w:marLeft w:val="0"/>
      <w:marRight w:val="0"/>
      <w:marTop w:val="0"/>
      <w:marBottom w:val="0"/>
      <w:divBdr>
        <w:top w:val="none" w:sz="0" w:space="0" w:color="auto"/>
        <w:left w:val="none" w:sz="0" w:space="0" w:color="auto"/>
        <w:bottom w:val="none" w:sz="0" w:space="0" w:color="auto"/>
        <w:right w:val="none" w:sz="0" w:space="0" w:color="auto"/>
      </w:divBdr>
    </w:div>
    <w:div w:id="657003154">
      <w:bodyDiv w:val="1"/>
      <w:marLeft w:val="0"/>
      <w:marRight w:val="0"/>
      <w:marTop w:val="0"/>
      <w:marBottom w:val="0"/>
      <w:divBdr>
        <w:top w:val="none" w:sz="0" w:space="0" w:color="auto"/>
        <w:left w:val="none" w:sz="0" w:space="0" w:color="auto"/>
        <w:bottom w:val="none" w:sz="0" w:space="0" w:color="auto"/>
        <w:right w:val="none" w:sz="0" w:space="0" w:color="auto"/>
      </w:divBdr>
    </w:div>
    <w:div w:id="669603026">
      <w:bodyDiv w:val="1"/>
      <w:marLeft w:val="0"/>
      <w:marRight w:val="0"/>
      <w:marTop w:val="0"/>
      <w:marBottom w:val="0"/>
      <w:divBdr>
        <w:top w:val="none" w:sz="0" w:space="0" w:color="auto"/>
        <w:left w:val="none" w:sz="0" w:space="0" w:color="auto"/>
        <w:bottom w:val="none" w:sz="0" w:space="0" w:color="auto"/>
        <w:right w:val="none" w:sz="0" w:space="0" w:color="auto"/>
      </w:divBdr>
    </w:div>
    <w:div w:id="669868051">
      <w:bodyDiv w:val="1"/>
      <w:marLeft w:val="0"/>
      <w:marRight w:val="0"/>
      <w:marTop w:val="0"/>
      <w:marBottom w:val="0"/>
      <w:divBdr>
        <w:top w:val="none" w:sz="0" w:space="0" w:color="auto"/>
        <w:left w:val="none" w:sz="0" w:space="0" w:color="auto"/>
        <w:bottom w:val="none" w:sz="0" w:space="0" w:color="auto"/>
        <w:right w:val="none" w:sz="0" w:space="0" w:color="auto"/>
      </w:divBdr>
    </w:div>
    <w:div w:id="680854456">
      <w:bodyDiv w:val="1"/>
      <w:marLeft w:val="0"/>
      <w:marRight w:val="0"/>
      <w:marTop w:val="0"/>
      <w:marBottom w:val="0"/>
      <w:divBdr>
        <w:top w:val="none" w:sz="0" w:space="0" w:color="auto"/>
        <w:left w:val="none" w:sz="0" w:space="0" w:color="auto"/>
        <w:bottom w:val="none" w:sz="0" w:space="0" w:color="auto"/>
        <w:right w:val="none" w:sz="0" w:space="0" w:color="auto"/>
      </w:divBdr>
    </w:div>
    <w:div w:id="694961951">
      <w:bodyDiv w:val="1"/>
      <w:marLeft w:val="0"/>
      <w:marRight w:val="0"/>
      <w:marTop w:val="0"/>
      <w:marBottom w:val="0"/>
      <w:divBdr>
        <w:top w:val="none" w:sz="0" w:space="0" w:color="auto"/>
        <w:left w:val="none" w:sz="0" w:space="0" w:color="auto"/>
        <w:bottom w:val="none" w:sz="0" w:space="0" w:color="auto"/>
        <w:right w:val="none" w:sz="0" w:space="0" w:color="auto"/>
      </w:divBdr>
    </w:div>
    <w:div w:id="731348627">
      <w:bodyDiv w:val="1"/>
      <w:marLeft w:val="0"/>
      <w:marRight w:val="0"/>
      <w:marTop w:val="0"/>
      <w:marBottom w:val="0"/>
      <w:divBdr>
        <w:top w:val="none" w:sz="0" w:space="0" w:color="auto"/>
        <w:left w:val="none" w:sz="0" w:space="0" w:color="auto"/>
        <w:bottom w:val="none" w:sz="0" w:space="0" w:color="auto"/>
        <w:right w:val="none" w:sz="0" w:space="0" w:color="auto"/>
      </w:divBdr>
      <w:divsChild>
        <w:div w:id="1743679002">
          <w:marLeft w:val="446"/>
          <w:marRight w:val="0"/>
          <w:marTop w:val="0"/>
          <w:marBottom w:val="240"/>
          <w:divBdr>
            <w:top w:val="none" w:sz="0" w:space="0" w:color="auto"/>
            <w:left w:val="none" w:sz="0" w:space="0" w:color="auto"/>
            <w:bottom w:val="none" w:sz="0" w:space="0" w:color="auto"/>
            <w:right w:val="none" w:sz="0" w:space="0" w:color="auto"/>
          </w:divBdr>
        </w:div>
        <w:div w:id="894658415">
          <w:marLeft w:val="446"/>
          <w:marRight w:val="0"/>
          <w:marTop w:val="0"/>
          <w:marBottom w:val="240"/>
          <w:divBdr>
            <w:top w:val="none" w:sz="0" w:space="0" w:color="auto"/>
            <w:left w:val="none" w:sz="0" w:space="0" w:color="auto"/>
            <w:bottom w:val="none" w:sz="0" w:space="0" w:color="auto"/>
            <w:right w:val="none" w:sz="0" w:space="0" w:color="auto"/>
          </w:divBdr>
        </w:div>
      </w:divsChild>
    </w:div>
    <w:div w:id="790588190">
      <w:bodyDiv w:val="1"/>
      <w:marLeft w:val="0"/>
      <w:marRight w:val="0"/>
      <w:marTop w:val="0"/>
      <w:marBottom w:val="0"/>
      <w:divBdr>
        <w:top w:val="none" w:sz="0" w:space="0" w:color="auto"/>
        <w:left w:val="none" w:sz="0" w:space="0" w:color="auto"/>
        <w:bottom w:val="none" w:sz="0" w:space="0" w:color="auto"/>
        <w:right w:val="none" w:sz="0" w:space="0" w:color="auto"/>
      </w:divBdr>
    </w:div>
    <w:div w:id="791168118">
      <w:bodyDiv w:val="1"/>
      <w:marLeft w:val="0"/>
      <w:marRight w:val="0"/>
      <w:marTop w:val="0"/>
      <w:marBottom w:val="0"/>
      <w:divBdr>
        <w:top w:val="none" w:sz="0" w:space="0" w:color="auto"/>
        <w:left w:val="none" w:sz="0" w:space="0" w:color="auto"/>
        <w:bottom w:val="none" w:sz="0" w:space="0" w:color="auto"/>
        <w:right w:val="none" w:sz="0" w:space="0" w:color="auto"/>
      </w:divBdr>
    </w:div>
    <w:div w:id="835727948">
      <w:bodyDiv w:val="1"/>
      <w:marLeft w:val="0"/>
      <w:marRight w:val="0"/>
      <w:marTop w:val="0"/>
      <w:marBottom w:val="0"/>
      <w:divBdr>
        <w:top w:val="none" w:sz="0" w:space="0" w:color="auto"/>
        <w:left w:val="none" w:sz="0" w:space="0" w:color="auto"/>
        <w:bottom w:val="none" w:sz="0" w:space="0" w:color="auto"/>
        <w:right w:val="none" w:sz="0" w:space="0" w:color="auto"/>
      </w:divBdr>
      <w:divsChild>
        <w:div w:id="786003881">
          <w:marLeft w:val="446"/>
          <w:marRight w:val="0"/>
          <w:marTop w:val="0"/>
          <w:marBottom w:val="240"/>
          <w:divBdr>
            <w:top w:val="none" w:sz="0" w:space="0" w:color="auto"/>
            <w:left w:val="none" w:sz="0" w:space="0" w:color="auto"/>
            <w:bottom w:val="none" w:sz="0" w:space="0" w:color="auto"/>
            <w:right w:val="none" w:sz="0" w:space="0" w:color="auto"/>
          </w:divBdr>
        </w:div>
        <w:div w:id="672488729">
          <w:marLeft w:val="446"/>
          <w:marRight w:val="0"/>
          <w:marTop w:val="0"/>
          <w:marBottom w:val="240"/>
          <w:divBdr>
            <w:top w:val="none" w:sz="0" w:space="0" w:color="auto"/>
            <w:left w:val="none" w:sz="0" w:space="0" w:color="auto"/>
            <w:bottom w:val="none" w:sz="0" w:space="0" w:color="auto"/>
            <w:right w:val="none" w:sz="0" w:space="0" w:color="auto"/>
          </w:divBdr>
        </w:div>
      </w:divsChild>
    </w:div>
    <w:div w:id="836842962">
      <w:bodyDiv w:val="1"/>
      <w:marLeft w:val="0"/>
      <w:marRight w:val="0"/>
      <w:marTop w:val="0"/>
      <w:marBottom w:val="0"/>
      <w:divBdr>
        <w:top w:val="none" w:sz="0" w:space="0" w:color="auto"/>
        <w:left w:val="none" w:sz="0" w:space="0" w:color="auto"/>
        <w:bottom w:val="none" w:sz="0" w:space="0" w:color="auto"/>
        <w:right w:val="none" w:sz="0" w:space="0" w:color="auto"/>
      </w:divBdr>
    </w:div>
    <w:div w:id="871723830">
      <w:bodyDiv w:val="1"/>
      <w:marLeft w:val="0"/>
      <w:marRight w:val="0"/>
      <w:marTop w:val="0"/>
      <w:marBottom w:val="0"/>
      <w:divBdr>
        <w:top w:val="none" w:sz="0" w:space="0" w:color="auto"/>
        <w:left w:val="none" w:sz="0" w:space="0" w:color="auto"/>
        <w:bottom w:val="none" w:sz="0" w:space="0" w:color="auto"/>
        <w:right w:val="none" w:sz="0" w:space="0" w:color="auto"/>
      </w:divBdr>
      <w:divsChild>
        <w:div w:id="747116607">
          <w:marLeft w:val="547"/>
          <w:marRight w:val="0"/>
          <w:marTop w:val="0"/>
          <w:marBottom w:val="0"/>
          <w:divBdr>
            <w:top w:val="none" w:sz="0" w:space="0" w:color="auto"/>
            <w:left w:val="none" w:sz="0" w:space="0" w:color="auto"/>
            <w:bottom w:val="none" w:sz="0" w:space="0" w:color="auto"/>
            <w:right w:val="none" w:sz="0" w:space="0" w:color="auto"/>
          </w:divBdr>
        </w:div>
      </w:divsChild>
    </w:div>
    <w:div w:id="875777479">
      <w:bodyDiv w:val="1"/>
      <w:marLeft w:val="0"/>
      <w:marRight w:val="0"/>
      <w:marTop w:val="0"/>
      <w:marBottom w:val="0"/>
      <w:divBdr>
        <w:top w:val="none" w:sz="0" w:space="0" w:color="auto"/>
        <w:left w:val="none" w:sz="0" w:space="0" w:color="auto"/>
        <w:bottom w:val="none" w:sz="0" w:space="0" w:color="auto"/>
        <w:right w:val="none" w:sz="0" w:space="0" w:color="auto"/>
      </w:divBdr>
    </w:div>
    <w:div w:id="881986420">
      <w:bodyDiv w:val="1"/>
      <w:marLeft w:val="0"/>
      <w:marRight w:val="0"/>
      <w:marTop w:val="0"/>
      <w:marBottom w:val="0"/>
      <w:divBdr>
        <w:top w:val="none" w:sz="0" w:space="0" w:color="auto"/>
        <w:left w:val="none" w:sz="0" w:space="0" w:color="auto"/>
        <w:bottom w:val="none" w:sz="0" w:space="0" w:color="auto"/>
        <w:right w:val="none" w:sz="0" w:space="0" w:color="auto"/>
      </w:divBdr>
    </w:div>
    <w:div w:id="955059358">
      <w:bodyDiv w:val="1"/>
      <w:marLeft w:val="0"/>
      <w:marRight w:val="0"/>
      <w:marTop w:val="0"/>
      <w:marBottom w:val="0"/>
      <w:divBdr>
        <w:top w:val="none" w:sz="0" w:space="0" w:color="auto"/>
        <w:left w:val="none" w:sz="0" w:space="0" w:color="auto"/>
        <w:bottom w:val="none" w:sz="0" w:space="0" w:color="auto"/>
        <w:right w:val="none" w:sz="0" w:space="0" w:color="auto"/>
      </w:divBdr>
    </w:div>
    <w:div w:id="963345936">
      <w:bodyDiv w:val="1"/>
      <w:marLeft w:val="0"/>
      <w:marRight w:val="0"/>
      <w:marTop w:val="0"/>
      <w:marBottom w:val="0"/>
      <w:divBdr>
        <w:top w:val="none" w:sz="0" w:space="0" w:color="auto"/>
        <w:left w:val="none" w:sz="0" w:space="0" w:color="auto"/>
        <w:bottom w:val="none" w:sz="0" w:space="0" w:color="auto"/>
        <w:right w:val="none" w:sz="0" w:space="0" w:color="auto"/>
      </w:divBdr>
    </w:div>
    <w:div w:id="1063022690">
      <w:bodyDiv w:val="1"/>
      <w:marLeft w:val="0"/>
      <w:marRight w:val="0"/>
      <w:marTop w:val="0"/>
      <w:marBottom w:val="0"/>
      <w:divBdr>
        <w:top w:val="none" w:sz="0" w:space="0" w:color="auto"/>
        <w:left w:val="none" w:sz="0" w:space="0" w:color="auto"/>
        <w:bottom w:val="none" w:sz="0" w:space="0" w:color="auto"/>
        <w:right w:val="none" w:sz="0" w:space="0" w:color="auto"/>
      </w:divBdr>
    </w:div>
    <w:div w:id="1066226145">
      <w:bodyDiv w:val="1"/>
      <w:marLeft w:val="0"/>
      <w:marRight w:val="0"/>
      <w:marTop w:val="0"/>
      <w:marBottom w:val="0"/>
      <w:divBdr>
        <w:top w:val="none" w:sz="0" w:space="0" w:color="auto"/>
        <w:left w:val="none" w:sz="0" w:space="0" w:color="auto"/>
        <w:bottom w:val="none" w:sz="0" w:space="0" w:color="auto"/>
        <w:right w:val="none" w:sz="0" w:space="0" w:color="auto"/>
      </w:divBdr>
    </w:div>
    <w:div w:id="1067190697">
      <w:bodyDiv w:val="1"/>
      <w:marLeft w:val="0"/>
      <w:marRight w:val="0"/>
      <w:marTop w:val="0"/>
      <w:marBottom w:val="0"/>
      <w:divBdr>
        <w:top w:val="none" w:sz="0" w:space="0" w:color="auto"/>
        <w:left w:val="none" w:sz="0" w:space="0" w:color="auto"/>
        <w:bottom w:val="none" w:sz="0" w:space="0" w:color="auto"/>
        <w:right w:val="none" w:sz="0" w:space="0" w:color="auto"/>
      </w:divBdr>
    </w:div>
    <w:div w:id="1108891941">
      <w:bodyDiv w:val="1"/>
      <w:marLeft w:val="0"/>
      <w:marRight w:val="0"/>
      <w:marTop w:val="0"/>
      <w:marBottom w:val="0"/>
      <w:divBdr>
        <w:top w:val="none" w:sz="0" w:space="0" w:color="auto"/>
        <w:left w:val="none" w:sz="0" w:space="0" w:color="auto"/>
        <w:bottom w:val="none" w:sz="0" w:space="0" w:color="auto"/>
        <w:right w:val="none" w:sz="0" w:space="0" w:color="auto"/>
      </w:divBdr>
    </w:div>
    <w:div w:id="1116752170">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37528136">
      <w:bodyDiv w:val="1"/>
      <w:marLeft w:val="0"/>
      <w:marRight w:val="0"/>
      <w:marTop w:val="0"/>
      <w:marBottom w:val="0"/>
      <w:divBdr>
        <w:top w:val="none" w:sz="0" w:space="0" w:color="auto"/>
        <w:left w:val="none" w:sz="0" w:space="0" w:color="auto"/>
        <w:bottom w:val="none" w:sz="0" w:space="0" w:color="auto"/>
        <w:right w:val="none" w:sz="0" w:space="0" w:color="auto"/>
      </w:divBdr>
    </w:div>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199733986">
      <w:bodyDiv w:val="1"/>
      <w:marLeft w:val="0"/>
      <w:marRight w:val="0"/>
      <w:marTop w:val="0"/>
      <w:marBottom w:val="0"/>
      <w:divBdr>
        <w:top w:val="none" w:sz="0" w:space="0" w:color="auto"/>
        <w:left w:val="none" w:sz="0" w:space="0" w:color="auto"/>
        <w:bottom w:val="none" w:sz="0" w:space="0" w:color="auto"/>
        <w:right w:val="none" w:sz="0" w:space="0" w:color="auto"/>
      </w:divBdr>
    </w:div>
    <w:div w:id="1200052231">
      <w:bodyDiv w:val="1"/>
      <w:marLeft w:val="0"/>
      <w:marRight w:val="0"/>
      <w:marTop w:val="0"/>
      <w:marBottom w:val="0"/>
      <w:divBdr>
        <w:top w:val="none" w:sz="0" w:space="0" w:color="auto"/>
        <w:left w:val="none" w:sz="0" w:space="0" w:color="auto"/>
        <w:bottom w:val="none" w:sz="0" w:space="0" w:color="auto"/>
        <w:right w:val="none" w:sz="0" w:space="0" w:color="auto"/>
      </w:divBdr>
    </w:div>
    <w:div w:id="1215847511">
      <w:bodyDiv w:val="1"/>
      <w:marLeft w:val="0"/>
      <w:marRight w:val="0"/>
      <w:marTop w:val="0"/>
      <w:marBottom w:val="0"/>
      <w:divBdr>
        <w:top w:val="none" w:sz="0" w:space="0" w:color="auto"/>
        <w:left w:val="none" w:sz="0" w:space="0" w:color="auto"/>
        <w:bottom w:val="none" w:sz="0" w:space="0" w:color="auto"/>
        <w:right w:val="none" w:sz="0" w:space="0" w:color="auto"/>
      </w:divBdr>
    </w:div>
    <w:div w:id="1218853823">
      <w:bodyDiv w:val="1"/>
      <w:marLeft w:val="0"/>
      <w:marRight w:val="0"/>
      <w:marTop w:val="0"/>
      <w:marBottom w:val="0"/>
      <w:divBdr>
        <w:top w:val="none" w:sz="0" w:space="0" w:color="auto"/>
        <w:left w:val="none" w:sz="0" w:space="0" w:color="auto"/>
        <w:bottom w:val="none" w:sz="0" w:space="0" w:color="auto"/>
        <w:right w:val="none" w:sz="0" w:space="0" w:color="auto"/>
      </w:divBdr>
    </w:div>
    <w:div w:id="1218856942">
      <w:bodyDiv w:val="1"/>
      <w:marLeft w:val="0"/>
      <w:marRight w:val="0"/>
      <w:marTop w:val="0"/>
      <w:marBottom w:val="0"/>
      <w:divBdr>
        <w:top w:val="none" w:sz="0" w:space="0" w:color="auto"/>
        <w:left w:val="none" w:sz="0" w:space="0" w:color="auto"/>
        <w:bottom w:val="none" w:sz="0" w:space="0" w:color="auto"/>
        <w:right w:val="none" w:sz="0" w:space="0" w:color="auto"/>
      </w:divBdr>
    </w:div>
    <w:div w:id="1226991962">
      <w:bodyDiv w:val="1"/>
      <w:marLeft w:val="0"/>
      <w:marRight w:val="0"/>
      <w:marTop w:val="0"/>
      <w:marBottom w:val="0"/>
      <w:divBdr>
        <w:top w:val="none" w:sz="0" w:space="0" w:color="auto"/>
        <w:left w:val="none" w:sz="0" w:space="0" w:color="auto"/>
        <w:bottom w:val="none" w:sz="0" w:space="0" w:color="auto"/>
        <w:right w:val="none" w:sz="0" w:space="0" w:color="auto"/>
      </w:divBdr>
    </w:div>
    <w:div w:id="1234773187">
      <w:bodyDiv w:val="1"/>
      <w:marLeft w:val="0"/>
      <w:marRight w:val="0"/>
      <w:marTop w:val="0"/>
      <w:marBottom w:val="0"/>
      <w:divBdr>
        <w:top w:val="none" w:sz="0" w:space="0" w:color="auto"/>
        <w:left w:val="none" w:sz="0" w:space="0" w:color="auto"/>
        <w:bottom w:val="none" w:sz="0" w:space="0" w:color="auto"/>
        <w:right w:val="none" w:sz="0" w:space="0" w:color="auto"/>
      </w:divBdr>
    </w:div>
    <w:div w:id="1254633878">
      <w:bodyDiv w:val="1"/>
      <w:marLeft w:val="0"/>
      <w:marRight w:val="0"/>
      <w:marTop w:val="0"/>
      <w:marBottom w:val="0"/>
      <w:divBdr>
        <w:top w:val="none" w:sz="0" w:space="0" w:color="auto"/>
        <w:left w:val="none" w:sz="0" w:space="0" w:color="auto"/>
        <w:bottom w:val="none" w:sz="0" w:space="0" w:color="auto"/>
        <w:right w:val="none" w:sz="0" w:space="0" w:color="auto"/>
      </w:divBdr>
    </w:div>
    <w:div w:id="1289508970">
      <w:bodyDiv w:val="1"/>
      <w:marLeft w:val="0"/>
      <w:marRight w:val="0"/>
      <w:marTop w:val="0"/>
      <w:marBottom w:val="0"/>
      <w:divBdr>
        <w:top w:val="none" w:sz="0" w:space="0" w:color="auto"/>
        <w:left w:val="none" w:sz="0" w:space="0" w:color="auto"/>
        <w:bottom w:val="none" w:sz="0" w:space="0" w:color="auto"/>
        <w:right w:val="none" w:sz="0" w:space="0" w:color="auto"/>
      </w:divBdr>
    </w:div>
    <w:div w:id="1297375852">
      <w:bodyDiv w:val="1"/>
      <w:marLeft w:val="0"/>
      <w:marRight w:val="0"/>
      <w:marTop w:val="0"/>
      <w:marBottom w:val="0"/>
      <w:divBdr>
        <w:top w:val="none" w:sz="0" w:space="0" w:color="auto"/>
        <w:left w:val="none" w:sz="0" w:space="0" w:color="auto"/>
        <w:bottom w:val="none" w:sz="0" w:space="0" w:color="auto"/>
        <w:right w:val="none" w:sz="0" w:space="0" w:color="auto"/>
      </w:divBdr>
    </w:div>
    <w:div w:id="1342316012">
      <w:bodyDiv w:val="1"/>
      <w:marLeft w:val="0"/>
      <w:marRight w:val="0"/>
      <w:marTop w:val="0"/>
      <w:marBottom w:val="0"/>
      <w:divBdr>
        <w:top w:val="none" w:sz="0" w:space="0" w:color="auto"/>
        <w:left w:val="none" w:sz="0" w:space="0" w:color="auto"/>
        <w:bottom w:val="none" w:sz="0" w:space="0" w:color="auto"/>
        <w:right w:val="none" w:sz="0" w:space="0" w:color="auto"/>
      </w:divBdr>
    </w:div>
    <w:div w:id="1385517914">
      <w:bodyDiv w:val="1"/>
      <w:marLeft w:val="0"/>
      <w:marRight w:val="0"/>
      <w:marTop w:val="0"/>
      <w:marBottom w:val="0"/>
      <w:divBdr>
        <w:top w:val="none" w:sz="0" w:space="0" w:color="auto"/>
        <w:left w:val="none" w:sz="0" w:space="0" w:color="auto"/>
        <w:bottom w:val="none" w:sz="0" w:space="0" w:color="auto"/>
        <w:right w:val="none" w:sz="0" w:space="0" w:color="auto"/>
      </w:divBdr>
    </w:div>
    <w:div w:id="1418751947">
      <w:bodyDiv w:val="1"/>
      <w:marLeft w:val="0"/>
      <w:marRight w:val="0"/>
      <w:marTop w:val="0"/>
      <w:marBottom w:val="0"/>
      <w:divBdr>
        <w:top w:val="none" w:sz="0" w:space="0" w:color="auto"/>
        <w:left w:val="none" w:sz="0" w:space="0" w:color="auto"/>
        <w:bottom w:val="none" w:sz="0" w:space="0" w:color="auto"/>
        <w:right w:val="none" w:sz="0" w:space="0" w:color="auto"/>
      </w:divBdr>
    </w:div>
    <w:div w:id="1436830376">
      <w:bodyDiv w:val="1"/>
      <w:marLeft w:val="0"/>
      <w:marRight w:val="0"/>
      <w:marTop w:val="0"/>
      <w:marBottom w:val="0"/>
      <w:divBdr>
        <w:top w:val="none" w:sz="0" w:space="0" w:color="auto"/>
        <w:left w:val="none" w:sz="0" w:space="0" w:color="auto"/>
        <w:bottom w:val="none" w:sz="0" w:space="0" w:color="auto"/>
        <w:right w:val="none" w:sz="0" w:space="0" w:color="auto"/>
      </w:divBdr>
      <w:divsChild>
        <w:div w:id="144782946">
          <w:marLeft w:val="274"/>
          <w:marRight w:val="0"/>
          <w:marTop w:val="240"/>
          <w:marBottom w:val="0"/>
          <w:divBdr>
            <w:top w:val="none" w:sz="0" w:space="0" w:color="auto"/>
            <w:left w:val="none" w:sz="0" w:space="0" w:color="auto"/>
            <w:bottom w:val="none" w:sz="0" w:space="0" w:color="auto"/>
            <w:right w:val="none" w:sz="0" w:space="0" w:color="auto"/>
          </w:divBdr>
        </w:div>
        <w:div w:id="491137957">
          <w:marLeft w:val="274"/>
          <w:marRight w:val="0"/>
          <w:marTop w:val="240"/>
          <w:marBottom w:val="0"/>
          <w:divBdr>
            <w:top w:val="none" w:sz="0" w:space="0" w:color="auto"/>
            <w:left w:val="none" w:sz="0" w:space="0" w:color="auto"/>
            <w:bottom w:val="none" w:sz="0" w:space="0" w:color="auto"/>
            <w:right w:val="none" w:sz="0" w:space="0" w:color="auto"/>
          </w:divBdr>
        </w:div>
        <w:div w:id="1125197605">
          <w:marLeft w:val="274"/>
          <w:marRight w:val="0"/>
          <w:marTop w:val="240"/>
          <w:marBottom w:val="0"/>
          <w:divBdr>
            <w:top w:val="none" w:sz="0" w:space="0" w:color="auto"/>
            <w:left w:val="none" w:sz="0" w:space="0" w:color="auto"/>
            <w:bottom w:val="none" w:sz="0" w:space="0" w:color="auto"/>
            <w:right w:val="none" w:sz="0" w:space="0" w:color="auto"/>
          </w:divBdr>
        </w:div>
        <w:div w:id="1593199210">
          <w:marLeft w:val="274"/>
          <w:marRight w:val="0"/>
          <w:marTop w:val="240"/>
          <w:marBottom w:val="0"/>
          <w:divBdr>
            <w:top w:val="none" w:sz="0" w:space="0" w:color="auto"/>
            <w:left w:val="none" w:sz="0" w:space="0" w:color="auto"/>
            <w:bottom w:val="none" w:sz="0" w:space="0" w:color="auto"/>
            <w:right w:val="none" w:sz="0" w:space="0" w:color="auto"/>
          </w:divBdr>
        </w:div>
        <w:div w:id="408815008">
          <w:marLeft w:val="274"/>
          <w:marRight w:val="0"/>
          <w:marTop w:val="240"/>
          <w:marBottom w:val="0"/>
          <w:divBdr>
            <w:top w:val="none" w:sz="0" w:space="0" w:color="auto"/>
            <w:left w:val="none" w:sz="0" w:space="0" w:color="auto"/>
            <w:bottom w:val="none" w:sz="0" w:space="0" w:color="auto"/>
            <w:right w:val="none" w:sz="0" w:space="0" w:color="auto"/>
          </w:divBdr>
        </w:div>
      </w:divsChild>
    </w:div>
    <w:div w:id="1447774563">
      <w:bodyDiv w:val="1"/>
      <w:marLeft w:val="0"/>
      <w:marRight w:val="0"/>
      <w:marTop w:val="0"/>
      <w:marBottom w:val="0"/>
      <w:divBdr>
        <w:top w:val="none" w:sz="0" w:space="0" w:color="auto"/>
        <w:left w:val="none" w:sz="0" w:space="0" w:color="auto"/>
        <w:bottom w:val="none" w:sz="0" w:space="0" w:color="auto"/>
        <w:right w:val="none" w:sz="0" w:space="0" w:color="auto"/>
      </w:divBdr>
    </w:div>
    <w:div w:id="1450511609">
      <w:bodyDiv w:val="1"/>
      <w:marLeft w:val="0"/>
      <w:marRight w:val="0"/>
      <w:marTop w:val="0"/>
      <w:marBottom w:val="0"/>
      <w:divBdr>
        <w:top w:val="none" w:sz="0" w:space="0" w:color="auto"/>
        <w:left w:val="none" w:sz="0" w:space="0" w:color="auto"/>
        <w:bottom w:val="none" w:sz="0" w:space="0" w:color="auto"/>
        <w:right w:val="none" w:sz="0" w:space="0" w:color="auto"/>
      </w:divBdr>
    </w:div>
    <w:div w:id="1459758292">
      <w:bodyDiv w:val="1"/>
      <w:marLeft w:val="0"/>
      <w:marRight w:val="0"/>
      <w:marTop w:val="0"/>
      <w:marBottom w:val="0"/>
      <w:divBdr>
        <w:top w:val="none" w:sz="0" w:space="0" w:color="auto"/>
        <w:left w:val="none" w:sz="0" w:space="0" w:color="auto"/>
        <w:bottom w:val="none" w:sz="0" w:space="0" w:color="auto"/>
        <w:right w:val="none" w:sz="0" w:space="0" w:color="auto"/>
      </w:divBdr>
    </w:div>
    <w:div w:id="1481923953">
      <w:bodyDiv w:val="1"/>
      <w:marLeft w:val="0"/>
      <w:marRight w:val="0"/>
      <w:marTop w:val="0"/>
      <w:marBottom w:val="0"/>
      <w:divBdr>
        <w:top w:val="none" w:sz="0" w:space="0" w:color="auto"/>
        <w:left w:val="none" w:sz="0" w:space="0" w:color="auto"/>
        <w:bottom w:val="none" w:sz="0" w:space="0" w:color="auto"/>
        <w:right w:val="none" w:sz="0" w:space="0" w:color="auto"/>
      </w:divBdr>
    </w:div>
    <w:div w:id="1527712219">
      <w:marLeft w:val="0"/>
      <w:marRight w:val="0"/>
      <w:marTop w:val="0"/>
      <w:marBottom w:val="0"/>
      <w:divBdr>
        <w:top w:val="none" w:sz="0" w:space="0" w:color="auto"/>
        <w:left w:val="none" w:sz="0" w:space="0" w:color="auto"/>
        <w:bottom w:val="none" w:sz="0" w:space="0" w:color="auto"/>
        <w:right w:val="none" w:sz="0" w:space="0" w:color="auto"/>
      </w:divBdr>
    </w:div>
    <w:div w:id="1527712220">
      <w:marLeft w:val="0"/>
      <w:marRight w:val="0"/>
      <w:marTop w:val="0"/>
      <w:marBottom w:val="0"/>
      <w:divBdr>
        <w:top w:val="none" w:sz="0" w:space="0" w:color="auto"/>
        <w:left w:val="none" w:sz="0" w:space="0" w:color="auto"/>
        <w:bottom w:val="none" w:sz="0" w:space="0" w:color="auto"/>
        <w:right w:val="none" w:sz="0" w:space="0" w:color="auto"/>
      </w:divBdr>
    </w:div>
    <w:div w:id="1527712221">
      <w:marLeft w:val="0"/>
      <w:marRight w:val="0"/>
      <w:marTop w:val="0"/>
      <w:marBottom w:val="0"/>
      <w:divBdr>
        <w:top w:val="none" w:sz="0" w:space="0" w:color="auto"/>
        <w:left w:val="none" w:sz="0" w:space="0" w:color="auto"/>
        <w:bottom w:val="none" w:sz="0" w:space="0" w:color="auto"/>
        <w:right w:val="none" w:sz="0" w:space="0" w:color="auto"/>
      </w:divBdr>
    </w:div>
    <w:div w:id="1527712222">
      <w:marLeft w:val="0"/>
      <w:marRight w:val="0"/>
      <w:marTop w:val="0"/>
      <w:marBottom w:val="0"/>
      <w:divBdr>
        <w:top w:val="none" w:sz="0" w:space="0" w:color="auto"/>
        <w:left w:val="none" w:sz="0" w:space="0" w:color="auto"/>
        <w:bottom w:val="none" w:sz="0" w:space="0" w:color="auto"/>
        <w:right w:val="none" w:sz="0" w:space="0" w:color="auto"/>
      </w:divBdr>
    </w:div>
    <w:div w:id="1527712223">
      <w:marLeft w:val="0"/>
      <w:marRight w:val="0"/>
      <w:marTop w:val="0"/>
      <w:marBottom w:val="0"/>
      <w:divBdr>
        <w:top w:val="none" w:sz="0" w:space="0" w:color="auto"/>
        <w:left w:val="none" w:sz="0" w:space="0" w:color="auto"/>
        <w:bottom w:val="none" w:sz="0" w:space="0" w:color="auto"/>
        <w:right w:val="none" w:sz="0" w:space="0" w:color="auto"/>
      </w:divBdr>
    </w:div>
    <w:div w:id="1527712224">
      <w:marLeft w:val="0"/>
      <w:marRight w:val="0"/>
      <w:marTop w:val="0"/>
      <w:marBottom w:val="0"/>
      <w:divBdr>
        <w:top w:val="none" w:sz="0" w:space="0" w:color="auto"/>
        <w:left w:val="none" w:sz="0" w:space="0" w:color="auto"/>
        <w:bottom w:val="none" w:sz="0" w:space="0" w:color="auto"/>
        <w:right w:val="none" w:sz="0" w:space="0" w:color="auto"/>
      </w:divBdr>
    </w:div>
    <w:div w:id="1527712225">
      <w:marLeft w:val="0"/>
      <w:marRight w:val="0"/>
      <w:marTop w:val="0"/>
      <w:marBottom w:val="0"/>
      <w:divBdr>
        <w:top w:val="none" w:sz="0" w:space="0" w:color="auto"/>
        <w:left w:val="none" w:sz="0" w:space="0" w:color="auto"/>
        <w:bottom w:val="none" w:sz="0" w:space="0" w:color="auto"/>
        <w:right w:val="none" w:sz="0" w:space="0" w:color="auto"/>
      </w:divBdr>
    </w:div>
    <w:div w:id="1527712226">
      <w:marLeft w:val="0"/>
      <w:marRight w:val="0"/>
      <w:marTop w:val="0"/>
      <w:marBottom w:val="0"/>
      <w:divBdr>
        <w:top w:val="none" w:sz="0" w:space="0" w:color="auto"/>
        <w:left w:val="none" w:sz="0" w:space="0" w:color="auto"/>
        <w:bottom w:val="none" w:sz="0" w:space="0" w:color="auto"/>
        <w:right w:val="none" w:sz="0" w:space="0" w:color="auto"/>
      </w:divBdr>
    </w:div>
    <w:div w:id="1527712227">
      <w:marLeft w:val="0"/>
      <w:marRight w:val="0"/>
      <w:marTop w:val="0"/>
      <w:marBottom w:val="0"/>
      <w:divBdr>
        <w:top w:val="none" w:sz="0" w:space="0" w:color="auto"/>
        <w:left w:val="none" w:sz="0" w:space="0" w:color="auto"/>
        <w:bottom w:val="none" w:sz="0" w:space="0" w:color="auto"/>
        <w:right w:val="none" w:sz="0" w:space="0" w:color="auto"/>
      </w:divBdr>
    </w:div>
    <w:div w:id="1527712228">
      <w:marLeft w:val="0"/>
      <w:marRight w:val="0"/>
      <w:marTop w:val="0"/>
      <w:marBottom w:val="0"/>
      <w:divBdr>
        <w:top w:val="none" w:sz="0" w:space="0" w:color="auto"/>
        <w:left w:val="none" w:sz="0" w:space="0" w:color="auto"/>
        <w:bottom w:val="none" w:sz="0" w:space="0" w:color="auto"/>
        <w:right w:val="none" w:sz="0" w:space="0" w:color="auto"/>
      </w:divBdr>
    </w:div>
    <w:div w:id="1527712229">
      <w:marLeft w:val="0"/>
      <w:marRight w:val="0"/>
      <w:marTop w:val="0"/>
      <w:marBottom w:val="0"/>
      <w:divBdr>
        <w:top w:val="none" w:sz="0" w:space="0" w:color="auto"/>
        <w:left w:val="none" w:sz="0" w:space="0" w:color="auto"/>
        <w:bottom w:val="none" w:sz="0" w:space="0" w:color="auto"/>
        <w:right w:val="none" w:sz="0" w:space="0" w:color="auto"/>
      </w:divBdr>
    </w:div>
    <w:div w:id="1527712230">
      <w:marLeft w:val="0"/>
      <w:marRight w:val="0"/>
      <w:marTop w:val="0"/>
      <w:marBottom w:val="0"/>
      <w:divBdr>
        <w:top w:val="none" w:sz="0" w:space="0" w:color="auto"/>
        <w:left w:val="none" w:sz="0" w:space="0" w:color="auto"/>
        <w:bottom w:val="none" w:sz="0" w:space="0" w:color="auto"/>
        <w:right w:val="none" w:sz="0" w:space="0" w:color="auto"/>
      </w:divBdr>
    </w:div>
    <w:div w:id="1527712231">
      <w:marLeft w:val="0"/>
      <w:marRight w:val="0"/>
      <w:marTop w:val="0"/>
      <w:marBottom w:val="0"/>
      <w:divBdr>
        <w:top w:val="none" w:sz="0" w:space="0" w:color="auto"/>
        <w:left w:val="none" w:sz="0" w:space="0" w:color="auto"/>
        <w:bottom w:val="none" w:sz="0" w:space="0" w:color="auto"/>
        <w:right w:val="none" w:sz="0" w:space="0" w:color="auto"/>
      </w:divBdr>
    </w:div>
    <w:div w:id="1527712232">
      <w:marLeft w:val="0"/>
      <w:marRight w:val="0"/>
      <w:marTop w:val="0"/>
      <w:marBottom w:val="0"/>
      <w:divBdr>
        <w:top w:val="none" w:sz="0" w:space="0" w:color="auto"/>
        <w:left w:val="none" w:sz="0" w:space="0" w:color="auto"/>
        <w:bottom w:val="none" w:sz="0" w:space="0" w:color="auto"/>
        <w:right w:val="none" w:sz="0" w:space="0" w:color="auto"/>
      </w:divBdr>
    </w:div>
    <w:div w:id="1527712233">
      <w:marLeft w:val="0"/>
      <w:marRight w:val="0"/>
      <w:marTop w:val="0"/>
      <w:marBottom w:val="0"/>
      <w:divBdr>
        <w:top w:val="none" w:sz="0" w:space="0" w:color="auto"/>
        <w:left w:val="none" w:sz="0" w:space="0" w:color="auto"/>
        <w:bottom w:val="none" w:sz="0" w:space="0" w:color="auto"/>
        <w:right w:val="none" w:sz="0" w:space="0" w:color="auto"/>
      </w:divBdr>
    </w:div>
    <w:div w:id="1527712234">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527712236">
      <w:marLeft w:val="0"/>
      <w:marRight w:val="0"/>
      <w:marTop w:val="0"/>
      <w:marBottom w:val="0"/>
      <w:divBdr>
        <w:top w:val="none" w:sz="0" w:space="0" w:color="auto"/>
        <w:left w:val="none" w:sz="0" w:space="0" w:color="auto"/>
        <w:bottom w:val="none" w:sz="0" w:space="0" w:color="auto"/>
        <w:right w:val="none" w:sz="0" w:space="0" w:color="auto"/>
      </w:divBdr>
    </w:div>
    <w:div w:id="1527712237">
      <w:marLeft w:val="0"/>
      <w:marRight w:val="0"/>
      <w:marTop w:val="0"/>
      <w:marBottom w:val="0"/>
      <w:divBdr>
        <w:top w:val="none" w:sz="0" w:space="0" w:color="auto"/>
        <w:left w:val="none" w:sz="0" w:space="0" w:color="auto"/>
        <w:bottom w:val="none" w:sz="0" w:space="0" w:color="auto"/>
        <w:right w:val="none" w:sz="0" w:space="0" w:color="auto"/>
      </w:divBdr>
    </w:div>
    <w:div w:id="1527712238">
      <w:marLeft w:val="0"/>
      <w:marRight w:val="0"/>
      <w:marTop w:val="0"/>
      <w:marBottom w:val="0"/>
      <w:divBdr>
        <w:top w:val="none" w:sz="0" w:space="0" w:color="auto"/>
        <w:left w:val="none" w:sz="0" w:space="0" w:color="auto"/>
        <w:bottom w:val="none" w:sz="0" w:space="0" w:color="auto"/>
        <w:right w:val="none" w:sz="0" w:space="0" w:color="auto"/>
      </w:divBdr>
    </w:div>
    <w:div w:id="1527712239">
      <w:marLeft w:val="0"/>
      <w:marRight w:val="0"/>
      <w:marTop w:val="0"/>
      <w:marBottom w:val="0"/>
      <w:divBdr>
        <w:top w:val="none" w:sz="0" w:space="0" w:color="auto"/>
        <w:left w:val="none" w:sz="0" w:space="0" w:color="auto"/>
        <w:bottom w:val="none" w:sz="0" w:space="0" w:color="auto"/>
        <w:right w:val="none" w:sz="0" w:space="0" w:color="auto"/>
      </w:divBdr>
    </w:div>
    <w:div w:id="1527712240">
      <w:marLeft w:val="0"/>
      <w:marRight w:val="0"/>
      <w:marTop w:val="0"/>
      <w:marBottom w:val="0"/>
      <w:divBdr>
        <w:top w:val="none" w:sz="0" w:space="0" w:color="auto"/>
        <w:left w:val="none" w:sz="0" w:space="0" w:color="auto"/>
        <w:bottom w:val="none" w:sz="0" w:space="0" w:color="auto"/>
        <w:right w:val="none" w:sz="0" w:space="0" w:color="auto"/>
      </w:divBdr>
    </w:div>
    <w:div w:id="1527712241">
      <w:marLeft w:val="0"/>
      <w:marRight w:val="0"/>
      <w:marTop w:val="0"/>
      <w:marBottom w:val="0"/>
      <w:divBdr>
        <w:top w:val="none" w:sz="0" w:space="0" w:color="auto"/>
        <w:left w:val="none" w:sz="0" w:space="0" w:color="auto"/>
        <w:bottom w:val="none" w:sz="0" w:space="0" w:color="auto"/>
        <w:right w:val="none" w:sz="0" w:space="0" w:color="auto"/>
      </w:divBdr>
    </w:div>
    <w:div w:id="1527712242">
      <w:marLeft w:val="0"/>
      <w:marRight w:val="0"/>
      <w:marTop w:val="0"/>
      <w:marBottom w:val="0"/>
      <w:divBdr>
        <w:top w:val="none" w:sz="0" w:space="0" w:color="auto"/>
        <w:left w:val="none" w:sz="0" w:space="0" w:color="auto"/>
        <w:bottom w:val="none" w:sz="0" w:space="0" w:color="auto"/>
        <w:right w:val="none" w:sz="0" w:space="0" w:color="auto"/>
      </w:divBdr>
    </w:div>
    <w:div w:id="1527712243">
      <w:marLeft w:val="0"/>
      <w:marRight w:val="0"/>
      <w:marTop w:val="0"/>
      <w:marBottom w:val="0"/>
      <w:divBdr>
        <w:top w:val="none" w:sz="0" w:space="0" w:color="auto"/>
        <w:left w:val="none" w:sz="0" w:space="0" w:color="auto"/>
        <w:bottom w:val="none" w:sz="0" w:space="0" w:color="auto"/>
        <w:right w:val="none" w:sz="0" w:space="0" w:color="auto"/>
      </w:divBdr>
    </w:div>
    <w:div w:id="1527712244">
      <w:marLeft w:val="0"/>
      <w:marRight w:val="0"/>
      <w:marTop w:val="0"/>
      <w:marBottom w:val="0"/>
      <w:divBdr>
        <w:top w:val="none" w:sz="0" w:space="0" w:color="auto"/>
        <w:left w:val="none" w:sz="0" w:space="0" w:color="auto"/>
        <w:bottom w:val="none" w:sz="0" w:space="0" w:color="auto"/>
        <w:right w:val="none" w:sz="0" w:space="0" w:color="auto"/>
      </w:divBdr>
    </w:div>
    <w:div w:id="1527712245">
      <w:marLeft w:val="0"/>
      <w:marRight w:val="0"/>
      <w:marTop w:val="0"/>
      <w:marBottom w:val="0"/>
      <w:divBdr>
        <w:top w:val="none" w:sz="0" w:space="0" w:color="auto"/>
        <w:left w:val="none" w:sz="0" w:space="0" w:color="auto"/>
        <w:bottom w:val="none" w:sz="0" w:space="0" w:color="auto"/>
        <w:right w:val="none" w:sz="0" w:space="0" w:color="auto"/>
      </w:divBdr>
    </w:div>
    <w:div w:id="1527712246">
      <w:marLeft w:val="0"/>
      <w:marRight w:val="0"/>
      <w:marTop w:val="0"/>
      <w:marBottom w:val="0"/>
      <w:divBdr>
        <w:top w:val="none" w:sz="0" w:space="0" w:color="auto"/>
        <w:left w:val="none" w:sz="0" w:space="0" w:color="auto"/>
        <w:bottom w:val="none" w:sz="0" w:space="0" w:color="auto"/>
        <w:right w:val="none" w:sz="0" w:space="0" w:color="auto"/>
      </w:divBdr>
    </w:div>
    <w:div w:id="1527712247">
      <w:marLeft w:val="0"/>
      <w:marRight w:val="0"/>
      <w:marTop w:val="0"/>
      <w:marBottom w:val="0"/>
      <w:divBdr>
        <w:top w:val="none" w:sz="0" w:space="0" w:color="auto"/>
        <w:left w:val="none" w:sz="0" w:space="0" w:color="auto"/>
        <w:bottom w:val="none" w:sz="0" w:space="0" w:color="auto"/>
        <w:right w:val="none" w:sz="0" w:space="0" w:color="auto"/>
      </w:divBdr>
    </w:div>
    <w:div w:id="1527712248">
      <w:marLeft w:val="0"/>
      <w:marRight w:val="0"/>
      <w:marTop w:val="0"/>
      <w:marBottom w:val="0"/>
      <w:divBdr>
        <w:top w:val="none" w:sz="0" w:space="0" w:color="auto"/>
        <w:left w:val="none" w:sz="0" w:space="0" w:color="auto"/>
        <w:bottom w:val="none" w:sz="0" w:space="0" w:color="auto"/>
        <w:right w:val="none" w:sz="0" w:space="0" w:color="auto"/>
      </w:divBdr>
    </w:div>
    <w:div w:id="1527712249">
      <w:marLeft w:val="0"/>
      <w:marRight w:val="0"/>
      <w:marTop w:val="0"/>
      <w:marBottom w:val="0"/>
      <w:divBdr>
        <w:top w:val="none" w:sz="0" w:space="0" w:color="auto"/>
        <w:left w:val="none" w:sz="0" w:space="0" w:color="auto"/>
        <w:bottom w:val="none" w:sz="0" w:space="0" w:color="auto"/>
        <w:right w:val="none" w:sz="0" w:space="0" w:color="auto"/>
      </w:divBdr>
    </w:div>
    <w:div w:id="1527712250">
      <w:marLeft w:val="0"/>
      <w:marRight w:val="0"/>
      <w:marTop w:val="0"/>
      <w:marBottom w:val="0"/>
      <w:divBdr>
        <w:top w:val="none" w:sz="0" w:space="0" w:color="auto"/>
        <w:left w:val="none" w:sz="0" w:space="0" w:color="auto"/>
        <w:bottom w:val="none" w:sz="0" w:space="0" w:color="auto"/>
        <w:right w:val="none" w:sz="0" w:space="0" w:color="auto"/>
      </w:divBdr>
    </w:div>
    <w:div w:id="1527712251">
      <w:marLeft w:val="0"/>
      <w:marRight w:val="0"/>
      <w:marTop w:val="0"/>
      <w:marBottom w:val="0"/>
      <w:divBdr>
        <w:top w:val="none" w:sz="0" w:space="0" w:color="auto"/>
        <w:left w:val="none" w:sz="0" w:space="0" w:color="auto"/>
        <w:bottom w:val="none" w:sz="0" w:space="0" w:color="auto"/>
        <w:right w:val="none" w:sz="0" w:space="0" w:color="auto"/>
      </w:divBdr>
    </w:div>
    <w:div w:id="1527712252">
      <w:marLeft w:val="0"/>
      <w:marRight w:val="0"/>
      <w:marTop w:val="0"/>
      <w:marBottom w:val="0"/>
      <w:divBdr>
        <w:top w:val="none" w:sz="0" w:space="0" w:color="auto"/>
        <w:left w:val="none" w:sz="0" w:space="0" w:color="auto"/>
        <w:bottom w:val="none" w:sz="0" w:space="0" w:color="auto"/>
        <w:right w:val="none" w:sz="0" w:space="0" w:color="auto"/>
      </w:divBdr>
    </w:div>
    <w:div w:id="1527712253">
      <w:marLeft w:val="0"/>
      <w:marRight w:val="0"/>
      <w:marTop w:val="0"/>
      <w:marBottom w:val="0"/>
      <w:divBdr>
        <w:top w:val="none" w:sz="0" w:space="0" w:color="auto"/>
        <w:left w:val="none" w:sz="0" w:space="0" w:color="auto"/>
        <w:bottom w:val="none" w:sz="0" w:space="0" w:color="auto"/>
        <w:right w:val="none" w:sz="0" w:space="0" w:color="auto"/>
      </w:divBdr>
    </w:div>
    <w:div w:id="1527712254">
      <w:marLeft w:val="0"/>
      <w:marRight w:val="0"/>
      <w:marTop w:val="0"/>
      <w:marBottom w:val="0"/>
      <w:divBdr>
        <w:top w:val="none" w:sz="0" w:space="0" w:color="auto"/>
        <w:left w:val="none" w:sz="0" w:space="0" w:color="auto"/>
        <w:bottom w:val="none" w:sz="0" w:space="0" w:color="auto"/>
        <w:right w:val="none" w:sz="0" w:space="0" w:color="auto"/>
      </w:divBdr>
    </w:div>
    <w:div w:id="1527712255">
      <w:marLeft w:val="0"/>
      <w:marRight w:val="0"/>
      <w:marTop w:val="0"/>
      <w:marBottom w:val="0"/>
      <w:divBdr>
        <w:top w:val="none" w:sz="0" w:space="0" w:color="auto"/>
        <w:left w:val="none" w:sz="0" w:space="0" w:color="auto"/>
        <w:bottom w:val="none" w:sz="0" w:space="0" w:color="auto"/>
        <w:right w:val="none" w:sz="0" w:space="0" w:color="auto"/>
      </w:divBdr>
    </w:div>
    <w:div w:id="1527712256">
      <w:marLeft w:val="0"/>
      <w:marRight w:val="0"/>
      <w:marTop w:val="0"/>
      <w:marBottom w:val="0"/>
      <w:divBdr>
        <w:top w:val="none" w:sz="0" w:space="0" w:color="auto"/>
        <w:left w:val="none" w:sz="0" w:space="0" w:color="auto"/>
        <w:bottom w:val="none" w:sz="0" w:space="0" w:color="auto"/>
        <w:right w:val="none" w:sz="0" w:space="0" w:color="auto"/>
      </w:divBdr>
    </w:div>
    <w:div w:id="1527712257">
      <w:marLeft w:val="0"/>
      <w:marRight w:val="0"/>
      <w:marTop w:val="0"/>
      <w:marBottom w:val="0"/>
      <w:divBdr>
        <w:top w:val="none" w:sz="0" w:space="0" w:color="auto"/>
        <w:left w:val="none" w:sz="0" w:space="0" w:color="auto"/>
        <w:bottom w:val="none" w:sz="0" w:space="0" w:color="auto"/>
        <w:right w:val="none" w:sz="0" w:space="0" w:color="auto"/>
      </w:divBdr>
    </w:div>
    <w:div w:id="1527712258">
      <w:marLeft w:val="0"/>
      <w:marRight w:val="0"/>
      <w:marTop w:val="0"/>
      <w:marBottom w:val="0"/>
      <w:divBdr>
        <w:top w:val="none" w:sz="0" w:space="0" w:color="auto"/>
        <w:left w:val="none" w:sz="0" w:space="0" w:color="auto"/>
        <w:bottom w:val="none" w:sz="0" w:space="0" w:color="auto"/>
        <w:right w:val="none" w:sz="0" w:space="0" w:color="auto"/>
      </w:divBdr>
    </w:div>
    <w:div w:id="1527712259">
      <w:marLeft w:val="0"/>
      <w:marRight w:val="0"/>
      <w:marTop w:val="0"/>
      <w:marBottom w:val="0"/>
      <w:divBdr>
        <w:top w:val="none" w:sz="0" w:space="0" w:color="auto"/>
        <w:left w:val="none" w:sz="0" w:space="0" w:color="auto"/>
        <w:bottom w:val="none" w:sz="0" w:space="0" w:color="auto"/>
        <w:right w:val="none" w:sz="0" w:space="0" w:color="auto"/>
      </w:divBdr>
    </w:div>
    <w:div w:id="1527712260">
      <w:marLeft w:val="0"/>
      <w:marRight w:val="0"/>
      <w:marTop w:val="0"/>
      <w:marBottom w:val="0"/>
      <w:divBdr>
        <w:top w:val="none" w:sz="0" w:space="0" w:color="auto"/>
        <w:left w:val="none" w:sz="0" w:space="0" w:color="auto"/>
        <w:bottom w:val="none" w:sz="0" w:space="0" w:color="auto"/>
        <w:right w:val="none" w:sz="0" w:space="0" w:color="auto"/>
      </w:divBdr>
    </w:div>
    <w:div w:id="1527712261">
      <w:marLeft w:val="0"/>
      <w:marRight w:val="0"/>
      <w:marTop w:val="0"/>
      <w:marBottom w:val="0"/>
      <w:divBdr>
        <w:top w:val="none" w:sz="0" w:space="0" w:color="auto"/>
        <w:left w:val="none" w:sz="0" w:space="0" w:color="auto"/>
        <w:bottom w:val="none" w:sz="0" w:space="0" w:color="auto"/>
        <w:right w:val="none" w:sz="0" w:space="0" w:color="auto"/>
      </w:divBdr>
    </w:div>
    <w:div w:id="1527712262">
      <w:marLeft w:val="0"/>
      <w:marRight w:val="0"/>
      <w:marTop w:val="0"/>
      <w:marBottom w:val="0"/>
      <w:divBdr>
        <w:top w:val="none" w:sz="0" w:space="0" w:color="auto"/>
        <w:left w:val="none" w:sz="0" w:space="0" w:color="auto"/>
        <w:bottom w:val="none" w:sz="0" w:space="0" w:color="auto"/>
        <w:right w:val="none" w:sz="0" w:space="0" w:color="auto"/>
      </w:divBdr>
    </w:div>
    <w:div w:id="1527712263">
      <w:marLeft w:val="0"/>
      <w:marRight w:val="0"/>
      <w:marTop w:val="0"/>
      <w:marBottom w:val="0"/>
      <w:divBdr>
        <w:top w:val="none" w:sz="0" w:space="0" w:color="auto"/>
        <w:left w:val="none" w:sz="0" w:space="0" w:color="auto"/>
        <w:bottom w:val="none" w:sz="0" w:space="0" w:color="auto"/>
        <w:right w:val="none" w:sz="0" w:space="0" w:color="auto"/>
      </w:divBdr>
    </w:div>
    <w:div w:id="1527712264">
      <w:marLeft w:val="0"/>
      <w:marRight w:val="0"/>
      <w:marTop w:val="0"/>
      <w:marBottom w:val="0"/>
      <w:divBdr>
        <w:top w:val="none" w:sz="0" w:space="0" w:color="auto"/>
        <w:left w:val="none" w:sz="0" w:space="0" w:color="auto"/>
        <w:bottom w:val="none" w:sz="0" w:space="0" w:color="auto"/>
        <w:right w:val="none" w:sz="0" w:space="0" w:color="auto"/>
      </w:divBdr>
    </w:div>
    <w:div w:id="1527712265">
      <w:marLeft w:val="0"/>
      <w:marRight w:val="0"/>
      <w:marTop w:val="0"/>
      <w:marBottom w:val="0"/>
      <w:divBdr>
        <w:top w:val="none" w:sz="0" w:space="0" w:color="auto"/>
        <w:left w:val="none" w:sz="0" w:space="0" w:color="auto"/>
        <w:bottom w:val="none" w:sz="0" w:space="0" w:color="auto"/>
        <w:right w:val="none" w:sz="0" w:space="0" w:color="auto"/>
      </w:divBdr>
    </w:div>
    <w:div w:id="1527712266">
      <w:marLeft w:val="0"/>
      <w:marRight w:val="0"/>
      <w:marTop w:val="0"/>
      <w:marBottom w:val="0"/>
      <w:divBdr>
        <w:top w:val="none" w:sz="0" w:space="0" w:color="auto"/>
        <w:left w:val="none" w:sz="0" w:space="0" w:color="auto"/>
        <w:bottom w:val="none" w:sz="0" w:space="0" w:color="auto"/>
        <w:right w:val="none" w:sz="0" w:space="0" w:color="auto"/>
      </w:divBdr>
    </w:div>
    <w:div w:id="1527712267">
      <w:marLeft w:val="0"/>
      <w:marRight w:val="0"/>
      <w:marTop w:val="0"/>
      <w:marBottom w:val="0"/>
      <w:divBdr>
        <w:top w:val="none" w:sz="0" w:space="0" w:color="auto"/>
        <w:left w:val="none" w:sz="0" w:space="0" w:color="auto"/>
        <w:bottom w:val="none" w:sz="0" w:space="0" w:color="auto"/>
        <w:right w:val="none" w:sz="0" w:space="0" w:color="auto"/>
      </w:divBdr>
    </w:div>
    <w:div w:id="1527712268">
      <w:marLeft w:val="0"/>
      <w:marRight w:val="0"/>
      <w:marTop w:val="0"/>
      <w:marBottom w:val="0"/>
      <w:divBdr>
        <w:top w:val="none" w:sz="0" w:space="0" w:color="auto"/>
        <w:left w:val="none" w:sz="0" w:space="0" w:color="auto"/>
        <w:bottom w:val="none" w:sz="0" w:space="0" w:color="auto"/>
        <w:right w:val="none" w:sz="0" w:space="0" w:color="auto"/>
      </w:divBdr>
      <w:divsChild>
        <w:div w:id="1527712272">
          <w:marLeft w:val="0"/>
          <w:marRight w:val="0"/>
          <w:marTop w:val="0"/>
          <w:marBottom w:val="0"/>
          <w:divBdr>
            <w:top w:val="none" w:sz="0" w:space="0" w:color="auto"/>
            <w:left w:val="none" w:sz="0" w:space="0" w:color="auto"/>
            <w:bottom w:val="none" w:sz="0" w:space="0" w:color="auto"/>
            <w:right w:val="none" w:sz="0" w:space="0" w:color="auto"/>
          </w:divBdr>
        </w:div>
      </w:divsChild>
    </w:div>
    <w:div w:id="1527712270">
      <w:marLeft w:val="0"/>
      <w:marRight w:val="0"/>
      <w:marTop w:val="0"/>
      <w:marBottom w:val="0"/>
      <w:divBdr>
        <w:top w:val="none" w:sz="0" w:space="0" w:color="auto"/>
        <w:left w:val="none" w:sz="0" w:space="0" w:color="auto"/>
        <w:bottom w:val="none" w:sz="0" w:space="0" w:color="auto"/>
        <w:right w:val="none" w:sz="0" w:space="0" w:color="auto"/>
      </w:divBdr>
    </w:div>
    <w:div w:id="1527712271">
      <w:marLeft w:val="0"/>
      <w:marRight w:val="0"/>
      <w:marTop w:val="0"/>
      <w:marBottom w:val="0"/>
      <w:divBdr>
        <w:top w:val="none" w:sz="0" w:space="0" w:color="auto"/>
        <w:left w:val="none" w:sz="0" w:space="0" w:color="auto"/>
        <w:bottom w:val="none" w:sz="0" w:space="0" w:color="auto"/>
        <w:right w:val="none" w:sz="0" w:space="0" w:color="auto"/>
      </w:divBdr>
      <w:divsChild>
        <w:div w:id="1527712269">
          <w:marLeft w:val="0"/>
          <w:marRight w:val="0"/>
          <w:marTop w:val="0"/>
          <w:marBottom w:val="0"/>
          <w:divBdr>
            <w:top w:val="none" w:sz="0" w:space="0" w:color="auto"/>
            <w:left w:val="none" w:sz="0" w:space="0" w:color="auto"/>
            <w:bottom w:val="none" w:sz="0" w:space="0" w:color="auto"/>
            <w:right w:val="none" w:sz="0" w:space="0" w:color="auto"/>
          </w:divBdr>
        </w:div>
      </w:divsChild>
    </w:div>
    <w:div w:id="1527712273">
      <w:marLeft w:val="0"/>
      <w:marRight w:val="0"/>
      <w:marTop w:val="0"/>
      <w:marBottom w:val="0"/>
      <w:divBdr>
        <w:top w:val="none" w:sz="0" w:space="0" w:color="auto"/>
        <w:left w:val="none" w:sz="0" w:space="0" w:color="auto"/>
        <w:bottom w:val="none" w:sz="0" w:space="0" w:color="auto"/>
        <w:right w:val="none" w:sz="0" w:space="0" w:color="auto"/>
      </w:divBdr>
    </w:div>
    <w:div w:id="1527712274">
      <w:marLeft w:val="0"/>
      <w:marRight w:val="0"/>
      <w:marTop w:val="0"/>
      <w:marBottom w:val="0"/>
      <w:divBdr>
        <w:top w:val="none" w:sz="0" w:space="0" w:color="auto"/>
        <w:left w:val="none" w:sz="0" w:space="0" w:color="auto"/>
        <w:bottom w:val="none" w:sz="0" w:space="0" w:color="auto"/>
        <w:right w:val="none" w:sz="0" w:space="0" w:color="auto"/>
      </w:divBdr>
    </w:div>
    <w:div w:id="1527712275">
      <w:marLeft w:val="0"/>
      <w:marRight w:val="0"/>
      <w:marTop w:val="0"/>
      <w:marBottom w:val="0"/>
      <w:divBdr>
        <w:top w:val="none" w:sz="0" w:space="0" w:color="auto"/>
        <w:left w:val="none" w:sz="0" w:space="0" w:color="auto"/>
        <w:bottom w:val="none" w:sz="0" w:space="0" w:color="auto"/>
        <w:right w:val="none" w:sz="0" w:space="0" w:color="auto"/>
      </w:divBdr>
    </w:div>
    <w:div w:id="1561937016">
      <w:bodyDiv w:val="1"/>
      <w:marLeft w:val="0"/>
      <w:marRight w:val="0"/>
      <w:marTop w:val="0"/>
      <w:marBottom w:val="0"/>
      <w:divBdr>
        <w:top w:val="none" w:sz="0" w:space="0" w:color="auto"/>
        <w:left w:val="none" w:sz="0" w:space="0" w:color="auto"/>
        <w:bottom w:val="none" w:sz="0" w:space="0" w:color="auto"/>
        <w:right w:val="none" w:sz="0" w:space="0" w:color="auto"/>
      </w:divBdr>
    </w:div>
    <w:div w:id="1572812433">
      <w:bodyDiv w:val="1"/>
      <w:marLeft w:val="0"/>
      <w:marRight w:val="0"/>
      <w:marTop w:val="0"/>
      <w:marBottom w:val="0"/>
      <w:divBdr>
        <w:top w:val="none" w:sz="0" w:space="0" w:color="auto"/>
        <w:left w:val="none" w:sz="0" w:space="0" w:color="auto"/>
        <w:bottom w:val="none" w:sz="0" w:space="0" w:color="auto"/>
        <w:right w:val="none" w:sz="0" w:space="0" w:color="auto"/>
      </w:divBdr>
    </w:div>
    <w:div w:id="1671907969">
      <w:bodyDiv w:val="1"/>
      <w:marLeft w:val="0"/>
      <w:marRight w:val="0"/>
      <w:marTop w:val="0"/>
      <w:marBottom w:val="0"/>
      <w:divBdr>
        <w:top w:val="none" w:sz="0" w:space="0" w:color="auto"/>
        <w:left w:val="none" w:sz="0" w:space="0" w:color="auto"/>
        <w:bottom w:val="none" w:sz="0" w:space="0" w:color="auto"/>
        <w:right w:val="none" w:sz="0" w:space="0" w:color="auto"/>
      </w:divBdr>
    </w:div>
    <w:div w:id="1680740713">
      <w:bodyDiv w:val="1"/>
      <w:marLeft w:val="0"/>
      <w:marRight w:val="0"/>
      <w:marTop w:val="0"/>
      <w:marBottom w:val="0"/>
      <w:divBdr>
        <w:top w:val="none" w:sz="0" w:space="0" w:color="auto"/>
        <w:left w:val="none" w:sz="0" w:space="0" w:color="auto"/>
        <w:bottom w:val="none" w:sz="0" w:space="0" w:color="auto"/>
        <w:right w:val="none" w:sz="0" w:space="0" w:color="auto"/>
      </w:divBdr>
    </w:div>
    <w:div w:id="1709377891">
      <w:bodyDiv w:val="1"/>
      <w:marLeft w:val="0"/>
      <w:marRight w:val="0"/>
      <w:marTop w:val="0"/>
      <w:marBottom w:val="0"/>
      <w:divBdr>
        <w:top w:val="none" w:sz="0" w:space="0" w:color="auto"/>
        <w:left w:val="none" w:sz="0" w:space="0" w:color="auto"/>
        <w:bottom w:val="none" w:sz="0" w:space="0" w:color="auto"/>
        <w:right w:val="none" w:sz="0" w:space="0" w:color="auto"/>
      </w:divBdr>
    </w:div>
    <w:div w:id="1744257989">
      <w:bodyDiv w:val="1"/>
      <w:marLeft w:val="0"/>
      <w:marRight w:val="0"/>
      <w:marTop w:val="0"/>
      <w:marBottom w:val="0"/>
      <w:divBdr>
        <w:top w:val="none" w:sz="0" w:space="0" w:color="auto"/>
        <w:left w:val="none" w:sz="0" w:space="0" w:color="auto"/>
        <w:bottom w:val="none" w:sz="0" w:space="0" w:color="auto"/>
        <w:right w:val="none" w:sz="0" w:space="0" w:color="auto"/>
      </w:divBdr>
    </w:div>
    <w:div w:id="1757360548">
      <w:bodyDiv w:val="1"/>
      <w:marLeft w:val="0"/>
      <w:marRight w:val="0"/>
      <w:marTop w:val="0"/>
      <w:marBottom w:val="0"/>
      <w:divBdr>
        <w:top w:val="none" w:sz="0" w:space="0" w:color="auto"/>
        <w:left w:val="none" w:sz="0" w:space="0" w:color="auto"/>
        <w:bottom w:val="none" w:sz="0" w:space="0" w:color="auto"/>
        <w:right w:val="none" w:sz="0" w:space="0" w:color="auto"/>
      </w:divBdr>
    </w:div>
    <w:div w:id="1799688633">
      <w:bodyDiv w:val="1"/>
      <w:marLeft w:val="0"/>
      <w:marRight w:val="0"/>
      <w:marTop w:val="0"/>
      <w:marBottom w:val="0"/>
      <w:divBdr>
        <w:top w:val="none" w:sz="0" w:space="0" w:color="auto"/>
        <w:left w:val="none" w:sz="0" w:space="0" w:color="auto"/>
        <w:bottom w:val="none" w:sz="0" w:space="0" w:color="auto"/>
        <w:right w:val="none" w:sz="0" w:space="0" w:color="auto"/>
      </w:divBdr>
      <w:divsChild>
        <w:div w:id="864908619">
          <w:marLeft w:val="274"/>
          <w:marRight w:val="0"/>
          <w:marTop w:val="0"/>
          <w:marBottom w:val="0"/>
          <w:divBdr>
            <w:top w:val="none" w:sz="0" w:space="0" w:color="auto"/>
            <w:left w:val="none" w:sz="0" w:space="0" w:color="auto"/>
            <w:bottom w:val="none" w:sz="0" w:space="0" w:color="auto"/>
            <w:right w:val="none" w:sz="0" w:space="0" w:color="auto"/>
          </w:divBdr>
        </w:div>
      </w:divsChild>
    </w:div>
    <w:div w:id="1843279764">
      <w:bodyDiv w:val="1"/>
      <w:marLeft w:val="0"/>
      <w:marRight w:val="0"/>
      <w:marTop w:val="0"/>
      <w:marBottom w:val="0"/>
      <w:divBdr>
        <w:top w:val="none" w:sz="0" w:space="0" w:color="auto"/>
        <w:left w:val="none" w:sz="0" w:space="0" w:color="auto"/>
        <w:bottom w:val="none" w:sz="0" w:space="0" w:color="auto"/>
        <w:right w:val="none" w:sz="0" w:space="0" w:color="auto"/>
      </w:divBdr>
    </w:div>
    <w:div w:id="1847092960">
      <w:bodyDiv w:val="1"/>
      <w:marLeft w:val="0"/>
      <w:marRight w:val="0"/>
      <w:marTop w:val="0"/>
      <w:marBottom w:val="0"/>
      <w:divBdr>
        <w:top w:val="none" w:sz="0" w:space="0" w:color="auto"/>
        <w:left w:val="none" w:sz="0" w:space="0" w:color="auto"/>
        <w:bottom w:val="none" w:sz="0" w:space="0" w:color="auto"/>
        <w:right w:val="none" w:sz="0" w:space="0" w:color="auto"/>
      </w:divBdr>
    </w:div>
    <w:div w:id="1877696073">
      <w:bodyDiv w:val="1"/>
      <w:marLeft w:val="0"/>
      <w:marRight w:val="0"/>
      <w:marTop w:val="0"/>
      <w:marBottom w:val="0"/>
      <w:divBdr>
        <w:top w:val="none" w:sz="0" w:space="0" w:color="auto"/>
        <w:left w:val="none" w:sz="0" w:space="0" w:color="auto"/>
        <w:bottom w:val="none" w:sz="0" w:space="0" w:color="auto"/>
        <w:right w:val="none" w:sz="0" w:space="0" w:color="auto"/>
      </w:divBdr>
    </w:div>
    <w:div w:id="1897277758">
      <w:bodyDiv w:val="1"/>
      <w:marLeft w:val="0"/>
      <w:marRight w:val="0"/>
      <w:marTop w:val="0"/>
      <w:marBottom w:val="0"/>
      <w:divBdr>
        <w:top w:val="none" w:sz="0" w:space="0" w:color="auto"/>
        <w:left w:val="none" w:sz="0" w:space="0" w:color="auto"/>
        <w:bottom w:val="none" w:sz="0" w:space="0" w:color="auto"/>
        <w:right w:val="none" w:sz="0" w:space="0" w:color="auto"/>
      </w:divBdr>
    </w:div>
    <w:div w:id="1900437750">
      <w:bodyDiv w:val="1"/>
      <w:marLeft w:val="0"/>
      <w:marRight w:val="0"/>
      <w:marTop w:val="0"/>
      <w:marBottom w:val="0"/>
      <w:divBdr>
        <w:top w:val="none" w:sz="0" w:space="0" w:color="auto"/>
        <w:left w:val="none" w:sz="0" w:space="0" w:color="auto"/>
        <w:bottom w:val="none" w:sz="0" w:space="0" w:color="auto"/>
        <w:right w:val="none" w:sz="0" w:space="0" w:color="auto"/>
      </w:divBdr>
    </w:div>
    <w:div w:id="1921524281">
      <w:bodyDiv w:val="1"/>
      <w:marLeft w:val="0"/>
      <w:marRight w:val="0"/>
      <w:marTop w:val="0"/>
      <w:marBottom w:val="0"/>
      <w:divBdr>
        <w:top w:val="none" w:sz="0" w:space="0" w:color="auto"/>
        <w:left w:val="none" w:sz="0" w:space="0" w:color="auto"/>
        <w:bottom w:val="none" w:sz="0" w:space="0" w:color="auto"/>
        <w:right w:val="none" w:sz="0" w:space="0" w:color="auto"/>
      </w:divBdr>
    </w:div>
    <w:div w:id="1955674952">
      <w:bodyDiv w:val="1"/>
      <w:marLeft w:val="0"/>
      <w:marRight w:val="0"/>
      <w:marTop w:val="0"/>
      <w:marBottom w:val="0"/>
      <w:divBdr>
        <w:top w:val="none" w:sz="0" w:space="0" w:color="auto"/>
        <w:left w:val="none" w:sz="0" w:space="0" w:color="auto"/>
        <w:bottom w:val="none" w:sz="0" w:space="0" w:color="auto"/>
        <w:right w:val="none" w:sz="0" w:space="0" w:color="auto"/>
      </w:divBdr>
    </w:div>
    <w:div w:id="1964574792">
      <w:bodyDiv w:val="1"/>
      <w:marLeft w:val="0"/>
      <w:marRight w:val="0"/>
      <w:marTop w:val="0"/>
      <w:marBottom w:val="0"/>
      <w:divBdr>
        <w:top w:val="none" w:sz="0" w:space="0" w:color="auto"/>
        <w:left w:val="none" w:sz="0" w:space="0" w:color="auto"/>
        <w:bottom w:val="none" w:sz="0" w:space="0" w:color="auto"/>
        <w:right w:val="none" w:sz="0" w:space="0" w:color="auto"/>
      </w:divBdr>
    </w:div>
    <w:div w:id="1977297420">
      <w:bodyDiv w:val="1"/>
      <w:marLeft w:val="0"/>
      <w:marRight w:val="0"/>
      <w:marTop w:val="0"/>
      <w:marBottom w:val="0"/>
      <w:divBdr>
        <w:top w:val="none" w:sz="0" w:space="0" w:color="auto"/>
        <w:left w:val="none" w:sz="0" w:space="0" w:color="auto"/>
        <w:bottom w:val="none" w:sz="0" w:space="0" w:color="auto"/>
        <w:right w:val="none" w:sz="0" w:space="0" w:color="auto"/>
      </w:divBdr>
    </w:div>
    <w:div w:id="2028486755">
      <w:bodyDiv w:val="1"/>
      <w:marLeft w:val="0"/>
      <w:marRight w:val="0"/>
      <w:marTop w:val="0"/>
      <w:marBottom w:val="0"/>
      <w:divBdr>
        <w:top w:val="none" w:sz="0" w:space="0" w:color="auto"/>
        <w:left w:val="none" w:sz="0" w:space="0" w:color="auto"/>
        <w:bottom w:val="none" w:sz="0" w:space="0" w:color="auto"/>
        <w:right w:val="none" w:sz="0" w:space="0" w:color="auto"/>
      </w:divBdr>
    </w:div>
    <w:div w:id="2085831539">
      <w:bodyDiv w:val="1"/>
      <w:marLeft w:val="0"/>
      <w:marRight w:val="0"/>
      <w:marTop w:val="0"/>
      <w:marBottom w:val="0"/>
      <w:divBdr>
        <w:top w:val="none" w:sz="0" w:space="0" w:color="auto"/>
        <w:left w:val="none" w:sz="0" w:space="0" w:color="auto"/>
        <w:bottom w:val="none" w:sz="0" w:space="0" w:color="auto"/>
        <w:right w:val="none" w:sz="0" w:space="0" w:color="auto"/>
      </w:divBdr>
    </w:div>
    <w:div w:id="2108766102">
      <w:bodyDiv w:val="1"/>
      <w:marLeft w:val="0"/>
      <w:marRight w:val="0"/>
      <w:marTop w:val="0"/>
      <w:marBottom w:val="0"/>
      <w:divBdr>
        <w:top w:val="none" w:sz="0" w:space="0" w:color="auto"/>
        <w:left w:val="none" w:sz="0" w:space="0" w:color="auto"/>
        <w:bottom w:val="none" w:sz="0" w:space="0" w:color="auto"/>
        <w:right w:val="none" w:sz="0" w:space="0" w:color="auto"/>
      </w:divBdr>
    </w:div>
    <w:div w:id="21456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asz.naprawa\AppData\Local\Microsoft\Windows\INetCache\Content.Outlook\YQSB95E8\Dane_WAW_KRA%20(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tomasz.naprawa\AppData\Local\Microsoft\Windows\INetCache\Content.Outlook\YQSB95E8\sprzedane%20mieszkania%202Q%202015_2016%20(2).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masz.naprawa\AppData\Local\Microsoft\Windows\INetCache\Content.Outlook\YQSB95E8\Przeniesienie%20w&#322;a&#347;no&#347;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3"/>
          <c:order val="0"/>
          <c:tx>
            <c:strRef>
              <c:f>'[Dane_WAW_KRA (2).xlsx]Arkusz1'!$A$7:$B$7</c:f>
              <c:strCache>
                <c:ptCount val="1"/>
                <c:pt idx="0">
                  <c:v>Średnia cena m2 mieszkania w ofercie</c:v>
                </c:pt>
              </c:strCache>
            </c:strRef>
          </c:tx>
          <c:marker>
            <c:symbol val="none"/>
          </c:marker>
          <c:dLbls>
            <c:spPr>
              <a:noFill/>
              <a:ln>
                <a:noFill/>
              </a:ln>
              <a:effectLst/>
            </c:spPr>
            <c:txPr>
              <a:bodyPr/>
              <a:lstStyle/>
              <a:p>
                <a:pPr>
                  <a:defRPr sz="700" b="1">
                    <a:latin typeface="Arial Narrow" panose="020B0606020202030204" pitchFamily="34" charset="0"/>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'[Dane_WAW_KRA (2).xlsx]Arkusz1'!$C$3:$AM$3</c:f>
              <c:strCache>
                <c:ptCount val="21"/>
                <c:pt idx="0">
                  <c:v>2011 Q1</c:v>
                </c:pt>
                <c:pt idx="1">
                  <c:v>2011 Q2</c:v>
                </c:pt>
                <c:pt idx="2">
                  <c:v>2011 Q3</c:v>
                </c:pt>
                <c:pt idx="3">
                  <c:v>2011 Q4</c:v>
                </c:pt>
                <c:pt idx="4">
                  <c:v>2012 Q1</c:v>
                </c:pt>
                <c:pt idx="5">
                  <c:v>2012 Q2</c:v>
                </c:pt>
                <c:pt idx="6">
                  <c:v>2012 Q3</c:v>
                </c:pt>
                <c:pt idx="7">
                  <c:v>2012 Q4</c:v>
                </c:pt>
                <c:pt idx="8">
                  <c:v>2013 Q1</c:v>
                </c:pt>
                <c:pt idx="9">
                  <c:v>2013 Q2</c:v>
                </c:pt>
                <c:pt idx="10">
                  <c:v>2013 Q3</c:v>
                </c:pt>
                <c:pt idx="11">
                  <c:v>2013 Q4</c:v>
                </c:pt>
                <c:pt idx="12">
                  <c:v>2014 Q1</c:v>
                </c:pt>
                <c:pt idx="13">
                  <c:v>2014 Q2</c:v>
                </c:pt>
                <c:pt idx="14">
                  <c:v>2014 Q3</c:v>
                </c:pt>
                <c:pt idx="15">
                  <c:v>2014 Q4</c:v>
                </c:pt>
                <c:pt idx="16">
                  <c:v>2015 Q1</c:v>
                </c:pt>
                <c:pt idx="17">
                  <c:v>2015 Q2</c:v>
                </c:pt>
                <c:pt idx="18">
                  <c:v>2015 Q3</c:v>
                </c:pt>
                <c:pt idx="19">
                  <c:v>2015 Q4</c:v>
                </c:pt>
                <c:pt idx="20">
                  <c:v>2016 Q1</c:v>
                </c:pt>
              </c:strCache>
            </c:strRef>
          </c:cat>
          <c:val>
            <c:numRef>
              <c:f>'[Dane_WAW_KRA (2).xlsx]Arkusz1'!$C$7:$AM$7</c:f>
              <c:numCache>
                <c:formatCode>#,##0</c:formatCode>
                <c:ptCount val="21"/>
                <c:pt idx="0">
                  <c:v>6906</c:v>
                </c:pt>
                <c:pt idx="1">
                  <c:v>6981</c:v>
                </c:pt>
                <c:pt idx="2">
                  <c:v>6859</c:v>
                </c:pt>
                <c:pt idx="3">
                  <c:v>6680</c:v>
                </c:pt>
                <c:pt idx="4">
                  <c:v>6715</c:v>
                </c:pt>
                <c:pt idx="5">
                  <c:v>6645</c:v>
                </c:pt>
                <c:pt idx="6">
                  <c:v>6606</c:v>
                </c:pt>
                <c:pt idx="7">
                  <c:v>6582</c:v>
                </c:pt>
                <c:pt idx="8">
                  <c:v>6560</c:v>
                </c:pt>
                <c:pt idx="9">
                  <c:v>6512</c:v>
                </c:pt>
                <c:pt idx="10">
                  <c:v>6552</c:v>
                </c:pt>
                <c:pt idx="11">
                  <c:v>6548</c:v>
                </c:pt>
                <c:pt idx="12">
                  <c:v>6755</c:v>
                </c:pt>
                <c:pt idx="13">
                  <c:v>6691</c:v>
                </c:pt>
                <c:pt idx="14">
                  <c:v>6639</c:v>
                </c:pt>
                <c:pt idx="15">
                  <c:v>6685</c:v>
                </c:pt>
                <c:pt idx="16">
                  <c:v>6761</c:v>
                </c:pt>
                <c:pt idx="17">
                  <c:v>6736</c:v>
                </c:pt>
                <c:pt idx="18">
                  <c:v>6490</c:v>
                </c:pt>
                <c:pt idx="19">
                  <c:v>6578</c:v>
                </c:pt>
                <c:pt idx="20">
                  <c:v>6560</c:v>
                </c:pt>
              </c:numCache>
            </c:numRef>
          </c:val>
          <c:smooth val="0"/>
          <c:extLst xmlns:c16r2="http://schemas.microsoft.com/office/drawing/2015/06/chart">
            <c:ext xmlns:c16="http://schemas.microsoft.com/office/drawing/2014/chart" uri="{C3380CC4-5D6E-409C-BE32-E72D297353CC}">
              <c16:uniqueId val="{00000000-97E3-42AF-AA2D-C2C151647BA6}"/>
            </c:ext>
          </c:extLst>
        </c:ser>
        <c:ser>
          <c:idx val="4"/>
          <c:order val="1"/>
          <c:tx>
            <c:strRef>
              <c:f>'[Dane_WAW_KRA (2).xlsx]Arkusz1'!$A$8:$B$8</c:f>
              <c:strCache>
                <c:ptCount val="1"/>
                <c:pt idx="0">
                  <c:v>Średnia cena m2 mieszkań wprowadzonych do sprzedaży</c:v>
                </c:pt>
              </c:strCache>
            </c:strRef>
          </c:tx>
          <c:marker>
            <c:symbol val="none"/>
          </c:marker>
          <c:dLbls>
            <c:dLbl>
              <c:idx val="4"/>
              <c:layout>
                <c:manualLayout>
                  <c:x val="-3.1830149451714751E-2"/>
                  <c:y val="-9.551585089169671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E3-42AF-AA2D-C2C151647BA6}"/>
                </c:ext>
              </c:extLst>
            </c:dLbl>
            <c:dLbl>
              <c:idx val="8"/>
              <c:layout>
                <c:manualLayout>
                  <c:x val="-3.3855932081729323E-2"/>
                  <c:y val="-7.21165733582090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E3-42AF-AA2D-C2C151647BA6}"/>
                </c:ext>
              </c:extLst>
            </c:dLbl>
            <c:dLbl>
              <c:idx val="10"/>
              <c:layout>
                <c:manualLayout>
                  <c:x val="-3.3855932081729323E-2"/>
                  <c:y val="-7.211657335820907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7E3-42AF-AA2D-C2C151647BA6}"/>
                </c:ext>
              </c:extLst>
            </c:dLbl>
            <c:dLbl>
              <c:idx val="12"/>
              <c:layout>
                <c:manualLayout>
                  <c:x val="-3.5881714711743895E-2"/>
                  <c:y val="-6.275686234481396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7E3-42AF-AA2D-C2C151647BA6}"/>
                </c:ext>
              </c:extLst>
            </c:dLbl>
            <c:dLbl>
              <c:idx val="19"/>
              <c:layout>
                <c:manualLayout>
                  <c:x val="-3.790749734175846E-2"/>
                  <c:y val="-0.1142352729184868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7E3-42AF-AA2D-C2C151647BA6}"/>
                </c:ext>
              </c:extLst>
            </c:dLbl>
            <c:dLbl>
              <c:idx val="20"/>
              <c:layout>
                <c:manualLayout>
                  <c:x val="-4.7942458840722763E-3"/>
                  <c:y val="0.1057179358962973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7E3-42AF-AA2D-C2C151647BA6}"/>
                </c:ext>
              </c:extLst>
            </c:dLbl>
            <c:spPr>
              <a:noFill/>
              <a:ln>
                <a:noFill/>
              </a:ln>
              <a:effectLst/>
            </c:spPr>
            <c:txPr>
              <a:bodyPr/>
              <a:lstStyle/>
              <a:p>
                <a:pPr>
                  <a:defRPr sz="700" b="1">
                    <a:latin typeface="Arial Narrow" panose="020B0606020202030204" pitchFamily="34" charset="0"/>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'[Dane_WAW_KRA (2).xlsx]Arkusz1'!$C$3:$AM$3</c:f>
              <c:strCache>
                <c:ptCount val="21"/>
                <c:pt idx="0">
                  <c:v>2011 Q1</c:v>
                </c:pt>
                <c:pt idx="1">
                  <c:v>2011 Q2</c:v>
                </c:pt>
                <c:pt idx="2">
                  <c:v>2011 Q3</c:v>
                </c:pt>
                <c:pt idx="3">
                  <c:v>2011 Q4</c:v>
                </c:pt>
                <c:pt idx="4">
                  <c:v>2012 Q1</c:v>
                </c:pt>
                <c:pt idx="5">
                  <c:v>2012 Q2</c:v>
                </c:pt>
                <c:pt idx="6">
                  <c:v>2012 Q3</c:v>
                </c:pt>
                <c:pt idx="7">
                  <c:v>2012 Q4</c:v>
                </c:pt>
                <c:pt idx="8">
                  <c:v>2013 Q1</c:v>
                </c:pt>
                <c:pt idx="9">
                  <c:v>2013 Q2</c:v>
                </c:pt>
                <c:pt idx="10">
                  <c:v>2013 Q3</c:v>
                </c:pt>
                <c:pt idx="11">
                  <c:v>2013 Q4</c:v>
                </c:pt>
                <c:pt idx="12">
                  <c:v>2014 Q1</c:v>
                </c:pt>
                <c:pt idx="13">
                  <c:v>2014 Q2</c:v>
                </c:pt>
                <c:pt idx="14">
                  <c:v>2014 Q3</c:v>
                </c:pt>
                <c:pt idx="15">
                  <c:v>2014 Q4</c:v>
                </c:pt>
                <c:pt idx="16">
                  <c:v>2015 Q1</c:v>
                </c:pt>
                <c:pt idx="17">
                  <c:v>2015 Q2</c:v>
                </c:pt>
                <c:pt idx="18">
                  <c:v>2015 Q3</c:v>
                </c:pt>
                <c:pt idx="19">
                  <c:v>2015 Q4</c:v>
                </c:pt>
                <c:pt idx="20">
                  <c:v>2016 Q1</c:v>
                </c:pt>
              </c:strCache>
            </c:strRef>
          </c:cat>
          <c:val>
            <c:numRef>
              <c:f>'[Dane_WAW_KRA (2).xlsx]Arkusz1'!$C$8:$AM$8</c:f>
              <c:numCache>
                <c:formatCode>#,##0</c:formatCode>
                <c:ptCount val="21"/>
                <c:pt idx="0">
                  <c:v>6384</c:v>
                </c:pt>
                <c:pt idx="1">
                  <c:v>6853</c:v>
                </c:pt>
                <c:pt idx="2">
                  <c:v>6369</c:v>
                </c:pt>
                <c:pt idx="3">
                  <c:v>5879</c:v>
                </c:pt>
                <c:pt idx="4">
                  <c:v>7200</c:v>
                </c:pt>
                <c:pt idx="5">
                  <c:v>6254</c:v>
                </c:pt>
                <c:pt idx="6">
                  <c:v>6651</c:v>
                </c:pt>
                <c:pt idx="7">
                  <c:v>6530</c:v>
                </c:pt>
                <c:pt idx="8">
                  <c:v>7457</c:v>
                </c:pt>
                <c:pt idx="9">
                  <c:v>6183</c:v>
                </c:pt>
                <c:pt idx="10">
                  <c:v>6638</c:v>
                </c:pt>
                <c:pt idx="11">
                  <c:v>6187</c:v>
                </c:pt>
                <c:pt idx="12">
                  <c:v>7136</c:v>
                </c:pt>
                <c:pt idx="13">
                  <c:v>6307</c:v>
                </c:pt>
                <c:pt idx="14">
                  <c:v>6163</c:v>
                </c:pt>
                <c:pt idx="15">
                  <c:v>6450</c:v>
                </c:pt>
                <c:pt idx="16">
                  <c:v>6299</c:v>
                </c:pt>
                <c:pt idx="17">
                  <c:v>6435</c:v>
                </c:pt>
                <c:pt idx="18">
                  <c:v>5731</c:v>
                </c:pt>
                <c:pt idx="19">
                  <c:v>6637</c:v>
                </c:pt>
                <c:pt idx="20">
                  <c:v>6312</c:v>
                </c:pt>
              </c:numCache>
            </c:numRef>
          </c:val>
          <c:smooth val="0"/>
          <c:extLst xmlns:c16r2="http://schemas.microsoft.com/office/drawing/2015/06/chart">
            <c:ext xmlns:c16="http://schemas.microsoft.com/office/drawing/2014/chart" uri="{C3380CC4-5D6E-409C-BE32-E72D297353CC}">
              <c16:uniqueId val="{00000007-97E3-42AF-AA2D-C2C151647BA6}"/>
            </c:ext>
          </c:extLst>
        </c:ser>
        <c:dLbls>
          <c:showLegendKey val="0"/>
          <c:showVal val="0"/>
          <c:showCatName val="0"/>
          <c:showSerName val="0"/>
          <c:showPercent val="0"/>
          <c:showBubbleSize val="0"/>
        </c:dLbls>
        <c:marker val="1"/>
        <c:smooth val="0"/>
        <c:axId val="126658048"/>
        <c:axId val="126659584"/>
      </c:lineChart>
      <c:catAx>
        <c:axId val="126658048"/>
        <c:scaling>
          <c:orientation val="minMax"/>
        </c:scaling>
        <c:delete val="0"/>
        <c:axPos val="b"/>
        <c:numFmt formatCode="General" sourceLinked="0"/>
        <c:majorTickMark val="out"/>
        <c:minorTickMark val="none"/>
        <c:tickLblPos val="nextTo"/>
        <c:crossAx val="126659584"/>
        <c:crosses val="autoZero"/>
        <c:auto val="1"/>
        <c:lblAlgn val="ctr"/>
        <c:lblOffset val="100"/>
        <c:noMultiLvlLbl val="0"/>
      </c:catAx>
      <c:valAx>
        <c:axId val="126659584"/>
        <c:scaling>
          <c:orientation val="minMax"/>
          <c:min val="4000"/>
        </c:scaling>
        <c:delete val="0"/>
        <c:axPos val="l"/>
        <c:numFmt formatCode="#,##0" sourceLinked="1"/>
        <c:majorTickMark val="out"/>
        <c:minorTickMark val="none"/>
        <c:tickLblPos val="nextTo"/>
        <c:crossAx val="126658048"/>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[sprzedane mieszkania 2Q 2015_2016 (2).xlsx]ilość sprzedanych mieszkań!Tabela przestawna8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pl-PL"/>
              <a:t>Sprzedaż mieszkań [kwartalnie]*</a:t>
            </a:r>
          </a:p>
        </c:rich>
      </c:tx>
      <c:layout/>
      <c:overlay val="0"/>
      <c:spPr>
        <a:noFill/>
        <a:ln>
          <a:noFill/>
        </a:ln>
        <a:effectLst/>
      </c:sp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layout/>
            </c:ext>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dLbl>
      </c:pivotFmt>
    </c:pivotFmts>
    <c:plotArea>
      <c:layout/>
      <c:barChart>
        <c:barDir val="col"/>
        <c:grouping val="clustered"/>
        <c:varyColors val="0"/>
        <c:ser>
          <c:idx val="0"/>
          <c:order val="0"/>
          <c:tx>
            <c:strRef>
              <c:f>'ilość sprzedanych mieszkań'!$B$3</c:f>
              <c:strCache>
                <c:ptCount val="1"/>
                <c:pt idx="0">
                  <c:v>Suma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dLbls>
          <c:cat>
            <c:multiLvlStrRef>
              <c:f>'ilość sprzedanych mieszkań'!$A$4:$A$27</c:f>
              <c:multiLvlStrCache>
                <c:ptCount val="18"/>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pt idx="16">
                    <c:v>1Q</c:v>
                  </c:pt>
                  <c:pt idx="17">
                    <c:v>2Q</c:v>
                  </c:pt>
                </c:lvl>
                <c:lvl>
                  <c:pt idx="0">
                    <c:v>2012</c:v>
                  </c:pt>
                  <c:pt idx="4">
                    <c:v>2013</c:v>
                  </c:pt>
                  <c:pt idx="8">
                    <c:v>2014</c:v>
                  </c:pt>
                  <c:pt idx="12">
                    <c:v>2015</c:v>
                  </c:pt>
                  <c:pt idx="16">
                    <c:v>2016</c:v>
                  </c:pt>
                </c:lvl>
              </c:multiLvlStrCache>
            </c:multiLvlStrRef>
          </c:cat>
          <c:val>
            <c:numRef>
              <c:f>'ilość sprzedanych mieszkań'!$B$4:$B$27</c:f>
              <c:numCache>
                <c:formatCode>General</c:formatCode>
                <c:ptCount val="18"/>
                <c:pt idx="0">
                  <c:v>18</c:v>
                </c:pt>
                <c:pt idx="1">
                  <c:v>9</c:v>
                </c:pt>
                <c:pt idx="2">
                  <c:v>3</c:v>
                </c:pt>
                <c:pt idx="3">
                  <c:v>3</c:v>
                </c:pt>
                <c:pt idx="4">
                  <c:v>2</c:v>
                </c:pt>
                <c:pt idx="5">
                  <c:v>14</c:v>
                </c:pt>
                <c:pt idx="6">
                  <c:v>19</c:v>
                </c:pt>
                <c:pt idx="7">
                  <c:v>41</c:v>
                </c:pt>
                <c:pt idx="8">
                  <c:v>20</c:v>
                </c:pt>
                <c:pt idx="9">
                  <c:v>10</c:v>
                </c:pt>
                <c:pt idx="10">
                  <c:v>8</c:v>
                </c:pt>
                <c:pt idx="11">
                  <c:v>18</c:v>
                </c:pt>
                <c:pt idx="12">
                  <c:v>17</c:v>
                </c:pt>
                <c:pt idx="13">
                  <c:v>11</c:v>
                </c:pt>
                <c:pt idx="14">
                  <c:v>41</c:v>
                </c:pt>
                <c:pt idx="15">
                  <c:v>58</c:v>
                </c:pt>
                <c:pt idx="16">
                  <c:v>70</c:v>
                </c:pt>
                <c:pt idx="17">
                  <c:v>36</c:v>
                </c:pt>
              </c:numCache>
            </c:numRef>
          </c:val>
        </c:ser>
        <c:dLbls>
          <c:showLegendKey val="0"/>
          <c:showVal val="0"/>
          <c:showCatName val="0"/>
          <c:showSerName val="0"/>
          <c:showPercent val="0"/>
          <c:showBubbleSize val="0"/>
        </c:dLbls>
        <c:gapWidth val="219"/>
        <c:overlap val="-27"/>
        <c:axId val="126867328"/>
        <c:axId val="126868864"/>
      </c:barChart>
      <c:catAx>
        <c:axId val="12686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pl-PL"/>
          </a:p>
        </c:txPr>
        <c:crossAx val="126868864"/>
        <c:crosses val="autoZero"/>
        <c:auto val="1"/>
        <c:lblAlgn val="ctr"/>
        <c:lblOffset val="100"/>
        <c:noMultiLvlLbl val="0"/>
      </c:catAx>
      <c:valAx>
        <c:axId val="126868864"/>
        <c:scaling>
          <c:orientation val="minMax"/>
          <c:max val="8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pl-PL"/>
          </a:p>
        </c:txPr>
        <c:crossAx val="126867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pl-PL"/>
    </a:p>
  </c:txPr>
  <c:externalData r:id="rId2">
    <c:autoUpdate val="0"/>
  </c:externalData>
  <c:extLst>
    <c:ext xmlns:c14="http://schemas.microsoft.com/office/drawing/2007/8/2/chart" uri="{781A3756-C4B2-4CAC-9D66-4F8BD8637D16}">
      <c14:pivotOptions>
        <c14:dropZoneFilter val="1"/>
        <c14:dropZoneCatego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Przekazania </a:t>
            </a:r>
            <a:r>
              <a:rPr lang="pl-PL" sz="1200">
                <a:latin typeface="Times New Roman" panose="02020603050405020304" pitchFamily="18" charset="0"/>
                <a:cs typeface="Times New Roman" panose="02020603050405020304" pitchFamily="18" charset="0"/>
              </a:rPr>
              <a:t>mieszkań</a:t>
            </a:r>
            <a:r>
              <a:rPr lang="en-US" sz="1200">
                <a:latin typeface="Times New Roman" panose="02020603050405020304" pitchFamily="18" charset="0"/>
                <a:cs typeface="Times New Roman" panose="02020603050405020304" pitchFamily="18" charset="0"/>
              </a:rPr>
              <a:t> [kwartalnie]</a:t>
            </a:r>
          </a:p>
        </c:rich>
      </c:tx>
      <c:layout/>
      <c:overlay val="0"/>
    </c:title>
    <c:autoTitleDeleted val="0"/>
    <c:plotArea>
      <c:layout/>
      <c:barChart>
        <c:barDir val="col"/>
        <c:grouping val="clustered"/>
        <c:varyColors val="0"/>
        <c:ser>
          <c:idx val="0"/>
          <c:order val="0"/>
          <c:tx>
            <c:strRef>
              <c:f>Arkusz1!$A$4</c:f>
              <c:strCache>
                <c:ptCount val="1"/>
                <c:pt idx="0">
                  <c:v>Przekazania mieszkań [kwartalnie]</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Arkusz1!$B$3:$J$3</c:f>
              <c:strCache>
                <c:ptCount val="9"/>
                <c:pt idx="0">
                  <c:v>1Q 2014</c:v>
                </c:pt>
                <c:pt idx="1">
                  <c:v>2Q 2014</c:v>
                </c:pt>
                <c:pt idx="2">
                  <c:v>3Q 2014</c:v>
                </c:pt>
                <c:pt idx="3">
                  <c:v>4Q 2014</c:v>
                </c:pt>
                <c:pt idx="4">
                  <c:v>1Q 2015</c:v>
                </c:pt>
                <c:pt idx="5">
                  <c:v>2Q 2015</c:v>
                </c:pt>
                <c:pt idx="6">
                  <c:v>3Q 2015</c:v>
                </c:pt>
                <c:pt idx="7">
                  <c:v>4Q 2015</c:v>
                </c:pt>
                <c:pt idx="8">
                  <c:v>1Q 2016</c:v>
                </c:pt>
              </c:strCache>
            </c:strRef>
          </c:cat>
          <c:val>
            <c:numRef>
              <c:f>Arkusz1!$B$4:$J$4</c:f>
              <c:numCache>
                <c:formatCode>General</c:formatCode>
                <c:ptCount val="9"/>
                <c:pt idx="0">
                  <c:v>2</c:v>
                </c:pt>
                <c:pt idx="1">
                  <c:v>30</c:v>
                </c:pt>
                <c:pt idx="2">
                  <c:v>0</c:v>
                </c:pt>
                <c:pt idx="3">
                  <c:v>2</c:v>
                </c:pt>
                <c:pt idx="4">
                  <c:v>12</c:v>
                </c:pt>
                <c:pt idx="5">
                  <c:v>124</c:v>
                </c:pt>
                <c:pt idx="6">
                  <c:v>25</c:v>
                </c:pt>
                <c:pt idx="7">
                  <c:v>8</c:v>
                </c:pt>
                <c:pt idx="8">
                  <c:v>1</c:v>
                </c:pt>
              </c:numCache>
            </c:numRef>
          </c:val>
          <c:extLst xmlns:c16r2="http://schemas.microsoft.com/office/drawing/2015/06/chart">
            <c:ext xmlns:c16="http://schemas.microsoft.com/office/drawing/2014/chart" uri="{C3380CC4-5D6E-409C-BE32-E72D297353CC}">
              <c16:uniqueId val="{00000000-5B95-47B5-9D75-6E131C8CCE88}"/>
            </c:ext>
          </c:extLst>
        </c:ser>
        <c:dLbls>
          <c:showLegendKey val="0"/>
          <c:showVal val="0"/>
          <c:showCatName val="0"/>
          <c:showSerName val="0"/>
          <c:showPercent val="0"/>
          <c:showBubbleSize val="0"/>
        </c:dLbls>
        <c:gapWidth val="150"/>
        <c:axId val="127098880"/>
        <c:axId val="127100416"/>
      </c:barChart>
      <c:catAx>
        <c:axId val="12709888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127100416"/>
        <c:crosses val="autoZero"/>
        <c:auto val="1"/>
        <c:lblAlgn val="ctr"/>
        <c:lblOffset val="100"/>
        <c:noMultiLvlLbl val="0"/>
      </c:catAx>
      <c:valAx>
        <c:axId val="127100416"/>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12709888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FEEA6-7C94-4172-9497-CC4A5DC6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7205</Words>
  <Characters>45892</Characters>
  <Application>Microsoft Office Word</Application>
  <DocSecurity>0</DocSecurity>
  <Lines>382</Lines>
  <Paragraphs>105</Paragraphs>
  <ScaleCrop>false</ScaleCrop>
  <HeadingPairs>
    <vt:vector size="2" baseType="variant">
      <vt:variant>
        <vt:lpstr>Tytuł</vt:lpstr>
      </vt:variant>
      <vt:variant>
        <vt:i4>1</vt:i4>
      </vt:variant>
    </vt:vector>
  </HeadingPairs>
  <TitlesOfParts>
    <vt:vector size="1" baseType="lpstr">
      <vt:lpstr>Sprawozdanie z działalności Zarządu</vt:lpstr>
    </vt:vector>
  </TitlesOfParts>
  <Company>AM</Company>
  <LinksUpToDate>false</LinksUpToDate>
  <CharactersWithSpaces>52992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Zarządu</dc:title>
  <dc:creator>marta</dc:creator>
  <cp:lastModifiedBy>Elżbieta Rosińska</cp:lastModifiedBy>
  <cp:revision>6</cp:revision>
  <cp:lastPrinted>2016-05-30T16:15:00Z</cp:lastPrinted>
  <dcterms:created xsi:type="dcterms:W3CDTF">2016-05-30T13:12:00Z</dcterms:created>
  <dcterms:modified xsi:type="dcterms:W3CDTF">2016-05-30T16:53:00Z</dcterms:modified>
</cp:coreProperties>
</file>