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D7" w:rsidRPr="001F23B0" w:rsidRDefault="00E54BE4" w:rsidP="003B6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F23B0">
        <w:rPr>
          <w:rFonts w:ascii="Times New Roman" w:hAnsi="Times New Roman" w:cs="Times New Roman"/>
          <w:sz w:val="20"/>
          <w:szCs w:val="20"/>
        </w:rPr>
        <w:t>Temat: Informacja o zmianie Statutu Spółki Erbud S.A.</w:t>
      </w:r>
    </w:p>
    <w:p w:rsidR="00E54BE4" w:rsidRPr="001F23B0" w:rsidRDefault="00E54BE4" w:rsidP="003B6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9723F" w:rsidRPr="001F23B0" w:rsidRDefault="0019723F" w:rsidP="003B6C6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F23B0">
        <w:rPr>
          <w:rFonts w:ascii="Times New Roman" w:hAnsi="Times New Roman" w:cs="Times New Roman"/>
          <w:sz w:val="20"/>
          <w:szCs w:val="20"/>
          <w:u w:val="single"/>
        </w:rPr>
        <w:t>Treść raportu:</w:t>
      </w:r>
    </w:p>
    <w:p w:rsidR="0019723F" w:rsidRPr="001F23B0" w:rsidRDefault="0019723F" w:rsidP="003B6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39DD" w:rsidRPr="001F23B0" w:rsidRDefault="00353C79" w:rsidP="003B6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770F">
        <w:rPr>
          <w:rFonts w:ascii="Times New Roman" w:hAnsi="Times New Roman" w:cs="Times New Roman"/>
        </w:rPr>
        <w:t>Spółka ERBUD S.A. informuje</w:t>
      </w:r>
      <w:r>
        <w:rPr>
          <w:rFonts w:ascii="Times New Roman" w:hAnsi="Times New Roman" w:cs="Times New Roman"/>
        </w:rPr>
        <w:t xml:space="preserve">, iż Uchwałą nr </w:t>
      </w:r>
      <w:r w:rsidR="00C051F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/2016 Nadzwyczajnego Walnego Zgromadzenia Spółki ERBUD S.A. </w:t>
      </w:r>
      <w:r w:rsidR="00C051FE">
        <w:rPr>
          <w:rFonts w:ascii="Times New Roman" w:hAnsi="Times New Roman" w:cs="Times New Roman"/>
        </w:rPr>
        <w:t xml:space="preserve">z dnia 19 października 2016 roku </w:t>
      </w:r>
      <w:r>
        <w:rPr>
          <w:rFonts w:ascii="Times New Roman" w:hAnsi="Times New Roman" w:cs="Times New Roman"/>
        </w:rPr>
        <w:t>została dokonana zmiana</w:t>
      </w:r>
      <w:r w:rsidRPr="008E770F">
        <w:rPr>
          <w:rFonts w:ascii="Times New Roman" w:hAnsi="Times New Roman" w:cs="Times New Roman"/>
        </w:rPr>
        <w:t xml:space="preserve"> Statutu Spółki Erbud S.A.</w:t>
      </w:r>
      <w:r>
        <w:rPr>
          <w:rFonts w:ascii="Times New Roman" w:hAnsi="Times New Roman" w:cs="Times New Roman"/>
        </w:rPr>
        <w:t xml:space="preserve"> </w:t>
      </w:r>
    </w:p>
    <w:p w:rsidR="00353C79" w:rsidRDefault="00353C79" w:rsidP="003B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0ECC" w:rsidRPr="001F23B0" w:rsidRDefault="006B74AA" w:rsidP="003B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23B0">
        <w:rPr>
          <w:rFonts w:ascii="Times New Roman" w:hAnsi="Times New Roman" w:cs="Times New Roman"/>
          <w:sz w:val="20"/>
          <w:szCs w:val="20"/>
        </w:rPr>
        <w:t xml:space="preserve">Spółka Erbud S.A. publikuje </w:t>
      </w:r>
      <w:r w:rsidR="00D60ECC" w:rsidRPr="001F23B0">
        <w:rPr>
          <w:rFonts w:ascii="Times New Roman" w:hAnsi="Times New Roman" w:cs="Times New Roman"/>
          <w:sz w:val="20"/>
          <w:szCs w:val="20"/>
        </w:rPr>
        <w:t xml:space="preserve">dotychczas obowiązujące postanowienia </w:t>
      </w:r>
      <w:r w:rsidR="00CC0993" w:rsidRPr="001F23B0">
        <w:rPr>
          <w:rFonts w:ascii="Times New Roman" w:hAnsi="Times New Roman" w:cs="Times New Roman"/>
          <w:sz w:val="20"/>
          <w:szCs w:val="20"/>
        </w:rPr>
        <w:t>S</w:t>
      </w:r>
      <w:r w:rsidR="00D60ECC" w:rsidRPr="001F23B0">
        <w:rPr>
          <w:rFonts w:ascii="Times New Roman" w:hAnsi="Times New Roman" w:cs="Times New Roman"/>
          <w:sz w:val="20"/>
          <w:szCs w:val="20"/>
        </w:rPr>
        <w:t xml:space="preserve">tatutu </w:t>
      </w:r>
      <w:r w:rsidR="00C051FE">
        <w:rPr>
          <w:rFonts w:ascii="Times New Roman" w:hAnsi="Times New Roman" w:cs="Times New Roman"/>
          <w:sz w:val="20"/>
          <w:szCs w:val="20"/>
        </w:rPr>
        <w:t xml:space="preserve">Spółki </w:t>
      </w:r>
      <w:r w:rsidR="00D60ECC" w:rsidRPr="001F23B0">
        <w:rPr>
          <w:rFonts w:ascii="Times New Roman" w:hAnsi="Times New Roman" w:cs="Times New Roman"/>
          <w:sz w:val="20"/>
          <w:szCs w:val="20"/>
        </w:rPr>
        <w:t xml:space="preserve">oraz treść </w:t>
      </w:r>
      <w:r w:rsidR="00353C79">
        <w:rPr>
          <w:rFonts w:ascii="Times New Roman" w:hAnsi="Times New Roman" w:cs="Times New Roman"/>
          <w:sz w:val="20"/>
          <w:szCs w:val="20"/>
        </w:rPr>
        <w:t>przyjętych</w:t>
      </w:r>
      <w:r w:rsidR="00D60ECC" w:rsidRPr="001F23B0">
        <w:rPr>
          <w:rFonts w:ascii="Times New Roman" w:hAnsi="Times New Roman" w:cs="Times New Roman"/>
          <w:sz w:val="20"/>
          <w:szCs w:val="20"/>
        </w:rPr>
        <w:t xml:space="preserve"> zmian.</w:t>
      </w:r>
    </w:p>
    <w:p w:rsidR="006B74AA" w:rsidRPr="001F23B0" w:rsidRDefault="006B74AA" w:rsidP="003B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0993" w:rsidRPr="001F23B0" w:rsidRDefault="00CC0993" w:rsidP="003B6C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1F23B0">
        <w:rPr>
          <w:rFonts w:ascii="Times New Roman" w:hAnsi="Times New Roman"/>
          <w:b/>
          <w:sz w:val="20"/>
          <w:szCs w:val="20"/>
          <w:u w:val="single"/>
        </w:rPr>
        <w:t>Zmiany</w:t>
      </w:r>
      <w:proofErr w:type="spellEnd"/>
      <w:r w:rsidRPr="001F23B0">
        <w:rPr>
          <w:rFonts w:ascii="Times New Roman" w:hAnsi="Times New Roman"/>
          <w:b/>
          <w:sz w:val="20"/>
          <w:szCs w:val="20"/>
          <w:u w:val="single"/>
        </w:rPr>
        <w:t xml:space="preserve"> w § 11 </w:t>
      </w:r>
      <w:proofErr w:type="spellStart"/>
      <w:r w:rsidRPr="001F23B0">
        <w:rPr>
          <w:rFonts w:ascii="Times New Roman" w:hAnsi="Times New Roman"/>
          <w:b/>
          <w:sz w:val="20"/>
          <w:szCs w:val="20"/>
          <w:u w:val="single"/>
        </w:rPr>
        <w:t>Statutu</w:t>
      </w:r>
      <w:proofErr w:type="spellEnd"/>
      <w:r w:rsidRPr="001F23B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1F23B0">
        <w:rPr>
          <w:rFonts w:ascii="Times New Roman" w:hAnsi="Times New Roman"/>
          <w:b/>
          <w:sz w:val="20"/>
          <w:szCs w:val="20"/>
          <w:u w:val="single"/>
        </w:rPr>
        <w:t>Spółki</w:t>
      </w:r>
      <w:proofErr w:type="spellEnd"/>
      <w:r w:rsidRPr="001F23B0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170C3C" w:rsidRPr="001F23B0" w:rsidRDefault="00170C3C" w:rsidP="003B6C6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F23B0">
        <w:rPr>
          <w:rFonts w:ascii="Times New Roman" w:hAnsi="Times New Roman"/>
          <w:sz w:val="20"/>
          <w:szCs w:val="20"/>
        </w:rPr>
        <w:t xml:space="preserve"> </w:t>
      </w:r>
    </w:p>
    <w:p w:rsidR="00D60ECC" w:rsidRPr="001F23B0" w:rsidRDefault="00D60ECC" w:rsidP="003B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F23B0">
        <w:rPr>
          <w:rFonts w:ascii="Times New Roman" w:hAnsi="Times New Roman" w:cs="Times New Roman"/>
          <w:sz w:val="20"/>
          <w:szCs w:val="20"/>
          <w:u w:val="single"/>
        </w:rPr>
        <w:t>Dotychczasowa treść § 11 Statutu Spółki:</w:t>
      </w:r>
    </w:p>
    <w:p w:rsidR="00CC0993" w:rsidRPr="00F803C9" w:rsidRDefault="00CC0993" w:rsidP="003B6C68">
      <w:pPr>
        <w:jc w:val="center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„§ 11</w:t>
      </w:r>
    </w:p>
    <w:p w:rsidR="00CC0993" w:rsidRPr="00F803C9" w:rsidRDefault="00CC0993" w:rsidP="003B6C6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 xml:space="preserve">W skład Rady Nadzorczej wchodzi od 5 do 7 członków, w tym Przewodniczący oraz Wiceprzewodniczący Rady Nadzorczej. </w:t>
      </w:r>
    </w:p>
    <w:p w:rsidR="00CC0993" w:rsidRPr="00F803C9" w:rsidRDefault="00CC0993" w:rsidP="003B6C6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 xml:space="preserve">Członkowie Rady Nadzorczej są powoływani przez Walne Zgromadzenie na okres wspólnej trzyletniej kadencji. Walne Zgromadzenie wyznacza Przewodniczącego oraz Wiceprzewodniczącego Rady Nadzorczej. </w:t>
      </w:r>
    </w:p>
    <w:p w:rsidR="00CC0993" w:rsidRPr="00F803C9" w:rsidRDefault="00CC0993" w:rsidP="003B6C6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Do kompetencji Rady Nadzorczej należy: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zatwierdzanie projektów strategicznych planów wieloletnich Spółki,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zatwierdzanie projektów rocznych planów rzeczowo – finansowych,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zatwierdzanie projektów planów inwestycyjnych Spółki,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 xml:space="preserve">udzielanie zgody na nabycie, zbycie i obciążenie nieruchomości gruntowych </w:t>
      </w:r>
      <w:r w:rsidRPr="00F803C9">
        <w:rPr>
          <w:rFonts w:ascii="Times New Roman" w:hAnsi="Times New Roman" w:cs="Times New Roman"/>
          <w:sz w:val="20"/>
          <w:szCs w:val="20"/>
        </w:rPr>
        <w:br/>
        <w:t>i podobnych praw,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 xml:space="preserve">udzielanie zgody na przestawienie produkcji, zakładanie i rozwiązywanie zakładów i filii, nabycie nowych przedsiębiorstw, 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udzielanie zgody na udzielanie przez Spółkę gwarancji, poręczeń majątkowych i wystawianie weksli, przejęcie poręczeń, otwarcia akredytywy, o wartości każdorazowo powyżej równowartości kwoty 2.000.000,00 (słownie: dwóch milionów) Euro,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udzielanie zgody na inwestycje kapitałowe powyżej równowartości kwoty 100.000,00 (słownie: sto tysięcy) Euro z wyłączeniem lokat kapitałowych, bonów i obligacji skarbowych emitowanych w Polsce lub krajach na obszarze, których Spółka prowadzi działalność,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 xml:space="preserve">udzielanie zgody na nabycie, zbycie, obciążenie udziałów lub akcji w innych podmiotach, 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ustalanie sposobu głosowania przedstawicieli Spółki w organach spółek zależnych i stowarzyszonych w sprawie powoływania i odwoływania członków organów spółek zależnych i stowarzyszonych, rozwiązania lub likwidacji tych spółek, zmiany przedmiotu przedsiębiorstwa, podziału lub połączenia spółek zależnych i stowarzyszonych,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 xml:space="preserve"> udzielanie zgody na podejmowanie wszelkich czynności nie związanych </w:t>
      </w:r>
      <w:r w:rsidRPr="00F803C9">
        <w:rPr>
          <w:rFonts w:ascii="Times New Roman" w:hAnsi="Times New Roman" w:cs="Times New Roman"/>
          <w:sz w:val="20"/>
          <w:szCs w:val="20"/>
        </w:rPr>
        <w:br/>
        <w:t>z przedmiotem działalności spółki i czynności nadzwyczajnych o wartości przekraczającej równowartość kwoty 100.000,00 (słownie: sto tysięcy) Euro,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 xml:space="preserve"> udzielanie zgody na zawieranie umów z: </w:t>
      </w:r>
    </w:p>
    <w:p w:rsidR="00CC0993" w:rsidRPr="00F803C9" w:rsidRDefault="00CC0993" w:rsidP="003B6C6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ab/>
        <w:t xml:space="preserve">a) pracownikami akcjonariuszy, </w:t>
      </w:r>
    </w:p>
    <w:p w:rsidR="00CC0993" w:rsidRPr="00F803C9" w:rsidRDefault="00CC0993" w:rsidP="003B6C68">
      <w:pPr>
        <w:tabs>
          <w:tab w:val="left" w:pos="680"/>
        </w:tabs>
        <w:ind w:left="680" w:hanging="273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ab/>
        <w:t>b) podmiotami dominującymi w stosunku do Spółki, jednostkami podporządkowanymi wobec podmiotu dominującego albo współmałżonka lub osoby pozostającej z nim we wspólnym pożyciu, krewnymi i powinowatymi do drugiego stopnia, przysposobionymi lub przysposabiającymi, osobami związanymi z tytułu opieki lub kurateli, a także podmiotami, w których jedna z tych osób jest podmiotem dominującym lub osobą zarządzającą,</w:t>
      </w:r>
    </w:p>
    <w:p w:rsidR="00CC0993" w:rsidRPr="00F803C9" w:rsidRDefault="00CC0993" w:rsidP="003B6C68">
      <w:pPr>
        <w:tabs>
          <w:tab w:val="left" w:pos="680"/>
        </w:tabs>
        <w:ind w:left="680" w:hanging="273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lastRenderedPageBreak/>
        <w:tab/>
        <w:t xml:space="preserve">c) innymi akcjonariuszami posiadającymi powyżej 5% głosów na walnym zgromadzeniu Spółki, a także jednostkami od nich zależnymi lub podmiotami, w których są osobami zarządzającymi, </w:t>
      </w:r>
    </w:p>
    <w:p w:rsidR="00CC0993" w:rsidRPr="00F803C9" w:rsidRDefault="00CC0993" w:rsidP="003B6C68">
      <w:pPr>
        <w:tabs>
          <w:tab w:val="left" w:pos="680"/>
        </w:tabs>
        <w:ind w:left="680" w:hanging="273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ab/>
        <w:t xml:space="preserve">d) jednostkami podporządkowanymi wobec Spółki, </w:t>
      </w:r>
    </w:p>
    <w:p w:rsidR="00CC0993" w:rsidRPr="00F803C9" w:rsidRDefault="00CC0993" w:rsidP="003B6C68">
      <w:pPr>
        <w:tabs>
          <w:tab w:val="left" w:pos="680"/>
        </w:tabs>
        <w:ind w:left="680" w:hanging="273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ab/>
        <w:t xml:space="preserve">e) osobami zarządzającymi lub nadzorującymi Spółkę, ich współmałżonkami lub osobami pozostającymi z nimi we wspólnym pożyciu, krewnymi </w:t>
      </w:r>
      <w:r w:rsidRPr="00F803C9">
        <w:rPr>
          <w:rFonts w:ascii="Times New Roman" w:hAnsi="Times New Roman" w:cs="Times New Roman"/>
          <w:sz w:val="20"/>
          <w:szCs w:val="20"/>
        </w:rPr>
        <w:br/>
        <w:t>i powinowatymi do drugiego stopnia, przysposobionymi lub przysposabiającymi, a także podmiotami, w których jedna z tych osób jest podmiotem dominującym lub osobą zarządzającą;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 xml:space="preserve"> udzielanie zgody na inwestycje powyżej równowartości kwoty 100.000,00 (słownie: sto tysięcy) Euro, chyba że inwestycje te są zawarte w planie inwestycyjnym, zatwierdzonym przez Walne Zgromadzenie,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 xml:space="preserve"> udzielanie zgody na zawarcie umów najmu, dzierżawy i licencji, z okresem obowiązywania powyżej 36 miesięcy,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 xml:space="preserve"> udzielanie zgody na składanie ofert i zawieranie umów o roboty budowlane o wartości netto przekraczającej równowartość kwoty 15.000.000,00 (słownie: piętnastu milionów) Euro, w przypadku ofert wspólnych, miarodajna jest suma netto oferty, a nie udział spółki w ofercie, 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 xml:space="preserve"> udzielanie zgody na </w:t>
      </w:r>
      <w:r w:rsidRPr="00F803C9">
        <w:rPr>
          <w:rStyle w:val="Pogrubienie"/>
          <w:rFonts w:ascii="Times New Roman" w:hAnsi="Times New Roman" w:cs="Times New Roman"/>
          <w:sz w:val="20"/>
          <w:szCs w:val="20"/>
        </w:rPr>
        <w:t>rozporządzenie prawem lub zaciągnięcie zobowiązania</w:t>
      </w:r>
      <w:r w:rsidRPr="00F803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03C9">
        <w:rPr>
          <w:rFonts w:ascii="Times New Roman" w:hAnsi="Times New Roman" w:cs="Times New Roman"/>
          <w:sz w:val="20"/>
          <w:szCs w:val="20"/>
        </w:rPr>
        <w:t xml:space="preserve">o wartości przekraczającej równowartość kwoty 2.000.000,00 (słownie: dwóch milionów) Euro, </w:t>
      </w:r>
    </w:p>
    <w:p w:rsidR="00CC0993" w:rsidRPr="00F803C9" w:rsidRDefault="00CC0993" w:rsidP="003B6C6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zatrudnienie pracownika o rocznym wymiarze wynagrodzenia przekraczającym równowartość kwoty 100.000,00 (słownie: sto tysięcy) Euro.</w:t>
      </w:r>
    </w:p>
    <w:p w:rsidR="00CC0993" w:rsidRPr="00F803C9" w:rsidRDefault="00CC0993" w:rsidP="003B6C68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C0993" w:rsidRPr="00F803C9" w:rsidRDefault="00CC0993" w:rsidP="003B6C68">
      <w:pPr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b/>
          <w:sz w:val="20"/>
          <w:szCs w:val="20"/>
        </w:rPr>
        <w:t>„Równowartość”</w:t>
      </w:r>
      <w:r w:rsidRPr="00F803C9">
        <w:rPr>
          <w:rFonts w:ascii="Times New Roman" w:hAnsi="Times New Roman" w:cs="Times New Roman"/>
          <w:sz w:val="20"/>
          <w:szCs w:val="20"/>
        </w:rPr>
        <w:t xml:space="preserve"> oznacza równowartość w Euro kwoty wyrażonej w innej walucie, obliczoną zgodnie ze średnimi kursami walut, ogłoszonymi przez Narodowy Bank Polski w dniu bezpośrednio poprzedzającym dzień, w którym Zarząd złożył Radzie Nadzorczej wniosek o wyrażenie zgody na dokonanie transakcji, a w przypadku braku takiego wniosku  dzień dokonania transakcji”. </w:t>
      </w:r>
    </w:p>
    <w:p w:rsidR="00CC0993" w:rsidRPr="001F23B0" w:rsidRDefault="00353C79" w:rsidP="003B6C6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Nowe brzmienie</w:t>
      </w:r>
      <w:r w:rsidR="00CC0993" w:rsidRPr="001F23B0">
        <w:rPr>
          <w:rFonts w:ascii="Times New Roman" w:hAnsi="Times New Roman" w:cs="Times New Roman"/>
          <w:sz w:val="20"/>
          <w:szCs w:val="20"/>
          <w:u w:val="single"/>
        </w:rPr>
        <w:t xml:space="preserve"> § 11 Statutu Spółki:</w:t>
      </w:r>
    </w:p>
    <w:p w:rsidR="00427AD8" w:rsidRPr="001F23B0" w:rsidRDefault="00427AD8" w:rsidP="003B6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03C9" w:rsidRPr="00F803C9" w:rsidRDefault="00F803C9" w:rsidP="00F803C9">
      <w:pPr>
        <w:pStyle w:val="Bodytext20"/>
        <w:shd w:val="clear" w:color="auto" w:fill="auto"/>
        <w:spacing w:after="197" w:line="260" w:lineRule="exact"/>
        <w:ind w:left="20" w:firstLine="0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§ 11</w:t>
      </w:r>
    </w:p>
    <w:p w:rsidR="00F803C9" w:rsidRPr="00F803C9" w:rsidRDefault="00F803C9" w:rsidP="00F803C9">
      <w:pPr>
        <w:pStyle w:val="Bodytext20"/>
        <w:numPr>
          <w:ilvl w:val="0"/>
          <w:numId w:val="34"/>
        </w:numPr>
        <w:shd w:val="clear" w:color="auto" w:fill="auto"/>
        <w:tabs>
          <w:tab w:val="left" w:pos="426"/>
        </w:tabs>
        <w:spacing w:line="298" w:lineRule="exact"/>
        <w:ind w:left="40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 xml:space="preserve">W skład Rady Nadzorczej wchodzi od 5 do 7 członków, w tym Przewodniczący oraz Wiceprzewodniczący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>Rady Nadzorczej.</w:t>
      </w:r>
    </w:p>
    <w:p w:rsidR="00F803C9" w:rsidRPr="00F803C9" w:rsidRDefault="00F803C9" w:rsidP="00F803C9">
      <w:pPr>
        <w:pStyle w:val="Bodytext20"/>
        <w:numPr>
          <w:ilvl w:val="0"/>
          <w:numId w:val="34"/>
        </w:numPr>
        <w:shd w:val="clear" w:color="auto" w:fill="auto"/>
        <w:tabs>
          <w:tab w:val="left" w:pos="426"/>
        </w:tabs>
        <w:spacing w:line="298" w:lineRule="exact"/>
        <w:ind w:left="40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 xml:space="preserve">Członkowie Rady Nadzorczej są powoływani przez Walne Zgromadzenie na okres wspólnej trzyletniej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>kadencji. Walne Zgromadzenie wyznacza Przewodniczącego oraz Wiceprzewodniczącego Rady Nadzorczej.</w:t>
      </w:r>
    </w:p>
    <w:p w:rsidR="00F803C9" w:rsidRPr="00F803C9" w:rsidRDefault="00F803C9" w:rsidP="00F803C9">
      <w:pPr>
        <w:pStyle w:val="Bodytext20"/>
        <w:numPr>
          <w:ilvl w:val="0"/>
          <w:numId w:val="34"/>
        </w:numPr>
        <w:shd w:val="clear" w:color="auto" w:fill="auto"/>
        <w:tabs>
          <w:tab w:val="left" w:pos="373"/>
          <w:tab w:val="left" w:leader="dot" w:pos="9025"/>
        </w:tabs>
        <w:spacing w:line="298" w:lineRule="exact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Do kompetencji Rady Nadzorczej należy:</w:t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773"/>
          <w:tab w:val="left" w:leader="dot" w:pos="9025"/>
        </w:tabs>
        <w:spacing w:line="298" w:lineRule="exact"/>
        <w:ind w:left="40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zatwierdzanie strategicznych planów wieloletnich Spółki,</w:t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  <w:tab w:val="left" w:leader="dot" w:pos="9025"/>
        </w:tabs>
        <w:spacing w:line="298" w:lineRule="exact"/>
        <w:ind w:left="40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zatwierdzanie rocznych planów rzeczowo - finansowych,</w:t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  <w:tab w:val="left" w:leader="dot" w:pos="9025"/>
        </w:tabs>
        <w:spacing w:line="298" w:lineRule="exact"/>
        <w:ind w:left="40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zatwierdzanie planów inwestycyjnych Spółki,</w:t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 xml:space="preserve">udzielanie zgody na nabycie, zbycie i obciążenie nieruchomości, użytkowania  wieczystego lub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>udziału w nieruchomości,</w:t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 xml:space="preserve">udzielanie zgody na przestawienie produkcji, zakładanie i rozwiązywanie zakładów i filii, nabycie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>nowych przedsiębiorstw,</w:t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 xml:space="preserve">udzielanie zgody na udzielanie przez Spółkę gwarancji, poręczeń majątkowych i wystawianie weksli,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przejęcie poręczeń, otwarcia akredytywy, o wartości każdorazowo powyżej równowartości kwoty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>2.000.000,00 (słownie: dwóch milionów) Euro,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 xml:space="preserve">udzielanie zgody na inwestycje kapitałowe powyżej równowartości kwoty 100.000,00 (słownie: sto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tysięcy) Euro z wyłączeniem lokat kapitałowych, bonów i obligacji skarbowych emitowanych w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Polsce lub krajach na obszarze, których Spółka prowadzi </w:t>
      </w:r>
      <w:r w:rsidRPr="00F803C9">
        <w:rPr>
          <w:rFonts w:ascii="Times New Roman" w:hAnsi="Times New Roman" w:cs="Times New Roman"/>
          <w:i/>
          <w:sz w:val="22"/>
          <w:szCs w:val="22"/>
        </w:rPr>
        <w:lastRenderedPageBreak/>
        <w:t>działalność,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udzielanie zgody na nabycie, zbycie, obciążenie udziałów lub akcji w innych podmiotach,</w:t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 xml:space="preserve">ustalanie sposobu głosowania przedstawicieli Spółki w organach spółek zależnych i stowarzyszonych w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sprawie powoływania i odwoływania członków organów spółek zależnych i stowarzyszonych,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rozwiązania lub likwidacji tych spółek, zmiany przedmiotu przedsiębiorstwa, podziału lub połączenia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>spółek zależnych i stowarzyszonych,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 xml:space="preserve">udzielanie zgody na podejmowanie wszelkich czynności nie związanych z przedmiotem działalności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Spółki i czynności nadzwyczajnych o wartości przekraczającej równowartość kwoty 100.000,00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(słownie: sto tysięcy) Euro, </w:t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851"/>
          <w:tab w:val="left" w:leader="dot" w:pos="9038"/>
        </w:tabs>
        <w:spacing w:line="298" w:lineRule="exact"/>
        <w:ind w:left="709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udzielanie zgody na zawieranie umów z akcjonariuszami posiadającymi co najmniej 5% ogólnej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liczby głosów na walnym zgromadzeniu Spółki oraz podmiotami powiązanymi w rozumieniu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międzynarodowych standardów rachunkowości przyjętych zgodnie z rozporządzeniem (WE) nr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1606/2002 Parlamentu Europejskiego i Rady z dnia 19 lipca 2002 r. w sprawie stosowania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międzynarodowych standardów rachunkowości; Powyższemu obowiązkowi nie podlegają transakcje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typowe i zawierane na warunkach rynkowych w ramach prowadzonej działalności operacyjnej przez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spółkę z podmiotami wchodzącymi w skład grupy kapitałowej spółki, </w:t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851"/>
          <w:tab w:val="left" w:leader="dot" w:pos="9038"/>
        </w:tabs>
        <w:spacing w:line="298" w:lineRule="exact"/>
        <w:ind w:left="709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udzielanie zgody na inwestycje powyżej równowartości kwoty 100.000,00 (słownie: sto tysięcy)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Euro,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>chyba że inwestycje te są zawarte w planie inwestycyjnym, zatwierdzonym przez Radę Nadzorczą,</w:t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851"/>
          <w:tab w:val="left" w:leader="dot" w:pos="9038"/>
        </w:tabs>
        <w:spacing w:line="298" w:lineRule="exact"/>
        <w:ind w:left="709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udzielanie zgody na zawarcie umów najmu, dzierżawy i licencji, z okresem obowiązywania powyżej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>48 miesięcy zawieranych poza zwykłym tokiem działalności i nieprzewidzianych w budżecie,</w:t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851"/>
          <w:tab w:val="left" w:leader="dot" w:pos="9038"/>
        </w:tabs>
        <w:spacing w:line="298" w:lineRule="exact"/>
        <w:ind w:left="709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udzielanie zgody na składanie ofert i zawieranie umów o roboty budowlane o wartości netto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przekraczającej równowartość kwoty 15.000.000,00 (słownie: piętnastu milionów) Euro, w przypadku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ofert wspólnych, miarodajna jest suma netto oferty, a nie udział spółki w ofercie, </w:t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udzielanie zgody na rozporządzenie prawem lub zaciągnięcie zobowiązania o wartości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>przekraczającej równowartość kwoty 2.000.000,00 (słownie: dwóch milionów) Euro,</w:t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udzielanie zgody na zatrudnienie pracownika o rocznym wymiarze wynagrodzenia przekraczającym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>równowartość kwoty 100.000,00 (słownie: sto tysięcy) Euro,</w:t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udzielanie zgody na zasiadanie członków zarządu Spółki w zarządach lub radach nadzorczych spółek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spoza grupy kapitałowej spółki oraz w przypadkach określonych w art. 380 § 1 Kodeksu spółek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>handlowych,</w:t>
      </w:r>
    </w:p>
    <w:p w:rsidR="00F803C9" w:rsidRPr="00F803C9" w:rsidRDefault="00F803C9" w:rsidP="00F803C9">
      <w:pPr>
        <w:pStyle w:val="Bodytext20"/>
        <w:numPr>
          <w:ilvl w:val="0"/>
          <w:numId w:val="35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inne sprawy zastrzeżone do kompetencji Rady Nadzorczej przepisami prawa, postanowieniami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niniejszego Statutu, przekazane na wniosek Zarządu lub delegowane uchwałą Walnego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 xml:space="preserve">Zgromadzenia. </w:t>
      </w:r>
    </w:p>
    <w:p w:rsidR="00F803C9" w:rsidRPr="00F803C9" w:rsidRDefault="00F803C9" w:rsidP="00F803C9">
      <w:pPr>
        <w:pStyle w:val="Bodytext20"/>
        <w:shd w:val="clear" w:color="auto" w:fill="auto"/>
        <w:tabs>
          <w:tab w:val="left" w:pos="908"/>
        </w:tabs>
        <w:spacing w:line="298" w:lineRule="exact"/>
        <w:ind w:left="74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803C9" w:rsidRPr="00F803C9" w:rsidRDefault="00F803C9" w:rsidP="00F803C9">
      <w:pPr>
        <w:pStyle w:val="Bodytext20"/>
        <w:shd w:val="clear" w:color="auto" w:fill="auto"/>
        <w:tabs>
          <w:tab w:val="left" w:leader="dot" w:pos="9038"/>
        </w:tabs>
        <w:spacing w:line="298" w:lineRule="exact"/>
        <w:ind w:left="426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„Równowartość” </w:t>
      </w:r>
      <w:r w:rsidRPr="00F803C9">
        <w:rPr>
          <w:rFonts w:ascii="Times New Roman" w:hAnsi="Times New Roman" w:cs="Times New Roman"/>
          <w:i/>
          <w:sz w:val="22"/>
          <w:szCs w:val="22"/>
        </w:rPr>
        <w:t xml:space="preserve">oznacza równowartość w Euro kwoty wyrażonej w innej walucie, obliczoną zgodnie ze średnimi kursami walut, ogłoszonymi przez Narodowy Bank Polski w dniu bezpośrednio poprzedzającym dzień, w którym Zarząd złożył Radzie Nadzorczej wniosek o </w:t>
      </w:r>
      <w:r w:rsidRPr="00F803C9">
        <w:rPr>
          <w:rFonts w:ascii="Times New Roman" w:hAnsi="Times New Roman" w:cs="Times New Roman"/>
          <w:i/>
          <w:sz w:val="22"/>
          <w:szCs w:val="22"/>
        </w:rPr>
        <w:lastRenderedPageBreak/>
        <w:t xml:space="preserve">wyrażenie zgody na dokonanie transakcji, a w przypadku braku takiego wniosku dzień dokonania transakcji. </w:t>
      </w:r>
    </w:p>
    <w:p w:rsidR="00643C8C" w:rsidRPr="001F23B0" w:rsidRDefault="00643C8C" w:rsidP="003B6C68">
      <w:pPr>
        <w:pStyle w:val="Bodytext20"/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43C8C" w:rsidRPr="001F23B0" w:rsidRDefault="00643C8C" w:rsidP="003B6C68">
      <w:pPr>
        <w:pStyle w:val="Bodytext20"/>
        <w:numPr>
          <w:ilvl w:val="0"/>
          <w:numId w:val="32"/>
        </w:numPr>
        <w:shd w:val="clear" w:color="auto" w:fill="auto"/>
        <w:tabs>
          <w:tab w:val="left" w:pos="908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23B0">
        <w:rPr>
          <w:rFonts w:ascii="Times New Roman" w:hAnsi="Times New Roman" w:cs="Times New Roman"/>
          <w:b/>
          <w:sz w:val="20"/>
          <w:szCs w:val="20"/>
          <w:u w:val="single"/>
        </w:rPr>
        <w:t>Do treści Statutu dodan</w:t>
      </w:r>
      <w:r w:rsidR="00F803C9">
        <w:rPr>
          <w:rFonts w:ascii="Times New Roman" w:hAnsi="Times New Roman" w:cs="Times New Roman"/>
          <w:b/>
          <w:sz w:val="20"/>
          <w:szCs w:val="20"/>
          <w:u w:val="single"/>
        </w:rPr>
        <w:t>o</w:t>
      </w:r>
      <w:r w:rsidRPr="001F23B0">
        <w:rPr>
          <w:rFonts w:ascii="Times New Roman" w:hAnsi="Times New Roman" w:cs="Times New Roman"/>
          <w:b/>
          <w:sz w:val="20"/>
          <w:szCs w:val="20"/>
          <w:u w:val="single"/>
        </w:rPr>
        <w:t xml:space="preserve"> § § 11a i § 11b w brzmieniu:</w:t>
      </w:r>
    </w:p>
    <w:p w:rsidR="00643C8C" w:rsidRPr="001F23B0" w:rsidRDefault="00643C8C" w:rsidP="003B6C68">
      <w:pPr>
        <w:pStyle w:val="Bodytext20"/>
        <w:shd w:val="clear" w:color="auto" w:fill="auto"/>
        <w:tabs>
          <w:tab w:val="left" w:pos="908"/>
        </w:tabs>
        <w:spacing w:line="276" w:lineRule="auto"/>
        <w:ind w:left="1440"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3C8C" w:rsidRPr="001F23B0" w:rsidRDefault="00643C8C" w:rsidP="003B6C68">
      <w:pPr>
        <w:tabs>
          <w:tab w:val="right" w:leader="hyphen" w:pos="9356"/>
          <w:tab w:val="right" w:leader="hyphen" w:pos="9469"/>
        </w:tabs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1F23B0">
        <w:rPr>
          <w:rFonts w:ascii="Times New Roman" w:hAnsi="Times New Roman" w:cs="Times New Roman"/>
          <w:bCs/>
          <w:i/>
          <w:sz w:val="20"/>
          <w:szCs w:val="20"/>
        </w:rPr>
        <w:t>„§ 11a</w:t>
      </w:r>
    </w:p>
    <w:p w:rsidR="00643C8C" w:rsidRPr="001F23B0" w:rsidRDefault="00643C8C" w:rsidP="003B6C68">
      <w:pPr>
        <w:tabs>
          <w:tab w:val="right" w:leader="hyphen" w:pos="9356"/>
          <w:tab w:val="right" w:leader="hyphen" w:pos="9469"/>
        </w:tabs>
        <w:rPr>
          <w:rFonts w:ascii="Times New Roman" w:hAnsi="Times New Roman" w:cs="Times New Roman"/>
          <w:bCs/>
          <w:i/>
          <w:sz w:val="20"/>
          <w:szCs w:val="20"/>
        </w:rPr>
      </w:pPr>
    </w:p>
    <w:p w:rsidR="00643C8C" w:rsidRPr="001F23B0" w:rsidRDefault="00643C8C" w:rsidP="003B6C68">
      <w:pPr>
        <w:pStyle w:val="Akapitzlist"/>
        <w:widowControl w:val="0"/>
        <w:numPr>
          <w:ilvl w:val="0"/>
          <w:numId w:val="28"/>
        </w:numPr>
        <w:tabs>
          <w:tab w:val="right" w:leader="hyphen" w:pos="9356"/>
          <w:tab w:val="right" w:leader="hyphen" w:pos="9469"/>
        </w:tabs>
        <w:suppressAutoHyphens/>
        <w:spacing w:line="276" w:lineRule="auto"/>
        <w:ind w:left="284" w:hanging="284"/>
        <w:jc w:val="both"/>
        <w:rPr>
          <w:rFonts w:ascii="Times New Roman" w:eastAsia="SimSun" w:hAnsi="Times New Roman"/>
          <w:i/>
          <w:kern w:val="1"/>
          <w:sz w:val="20"/>
          <w:szCs w:val="20"/>
          <w:lang w:val="pl-PL" w:eastAsia="hi-IN" w:bidi="hi-IN"/>
        </w:rPr>
      </w:pPr>
      <w:r w:rsidRPr="001F23B0">
        <w:rPr>
          <w:rFonts w:ascii="Times New Roman" w:hAnsi="Times New Roman"/>
          <w:i/>
          <w:kern w:val="1"/>
          <w:sz w:val="20"/>
          <w:szCs w:val="20"/>
          <w:lang w:val="pl-PL" w:bidi="hi-IN"/>
        </w:rPr>
        <w:t>Tak długo jak akcje Spółki będą dopuszczone do obrotu na rynku regulowanym, co najmniej dwóch członków Rady Nadzorczej powinno spełniać kryteria niezależności od Spółki i podmiotów pozostających w istotnym powiązaniu ze Spółką, wynikające z zasad ładu korporacyjnego, uchwalanych przez Radę Giełdy Papierów Wartościowych w Warszawie S.A., obowiązujących na rynku regulowanym na terytorium Rzeczypospolitej Polskiej, na którym są notowane akcje Spółki.</w:t>
      </w:r>
    </w:p>
    <w:p w:rsidR="00643C8C" w:rsidRPr="001F23B0" w:rsidRDefault="00643C8C" w:rsidP="003B6C68">
      <w:pPr>
        <w:pStyle w:val="Akapitzlist"/>
        <w:widowControl w:val="0"/>
        <w:numPr>
          <w:ilvl w:val="0"/>
          <w:numId w:val="28"/>
        </w:numPr>
        <w:tabs>
          <w:tab w:val="right" w:leader="hyphen" w:pos="9356"/>
          <w:tab w:val="right" w:leader="hyphen" w:pos="9469"/>
        </w:tabs>
        <w:suppressAutoHyphens/>
        <w:spacing w:line="276" w:lineRule="auto"/>
        <w:ind w:left="284" w:hanging="284"/>
        <w:jc w:val="both"/>
        <w:rPr>
          <w:rFonts w:ascii="Times New Roman" w:eastAsia="SimSun" w:hAnsi="Times New Roman"/>
          <w:i/>
          <w:kern w:val="1"/>
          <w:sz w:val="20"/>
          <w:szCs w:val="20"/>
          <w:lang w:val="pl-PL" w:eastAsia="hi-IN" w:bidi="hi-IN"/>
        </w:rPr>
      </w:pPr>
      <w:r w:rsidRPr="001F23B0">
        <w:rPr>
          <w:rFonts w:ascii="Times New Roman" w:hAnsi="Times New Roman"/>
          <w:i/>
          <w:kern w:val="1"/>
          <w:sz w:val="20"/>
          <w:szCs w:val="20"/>
          <w:lang w:val="pl-PL" w:bidi="hi-IN"/>
        </w:rPr>
        <w:t xml:space="preserve">Niespełnienie kryteriów niezależności, o których mowa w ust. 1 powyżej, przez któregokolwiek z członków Rady Nadzorczej, bądź utrata statusu Niezależnego Członka Rady Nadzorczej w trakcie kadencji, nie powoduje wygaśnięcia jego mandatu i nie ma wpływu na zdolność Rady Nadzorczej do wykonywania kompetencji przewidzianych w Kodeksie spółek handlowych i w niniejszym Statucie. </w:t>
      </w:r>
    </w:p>
    <w:p w:rsidR="00643C8C" w:rsidRPr="001F23B0" w:rsidRDefault="00643C8C" w:rsidP="003B6C68">
      <w:pPr>
        <w:tabs>
          <w:tab w:val="right" w:leader="hyphen" w:pos="9356"/>
          <w:tab w:val="right" w:leader="hyphen" w:pos="9469"/>
        </w:tabs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43C8C" w:rsidRPr="001F23B0" w:rsidRDefault="00643C8C" w:rsidP="003B6C68">
      <w:pPr>
        <w:tabs>
          <w:tab w:val="right" w:leader="hyphen" w:pos="9356"/>
          <w:tab w:val="right" w:leader="hyphen" w:pos="9469"/>
        </w:tabs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1F23B0">
        <w:rPr>
          <w:rFonts w:ascii="Times New Roman" w:hAnsi="Times New Roman" w:cs="Times New Roman"/>
          <w:bCs/>
          <w:i/>
          <w:sz w:val="20"/>
          <w:szCs w:val="20"/>
        </w:rPr>
        <w:t xml:space="preserve">§ 11b </w:t>
      </w:r>
    </w:p>
    <w:p w:rsidR="00643C8C" w:rsidRPr="001F23B0" w:rsidRDefault="00643C8C" w:rsidP="003B6C68">
      <w:pPr>
        <w:pStyle w:val="Akapitzlist"/>
        <w:tabs>
          <w:tab w:val="right" w:leader="hyphen" w:pos="9356"/>
          <w:tab w:val="right" w:leader="hyphen" w:pos="9469"/>
        </w:tabs>
        <w:spacing w:line="276" w:lineRule="auto"/>
        <w:ind w:left="426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643C8C" w:rsidRPr="001F23B0" w:rsidRDefault="00643C8C" w:rsidP="003B6C68">
      <w:pPr>
        <w:pStyle w:val="Akapitzlist"/>
        <w:numPr>
          <w:ilvl w:val="0"/>
          <w:numId w:val="27"/>
        </w:numPr>
        <w:tabs>
          <w:tab w:val="left" w:pos="567"/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F23B0">
        <w:rPr>
          <w:rFonts w:ascii="Times New Roman" w:hAnsi="Times New Roman"/>
          <w:i/>
          <w:kern w:val="1"/>
          <w:sz w:val="20"/>
          <w:szCs w:val="20"/>
          <w:lang w:val="pl-PL" w:bidi="hi-IN"/>
        </w:rPr>
        <w:t>Tak długo jak akcje Spółki będą dopuszczone</w:t>
      </w:r>
      <w:r w:rsidRPr="001F23B0">
        <w:rPr>
          <w:rFonts w:ascii="Times New Roman" w:hAnsi="Times New Roman"/>
          <w:i/>
          <w:sz w:val="20"/>
          <w:szCs w:val="20"/>
          <w:lang w:val="pl-PL"/>
        </w:rPr>
        <w:t xml:space="preserve"> do obrotu na rynku regulowanym, Rada Nadzorcza powołuje komitet audytu, w którego skład wchodzi co najmniej 3 (trzech) jej członków, w tym przynajmniej jeden członek powinien spełniać warunki niezależności w rozumieniu art. 86 ust. 5 ustawy z dnia 7 maja 2009 r. o biegłych rewidentach i ich samorządzie, podmiotach uprawnionych do badania sprawozdań finansowych oraz o nadzorze publicznym i mieć kwalifikacje w dziedzinie rachunkowości lub rewizji finansowej</w:t>
      </w:r>
      <w:r w:rsidR="00355F80">
        <w:rPr>
          <w:rFonts w:ascii="Times New Roman" w:hAnsi="Times New Roman"/>
          <w:i/>
          <w:sz w:val="20"/>
          <w:szCs w:val="20"/>
          <w:lang w:val="pl-PL"/>
        </w:rPr>
        <w:t>.</w:t>
      </w:r>
    </w:p>
    <w:p w:rsidR="00643C8C" w:rsidRPr="001F23B0" w:rsidRDefault="00643C8C" w:rsidP="003B6C68">
      <w:pPr>
        <w:pStyle w:val="Akapitzlist"/>
        <w:numPr>
          <w:ilvl w:val="0"/>
          <w:numId w:val="27"/>
        </w:numPr>
        <w:tabs>
          <w:tab w:val="left" w:pos="567"/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F23B0">
        <w:rPr>
          <w:rFonts w:ascii="Times New Roman" w:hAnsi="Times New Roman"/>
          <w:i/>
          <w:sz w:val="20"/>
          <w:szCs w:val="20"/>
          <w:lang w:val="pl-PL"/>
        </w:rPr>
        <w:t xml:space="preserve">Rada Nadzorcza, która liczy nie więcej niż 5 (pięciu) członków, może wykonywać zadania komitetu audytu. </w:t>
      </w:r>
    </w:p>
    <w:p w:rsidR="00643C8C" w:rsidRPr="001F23B0" w:rsidRDefault="00643C8C" w:rsidP="003B6C68">
      <w:pPr>
        <w:pStyle w:val="Akapitzlist"/>
        <w:numPr>
          <w:ilvl w:val="0"/>
          <w:numId w:val="27"/>
        </w:numPr>
        <w:tabs>
          <w:tab w:val="left" w:pos="567"/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F23B0">
        <w:rPr>
          <w:rFonts w:ascii="Times New Roman" w:hAnsi="Times New Roman"/>
          <w:i/>
          <w:sz w:val="20"/>
          <w:szCs w:val="20"/>
          <w:lang w:val="pl-PL"/>
        </w:rPr>
        <w:t xml:space="preserve">Do zadań komitetu audytu należy w szczególności: </w:t>
      </w:r>
    </w:p>
    <w:p w:rsidR="00643C8C" w:rsidRPr="001F23B0" w:rsidRDefault="00643C8C" w:rsidP="003B6C68">
      <w:pPr>
        <w:pStyle w:val="Akapitzlist"/>
        <w:numPr>
          <w:ilvl w:val="0"/>
          <w:numId w:val="29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1F23B0">
        <w:rPr>
          <w:rFonts w:ascii="Times New Roman" w:hAnsi="Times New Roman"/>
          <w:i/>
          <w:sz w:val="20"/>
          <w:szCs w:val="20"/>
        </w:rPr>
        <w:t>monitorowanie</w:t>
      </w:r>
      <w:proofErr w:type="spellEnd"/>
      <w:r w:rsidRPr="001F23B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F23B0">
        <w:rPr>
          <w:rFonts w:ascii="Times New Roman" w:hAnsi="Times New Roman"/>
          <w:i/>
          <w:sz w:val="20"/>
          <w:szCs w:val="20"/>
        </w:rPr>
        <w:t>procesu</w:t>
      </w:r>
      <w:proofErr w:type="spellEnd"/>
      <w:r w:rsidRPr="001F23B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F23B0">
        <w:rPr>
          <w:rFonts w:ascii="Times New Roman" w:hAnsi="Times New Roman"/>
          <w:i/>
          <w:sz w:val="20"/>
          <w:szCs w:val="20"/>
        </w:rPr>
        <w:t>sprawozdawczości</w:t>
      </w:r>
      <w:proofErr w:type="spellEnd"/>
      <w:r w:rsidRPr="001F23B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F23B0">
        <w:rPr>
          <w:rFonts w:ascii="Times New Roman" w:hAnsi="Times New Roman"/>
          <w:i/>
          <w:sz w:val="20"/>
          <w:szCs w:val="20"/>
        </w:rPr>
        <w:t>finansowej</w:t>
      </w:r>
      <w:proofErr w:type="spellEnd"/>
      <w:r w:rsidRPr="001F23B0">
        <w:rPr>
          <w:rFonts w:ascii="Times New Roman" w:hAnsi="Times New Roman"/>
          <w:i/>
          <w:sz w:val="20"/>
          <w:szCs w:val="20"/>
        </w:rPr>
        <w:t xml:space="preserve">; </w:t>
      </w:r>
    </w:p>
    <w:p w:rsidR="00643C8C" w:rsidRPr="001F23B0" w:rsidRDefault="00643C8C" w:rsidP="003B6C68">
      <w:pPr>
        <w:pStyle w:val="Akapitzlist"/>
        <w:numPr>
          <w:ilvl w:val="0"/>
          <w:numId w:val="29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F23B0">
        <w:rPr>
          <w:rFonts w:ascii="Times New Roman" w:hAnsi="Times New Roman"/>
          <w:i/>
          <w:sz w:val="20"/>
          <w:szCs w:val="20"/>
          <w:lang w:val="pl-PL"/>
        </w:rPr>
        <w:t>przegląd transakcji z podmiotami powiązanymi;</w:t>
      </w:r>
    </w:p>
    <w:p w:rsidR="00643C8C" w:rsidRPr="001F23B0" w:rsidRDefault="00643C8C" w:rsidP="003B6C68">
      <w:pPr>
        <w:pStyle w:val="Akapitzlist"/>
        <w:numPr>
          <w:ilvl w:val="0"/>
          <w:numId w:val="29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F23B0">
        <w:rPr>
          <w:rFonts w:ascii="Times New Roman" w:hAnsi="Times New Roman"/>
          <w:i/>
          <w:sz w:val="20"/>
          <w:szCs w:val="20"/>
          <w:lang w:val="pl-PL"/>
        </w:rPr>
        <w:t xml:space="preserve">monitorowanie skuteczności systemów kontroli wewnętrznej, audytu wewnętrznego oraz zarządzania ryzykiem; </w:t>
      </w:r>
    </w:p>
    <w:p w:rsidR="00643C8C" w:rsidRPr="001F23B0" w:rsidRDefault="00643C8C" w:rsidP="003B6C68">
      <w:pPr>
        <w:pStyle w:val="Akapitzlist"/>
        <w:numPr>
          <w:ilvl w:val="0"/>
          <w:numId w:val="29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F23B0">
        <w:rPr>
          <w:rFonts w:ascii="Times New Roman" w:hAnsi="Times New Roman"/>
          <w:i/>
          <w:sz w:val="20"/>
          <w:szCs w:val="20"/>
          <w:lang w:val="pl-PL"/>
        </w:rPr>
        <w:t xml:space="preserve">monitorowanie wykonywania czynności rewizji finansowej; </w:t>
      </w:r>
    </w:p>
    <w:p w:rsidR="00643C8C" w:rsidRPr="001F23B0" w:rsidRDefault="00643C8C" w:rsidP="003B6C68">
      <w:pPr>
        <w:pStyle w:val="Akapitzlist"/>
        <w:numPr>
          <w:ilvl w:val="0"/>
          <w:numId w:val="29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F23B0">
        <w:rPr>
          <w:rFonts w:ascii="Times New Roman" w:hAnsi="Times New Roman"/>
          <w:i/>
          <w:sz w:val="20"/>
          <w:szCs w:val="20"/>
          <w:lang w:val="pl-PL"/>
        </w:rPr>
        <w:t xml:space="preserve">monitorowanie niezależności biegłego rewidenta i podmiotu uprawnionego do badania sprawozdań finansowych, w tym w wypadku świadczenia na rzecz Spółki innych niż rewizja finansowa usług; </w:t>
      </w:r>
    </w:p>
    <w:p w:rsidR="00643C8C" w:rsidRPr="001F23B0" w:rsidRDefault="00643C8C" w:rsidP="003B6C68">
      <w:pPr>
        <w:pStyle w:val="Akapitzlist"/>
        <w:numPr>
          <w:ilvl w:val="0"/>
          <w:numId w:val="29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F23B0">
        <w:rPr>
          <w:rFonts w:ascii="Times New Roman" w:hAnsi="Times New Roman"/>
          <w:i/>
          <w:sz w:val="20"/>
          <w:szCs w:val="20"/>
          <w:lang w:val="pl-PL"/>
        </w:rPr>
        <w:t>rekomendowanie Radzie Nadzorczej podmiotu uprawnionego do badania sprawozdań finansowych do przeprowadzenia czynności rewizji finansowej Spółki.</w:t>
      </w:r>
    </w:p>
    <w:p w:rsidR="00643C8C" w:rsidRPr="001F23B0" w:rsidRDefault="00643C8C" w:rsidP="003B6C68">
      <w:pPr>
        <w:pStyle w:val="Akapitzlist"/>
        <w:numPr>
          <w:ilvl w:val="0"/>
          <w:numId w:val="27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F23B0">
        <w:rPr>
          <w:rFonts w:ascii="Times New Roman" w:hAnsi="Times New Roman"/>
          <w:i/>
          <w:sz w:val="20"/>
          <w:szCs w:val="20"/>
          <w:lang w:val="pl-PL"/>
        </w:rPr>
        <w:t>Rada Nadzorcza może powołać również inne komitety, w szczególności komitet nominacji i wynagrodzeń. Szczegółowe zadania oraz zasady powoływania i funkcjonowania poszczególnych komitetów, w tym komitetu audytu, określi Rada Nadzorcza.”</w:t>
      </w:r>
    </w:p>
    <w:p w:rsidR="00643C8C" w:rsidRPr="001F23B0" w:rsidRDefault="00643C8C" w:rsidP="003B6C68">
      <w:pPr>
        <w:pStyle w:val="Bodytext20"/>
        <w:shd w:val="clear" w:color="auto" w:fill="auto"/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103FA6" w:rsidRPr="001F23B0" w:rsidRDefault="001F23B0" w:rsidP="003B6C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3B0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3B6C68">
        <w:rPr>
          <w:rFonts w:ascii="Times New Roman" w:hAnsi="Times New Roman" w:cs="Times New Roman"/>
          <w:b/>
          <w:sz w:val="20"/>
          <w:szCs w:val="20"/>
          <w:u w:val="single"/>
        </w:rPr>
        <w:t>Zmiany w § 15 Statutu Spółki:</w:t>
      </w:r>
    </w:p>
    <w:p w:rsidR="00272ED7" w:rsidRPr="001F23B0" w:rsidRDefault="00272ED7" w:rsidP="003B6C68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F23B0">
        <w:rPr>
          <w:rFonts w:ascii="Times New Roman" w:hAnsi="Times New Roman" w:cs="Times New Roman"/>
          <w:sz w:val="20"/>
          <w:szCs w:val="20"/>
          <w:u w:val="single"/>
        </w:rPr>
        <w:t>Dotychczasowa treść § 15 Statutu:</w:t>
      </w:r>
    </w:p>
    <w:p w:rsidR="000A3C8B" w:rsidRPr="00F803C9" w:rsidRDefault="001F23B0" w:rsidP="003B6C68">
      <w:pPr>
        <w:jc w:val="center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„</w:t>
      </w:r>
      <w:r w:rsidR="000A3C8B" w:rsidRPr="00F803C9">
        <w:rPr>
          <w:rFonts w:ascii="Times New Roman" w:hAnsi="Times New Roman" w:cs="Times New Roman"/>
          <w:sz w:val="20"/>
          <w:szCs w:val="20"/>
        </w:rPr>
        <w:t>§ 15</w:t>
      </w:r>
    </w:p>
    <w:p w:rsidR="000A3C8B" w:rsidRPr="00F803C9" w:rsidRDefault="000A3C8B" w:rsidP="003B6C68">
      <w:pPr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Do kompetencji Walnego Zgromadzenia należy:</w:t>
      </w:r>
    </w:p>
    <w:p w:rsidR="000A3C8B" w:rsidRPr="00F803C9" w:rsidRDefault="000A3C8B" w:rsidP="003B6C68">
      <w:pPr>
        <w:numPr>
          <w:ilvl w:val="0"/>
          <w:numId w:val="18"/>
        </w:num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rozpatrzenie i zatwierdzenie sprawozdania Zarządu z działalności Spółki oraz sprawozdania finansowego za ubiegły rok obrotowy,</w:t>
      </w:r>
    </w:p>
    <w:p w:rsidR="000A3C8B" w:rsidRPr="00F803C9" w:rsidRDefault="000A3C8B" w:rsidP="003B6C68">
      <w:pPr>
        <w:numPr>
          <w:ilvl w:val="0"/>
          <w:numId w:val="18"/>
        </w:num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powzięcie uchwały o podziale zysków lub pokryciu strat,</w:t>
      </w:r>
    </w:p>
    <w:p w:rsidR="000A3C8B" w:rsidRPr="00F803C9" w:rsidRDefault="000A3C8B" w:rsidP="003B6C68">
      <w:pPr>
        <w:numPr>
          <w:ilvl w:val="0"/>
          <w:numId w:val="18"/>
        </w:numPr>
        <w:spacing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udzielanie absolutorium członkom organów Spółki z wykonania przez nich obowiązków,</w:t>
      </w:r>
    </w:p>
    <w:p w:rsidR="000A3C8B" w:rsidRPr="00F803C9" w:rsidRDefault="000A3C8B" w:rsidP="003B6C6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lastRenderedPageBreak/>
        <w:t>uchwalanie strategicznych planów wieloletnich Spółki, rocznych planów rzeczowo – finansowych oraz planów inwestycyjnych Spółki,</w:t>
      </w:r>
    </w:p>
    <w:p w:rsidR="000A3C8B" w:rsidRPr="00F803C9" w:rsidRDefault="000A3C8B" w:rsidP="003B6C68">
      <w:pPr>
        <w:numPr>
          <w:ilvl w:val="0"/>
          <w:numId w:val="18"/>
        </w:numPr>
        <w:spacing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uchwalenie regulaminu Rady Nadzorczej oraz ustalanie zasad wynagradzania członków Rady Nadzorczej,</w:t>
      </w:r>
    </w:p>
    <w:p w:rsidR="000A3C8B" w:rsidRPr="00F803C9" w:rsidRDefault="000A3C8B" w:rsidP="003B6C68">
      <w:pPr>
        <w:numPr>
          <w:ilvl w:val="0"/>
          <w:numId w:val="18"/>
        </w:numPr>
        <w:spacing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podwyższenie lub obniżenie kapitału zakładowego,</w:t>
      </w:r>
    </w:p>
    <w:p w:rsidR="000A3C8B" w:rsidRPr="00F803C9" w:rsidRDefault="000A3C8B" w:rsidP="003B6C68">
      <w:pPr>
        <w:numPr>
          <w:ilvl w:val="0"/>
          <w:numId w:val="18"/>
        </w:numPr>
        <w:spacing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zmiany statutu Spółki,</w:t>
      </w:r>
    </w:p>
    <w:p w:rsidR="000A3C8B" w:rsidRPr="00F803C9" w:rsidRDefault="000A3C8B" w:rsidP="003B6C68">
      <w:pPr>
        <w:numPr>
          <w:ilvl w:val="0"/>
          <w:numId w:val="18"/>
        </w:numPr>
        <w:spacing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połączenie Spółki z inną spółką handlową,</w:t>
      </w:r>
    </w:p>
    <w:p w:rsidR="000A3C8B" w:rsidRPr="00F803C9" w:rsidRDefault="000A3C8B" w:rsidP="003B6C68">
      <w:pPr>
        <w:numPr>
          <w:ilvl w:val="0"/>
          <w:numId w:val="18"/>
        </w:numPr>
        <w:spacing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>rozwiązanie i likwidacja Spółki,</w:t>
      </w:r>
    </w:p>
    <w:p w:rsidR="000A3C8B" w:rsidRPr="00F803C9" w:rsidRDefault="000A3C8B" w:rsidP="003B6C68">
      <w:pPr>
        <w:numPr>
          <w:ilvl w:val="0"/>
          <w:numId w:val="18"/>
        </w:numPr>
        <w:tabs>
          <w:tab w:val="left" w:pos="9180"/>
        </w:tabs>
        <w:spacing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 xml:space="preserve"> emisja obligacji zamiennych, obligacji z prawem pierwszeństwa lub warrantów subskrypcyjnych,</w:t>
      </w:r>
    </w:p>
    <w:p w:rsidR="000A3C8B" w:rsidRPr="00F803C9" w:rsidRDefault="000A3C8B" w:rsidP="003B6C68">
      <w:pPr>
        <w:numPr>
          <w:ilvl w:val="0"/>
          <w:numId w:val="18"/>
        </w:numPr>
        <w:spacing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 xml:space="preserve"> zbycie i wydzierżawienie przedsiębiorstwa lub jego zorganizowanej części oraz ustanowienie na nich ograniczonego prawa rzeczowego,</w:t>
      </w:r>
    </w:p>
    <w:p w:rsidR="000A3C8B" w:rsidRPr="00F803C9" w:rsidRDefault="000A3C8B" w:rsidP="003B6C68">
      <w:pPr>
        <w:numPr>
          <w:ilvl w:val="0"/>
          <w:numId w:val="18"/>
        </w:numPr>
        <w:tabs>
          <w:tab w:val="left" w:pos="9072"/>
        </w:tabs>
        <w:spacing w:after="0"/>
        <w:ind w:right="23" w:hanging="357"/>
        <w:jc w:val="both"/>
        <w:rPr>
          <w:rFonts w:ascii="Times New Roman" w:hAnsi="Times New Roman" w:cs="Times New Roman"/>
          <w:sz w:val="20"/>
          <w:szCs w:val="20"/>
        </w:rPr>
      </w:pPr>
      <w:r w:rsidRPr="00F803C9">
        <w:rPr>
          <w:rFonts w:ascii="Times New Roman" w:hAnsi="Times New Roman" w:cs="Times New Roman"/>
          <w:sz w:val="20"/>
          <w:szCs w:val="20"/>
        </w:rPr>
        <w:t xml:space="preserve"> decydowanie w innych </w:t>
      </w:r>
      <w:r w:rsidRPr="00F803C9">
        <w:rPr>
          <w:rFonts w:ascii="Times New Roman" w:hAnsi="Times New Roman" w:cs="Times New Roman"/>
          <w:spacing w:val="-3"/>
          <w:sz w:val="20"/>
          <w:szCs w:val="20"/>
        </w:rPr>
        <w:t>sprawach, które zgodnie z przepisami Kodeksu spółek handlowych lub brzmieniem niniejszego Statutu należą do kompetencji Walnego Zgromadzenia</w:t>
      </w:r>
      <w:r w:rsidRPr="00F803C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72ED7" w:rsidRPr="001F23B0" w:rsidRDefault="00272ED7" w:rsidP="003B6C68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2ED7" w:rsidRPr="001F23B0" w:rsidRDefault="00F803C9" w:rsidP="003B6C68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Nowe brzmienie</w:t>
      </w:r>
      <w:r w:rsidR="00272ED7" w:rsidRPr="001F23B0">
        <w:rPr>
          <w:rFonts w:ascii="Times New Roman" w:hAnsi="Times New Roman" w:cs="Times New Roman"/>
          <w:sz w:val="20"/>
          <w:szCs w:val="20"/>
          <w:u w:val="single"/>
        </w:rPr>
        <w:t xml:space="preserve"> § 15 Statutu Spółki:</w:t>
      </w:r>
    </w:p>
    <w:p w:rsidR="001F23B0" w:rsidRPr="001F23B0" w:rsidRDefault="001F23B0" w:rsidP="003B6C68">
      <w:pPr>
        <w:tabs>
          <w:tab w:val="right" w:leader="hyphen" w:pos="9356"/>
          <w:tab w:val="right" w:leader="hyphen" w:pos="946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803C9" w:rsidRPr="00F803C9" w:rsidRDefault="00F803C9" w:rsidP="00F803C9">
      <w:pPr>
        <w:pStyle w:val="Bodytext20"/>
        <w:shd w:val="clear" w:color="auto" w:fill="auto"/>
        <w:spacing w:after="197" w:line="260" w:lineRule="exact"/>
        <w:ind w:left="100" w:firstLine="0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§ 15</w:t>
      </w:r>
    </w:p>
    <w:p w:rsidR="00F803C9" w:rsidRPr="00F803C9" w:rsidRDefault="00F803C9" w:rsidP="00F803C9">
      <w:pPr>
        <w:pStyle w:val="Bodytext20"/>
        <w:numPr>
          <w:ilvl w:val="0"/>
          <w:numId w:val="37"/>
        </w:numPr>
        <w:shd w:val="clear" w:color="auto" w:fill="auto"/>
        <w:tabs>
          <w:tab w:val="left" w:leader="dot" w:pos="9031"/>
        </w:tabs>
        <w:spacing w:line="298" w:lineRule="exact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Do kompetencji Walnego Zgromadzenia należy:</w:t>
      </w:r>
    </w:p>
    <w:p w:rsidR="00F803C9" w:rsidRPr="00F803C9" w:rsidRDefault="00F803C9" w:rsidP="00F803C9">
      <w:pPr>
        <w:pStyle w:val="Bodytext20"/>
        <w:numPr>
          <w:ilvl w:val="0"/>
          <w:numId w:val="36"/>
        </w:numPr>
        <w:shd w:val="clear" w:color="auto" w:fill="auto"/>
        <w:tabs>
          <w:tab w:val="left" w:pos="709"/>
        </w:tabs>
        <w:spacing w:line="298" w:lineRule="exact"/>
        <w:ind w:left="426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 xml:space="preserve">rozpatrzenie i zatwierdzenie sprawozdania Zarządu z działalności Spółki oraz sprawozdania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>finansowego za ubiegły rok obrotowy,</w:t>
      </w:r>
    </w:p>
    <w:p w:rsidR="00F803C9" w:rsidRPr="00F803C9" w:rsidRDefault="00F803C9" w:rsidP="00F803C9">
      <w:pPr>
        <w:pStyle w:val="Bodytext20"/>
        <w:numPr>
          <w:ilvl w:val="0"/>
          <w:numId w:val="36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powzięcie uchwały o podziale zysków lub pokryciu strat,</w:t>
      </w:r>
    </w:p>
    <w:p w:rsidR="00F803C9" w:rsidRPr="00F803C9" w:rsidRDefault="00F803C9" w:rsidP="00F803C9">
      <w:pPr>
        <w:pStyle w:val="Bodytext20"/>
        <w:numPr>
          <w:ilvl w:val="0"/>
          <w:numId w:val="36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udzielanie absolutorium członkom organów Spółki z wykonania przez nich obowiązków,</w:t>
      </w:r>
    </w:p>
    <w:p w:rsidR="00F803C9" w:rsidRPr="00F803C9" w:rsidRDefault="00F803C9" w:rsidP="00F803C9">
      <w:pPr>
        <w:pStyle w:val="Bodytext20"/>
        <w:numPr>
          <w:ilvl w:val="0"/>
          <w:numId w:val="36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 xml:space="preserve">uchwalenie regulaminu Rady Nadzorczej oraz ustalanie zasad wynagradzania członków Rady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>Nadzorczej,</w:t>
      </w:r>
    </w:p>
    <w:p w:rsidR="00F803C9" w:rsidRPr="00F803C9" w:rsidRDefault="00F803C9" w:rsidP="00F803C9">
      <w:pPr>
        <w:pStyle w:val="Bodytext20"/>
        <w:numPr>
          <w:ilvl w:val="0"/>
          <w:numId w:val="36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podwyższenie lub obniżenie kapitału zakładowego,</w:t>
      </w:r>
    </w:p>
    <w:p w:rsidR="00F803C9" w:rsidRPr="00F803C9" w:rsidRDefault="00F803C9" w:rsidP="00F803C9">
      <w:pPr>
        <w:pStyle w:val="Bodytext20"/>
        <w:numPr>
          <w:ilvl w:val="0"/>
          <w:numId w:val="36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zmiany statutu Spółki,</w:t>
      </w:r>
    </w:p>
    <w:p w:rsidR="00F803C9" w:rsidRPr="00F803C9" w:rsidRDefault="00F803C9" w:rsidP="00F803C9">
      <w:pPr>
        <w:pStyle w:val="Bodytext20"/>
        <w:numPr>
          <w:ilvl w:val="0"/>
          <w:numId w:val="36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połączenie Spółki z inną spółką handlową,</w:t>
      </w:r>
    </w:p>
    <w:p w:rsidR="00F803C9" w:rsidRPr="00F803C9" w:rsidRDefault="00F803C9" w:rsidP="00F803C9">
      <w:pPr>
        <w:pStyle w:val="Bodytext20"/>
        <w:numPr>
          <w:ilvl w:val="0"/>
          <w:numId w:val="36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rozwiązanie i likwidacja Spółki,</w:t>
      </w:r>
    </w:p>
    <w:p w:rsidR="00F803C9" w:rsidRPr="00F803C9" w:rsidRDefault="00F803C9" w:rsidP="00F803C9">
      <w:pPr>
        <w:pStyle w:val="Bodytext20"/>
        <w:numPr>
          <w:ilvl w:val="0"/>
          <w:numId w:val="36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emisja obligacji zamiennych, obligacji z prawem pierwszeństwa lub warrantów subskrypcyjnych,</w:t>
      </w:r>
    </w:p>
    <w:p w:rsidR="00F803C9" w:rsidRPr="00F803C9" w:rsidRDefault="00F803C9" w:rsidP="00F803C9">
      <w:pPr>
        <w:pStyle w:val="Bodytext20"/>
        <w:numPr>
          <w:ilvl w:val="0"/>
          <w:numId w:val="36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 xml:space="preserve">zbycie i wydzierżawienie przedsiębiorstwa lub jego zorganizowanej części oraz ustanowienie na nich 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  <w:t>ograniczonego prawa rzeczowego,</w:t>
      </w:r>
    </w:p>
    <w:p w:rsidR="00F803C9" w:rsidRPr="00F803C9" w:rsidRDefault="00F803C9" w:rsidP="00F803C9">
      <w:pPr>
        <w:pStyle w:val="Bodytext20"/>
        <w:numPr>
          <w:ilvl w:val="0"/>
          <w:numId w:val="36"/>
        </w:numPr>
        <w:shd w:val="clear" w:color="auto" w:fill="auto"/>
        <w:tabs>
          <w:tab w:val="left" w:pos="709"/>
        </w:tabs>
        <w:spacing w:line="298" w:lineRule="exact"/>
        <w:ind w:left="709" w:hanging="42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rozpatrywanie spraw wniesionych przez Radę Nadzorczą, Zarząd lub akcjonariuszy Spółki,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</w:r>
    </w:p>
    <w:p w:rsidR="00F803C9" w:rsidRPr="00F803C9" w:rsidRDefault="00F803C9" w:rsidP="00F803C9">
      <w:pPr>
        <w:pStyle w:val="Bodytext20"/>
        <w:numPr>
          <w:ilvl w:val="0"/>
          <w:numId w:val="36"/>
        </w:numPr>
        <w:shd w:val="clear" w:color="auto" w:fill="auto"/>
        <w:tabs>
          <w:tab w:val="left" w:pos="709"/>
        </w:tabs>
        <w:spacing w:line="298" w:lineRule="exact"/>
        <w:ind w:left="709" w:hanging="42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decydowanie w innych sprawach, które zgodnie z przepisami Kodeksu spółek handlowych lub brzmieniem niniejszego Statutu należą do kompetencji Walnego Zgromadzenia.</w:t>
      </w:r>
      <w:r w:rsidRPr="00F803C9">
        <w:rPr>
          <w:rFonts w:ascii="Times New Roman" w:hAnsi="Times New Roman" w:cs="Times New Roman"/>
          <w:i/>
          <w:sz w:val="22"/>
          <w:szCs w:val="22"/>
        </w:rPr>
        <w:tab/>
      </w:r>
    </w:p>
    <w:p w:rsidR="00F803C9" w:rsidRPr="00F803C9" w:rsidRDefault="00F803C9" w:rsidP="00F803C9">
      <w:pPr>
        <w:pStyle w:val="Bodytext20"/>
        <w:numPr>
          <w:ilvl w:val="0"/>
          <w:numId w:val="37"/>
        </w:numPr>
        <w:shd w:val="clear" w:color="auto" w:fill="auto"/>
        <w:tabs>
          <w:tab w:val="left" w:leader="dot" w:pos="9031"/>
        </w:tabs>
        <w:spacing w:line="298" w:lineRule="exact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3C9">
        <w:rPr>
          <w:rFonts w:ascii="Times New Roman" w:hAnsi="Times New Roman" w:cs="Times New Roman"/>
          <w:i/>
          <w:sz w:val="22"/>
          <w:szCs w:val="22"/>
        </w:rPr>
        <w:t>Do nabycia lub zbycia nieruchomości, użytkowania wieczystego lub udziału w nieruchomości uchwała Walnego Zgromadzenia nie jest wymagana.</w:t>
      </w:r>
    </w:p>
    <w:p w:rsidR="00272ED7" w:rsidRPr="001F23B0" w:rsidRDefault="00272ED7" w:rsidP="00F803C9">
      <w:pPr>
        <w:pStyle w:val="Akapitzlist"/>
        <w:tabs>
          <w:tab w:val="right" w:leader="hyphen" w:pos="9356"/>
          <w:tab w:val="right" w:leader="hyphen" w:pos="9469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272ED7" w:rsidRPr="001F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F12"/>
    <w:multiLevelType w:val="hybridMultilevel"/>
    <w:tmpl w:val="081A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3C2B"/>
    <w:multiLevelType w:val="hybridMultilevel"/>
    <w:tmpl w:val="F132ACCE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776A7"/>
    <w:multiLevelType w:val="singleLevel"/>
    <w:tmpl w:val="7D468974"/>
    <w:lvl w:ilvl="0">
      <w:start w:val="1"/>
      <w:numFmt w:val="decimal"/>
      <w:lvlText w:val="%1)"/>
      <w:legacy w:legacy="1" w:legacySpace="0" w:legacyIndent="360"/>
      <w:lvlJc w:val="left"/>
      <w:pPr>
        <w:ind w:left="786" w:hanging="360"/>
      </w:pPr>
    </w:lvl>
  </w:abstractNum>
  <w:abstractNum w:abstractNumId="3" w15:restartNumberingAfterBreak="0">
    <w:nsid w:val="04D938D4"/>
    <w:multiLevelType w:val="hybridMultilevel"/>
    <w:tmpl w:val="8416ACC6"/>
    <w:lvl w:ilvl="0" w:tplc="A1E697F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3C02DC"/>
    <w:multiLevelType w:val="multilevel"/>
    <w:tmpl w:val="C0C6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275"/>
    <w:multiLevelType w:val="hybridMultilevel"/>
    <w:tmpl w:val="AC001D5C"/>
    <w:lvl w:ilvl="0" w:tplc="F8C096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86610A"/>
    <w:multiLevelType w:val="hybridMultilevel"/>
    <w:tmpl w:val="EE106BB4"/>
    <w:lvl w:ilvl="0" w:tplc="0AA4985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4730A7F"/>
    <w:multiLevelType w:val="hybridMultilevel"/>
    <w:tmpl w:val="410A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0522"/>
    <w:multiLevelType w:val="hybridMultilevel"/>
    <w:tmpl w:val="CFEA0232"/>
    <w:lvl w:ilvl="0" w:tplc="295E602C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69736A6"/>
    <w:multiLevelType w:val="hybridMultilevel"/>
    <w:tmpl w:val="6562E8D0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3C5850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56E40"/>
    <w:multiLevelType w:val="multilevel"/>
    <w:tmpl w:val="B63A7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4E3F90"/>
    <w:multiLevelType w:val="singleLevel"/>
    <w:tmpl w:val="7D468974"/>
    <w:lvl w:ilvl="0">
      <w:start w:val="1"/>
      <w:numFmt w:val="decimal"/>
      <w:lvlText w:val="%1)"/>
      <w:legacy w:legacy="1" w:legacySpace="0" w:legacyIndent="360"/>
      <w:lvlJc w:val="left"/>
      <w:pPr>
        <w:ind w:left="567" w:hanging="360"/>
      </w:pPr>
    </w:lvl>
  </w:abstractNum>
  <w:abstractNum w:abstractNumId="12" w15:restartNumberingAfterBreak="0">
    <w:nsid w:val="2ECC76CF"/>
    <w:multiLevelType w:val="hybridMultilevel"/>
    <w:tmpl w:val="A776F76C"/>
    <w:lvl w:ilvl="0" w:tplc="EB8845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D6A87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9D0E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D82FAE"/>
    <w:multiLevelType w:val="hybridMultilevel"/>
    <w:tmpl w:val="DAF0E9F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3C5850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85142"/>
    <w:multiLevelType w:val="hybridMultilevel"/>
    <w:tmpl w:val="92987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D26EA"/>
    <w:multiLevelType w:val="hybridMultilevel"/>
    <w:tmpl w:val="3BA6D620"/>
    <w:lvl w:ilvl="0" w:tplc="4E92AD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55980"/>
    <w:multiLevelType w:val="singleLevel"/>
    <w:tmpl w:val="7D468974"/>
    <w:lvl w:ilvl="0">
      <w:start w:val="1"/>
      <w:numFmt w:val="decimal"/>
      <w:lvlText w:val="%1)"/>
      <w:legacy w:legacy="1" w:legacySpace="0" w:legacyIndent="360"/>
      <w:lvlJc w:val="left"/>
      <w:pPr>
        <w:ind w:left="709" w:hanging="360"/>
      </w:pPr>
    </w:lvl>
  </w:abstractNum>
  <w:abstractNum w:abstractNumId="17" w15:restartNumberingAfterBreak="0">
    <w:nsid w:val="4F000430"/>
    <w:multiLevelType w:val="hybridMultilevel"/>
    <w:tmpl w:val="957C226A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4309DB"/>
    <w:multiLevelType w:val="hybridMultilevel"/>
    <w:tmpl w:val="71E843EC"/>
    <w:lvl w:ilvl="0" w:tplc="EB047A48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022379"/>
    <w:multiLevelType w:val="singleLevel"/>
    <w:tmpl w:val="0415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4242272"/>
    <w:multiLevelType w:val="hybridMultilevel"/>
    <w:tmpl w:val="ECB47340"/>
    <w:lvl w:ilvl="0" w:tplc="9296FE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EB884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42EC9"/>
    <w:multiLevelType w:val="hybridMultilevel"/>
    <w:tmpl w:val="65282A18"/>
    <w:lvl w:ilvl="0" w:tplc="3A44B4E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04C86"/>
    <w:multiLevelType w:val="hybridMultilevel"/>
    <w:tmpl w:val="D010B324"/>
    <w:lvl w:ilvl="0" w:tplc="E5E2A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982DDF"/>
    <w:multiLevelType w:val="hybridMultilevel"/>
    <w:tmpl w:val="F3967088"/>
    <w:lvl w:ilvl="0" w:tplc="C4EE61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40353"/>
    <w:multiLevelType w:val="hybridMultilevel"/>
    <w:tmpl w:val="335CD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343A"/>
    <w:multiLevelType w:val="hybridMultilevel"/>
    <w:tmpl w:val="56A2F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5339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82808C1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8665FD1"/>
    <w:multiLevelType w:val="multilevel"/>
    <w:tmpl w:val="0476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B10364"/>
    <w:multiLevelType w:val="multilevel"/>
    <w:tmpl w:val="422E2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4D6532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729D4643"/>
    <w:multiLevelType w:val="hybridMultilevel"/>
    <w:tmpl w:val="854AE046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9E4F33"/>
    <w:multiLevelType w:val="hybridMultilevel"/>
    <w:tmpl w:val="27E85498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82E4F"/>
    <w:multiLevelType w:val="hybridMultilevel"/>
    <w:tmpl w:val="FDE03C5E"/>
    <w:lvl w:ilvl="0" w:tplc="4D8EA5FC">
      <w:start w:val="1"/>
      <w:numFmt w:val="decimal"/>
      <w:lvlText w:val="%1."/>
      <w:lvlJc w:val="left"/>
      <w:pPr>
        <w:ind w:left="-69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" w:hanging="360"/>
      </w:pPr>
    </w:lvl>
    <w:lvl w:ilvl="2" w:tplc="0415001B" w:tentative="1">
      <w:start w:val="1"/>
      <w:numFmt w:val="lowerRoman"/>
      <w:lvlText w:val="%3."/>
      <w:lvlJc w:val="right"/>
      <w:pPr>
        <w:ind w:left="743" w:hanging="180"/>
      </w:pPr>
    </w:lvl>
    <w:lvl w:ilvl="3" w:tplc="0415000F" w:tentative="1">
      <w:start w:val="1"/>
      <w:numFmt w:val="decimal"/>
      <w:lvlText w:val="%4."/>
      <w:lvlJc w:val="left"/>
      <w:pPr>
        <w:ind w:left="1463" w:hanging="360"/>
      </w:pPr>
    </w:lvl>
    <w:lvl w:ilvl="4" w:tplc="04150019" w:tentative="1">
      <w:start w:val="1"/>
      <w:numFmt w:val="lowerLetter"/>
      <w:lvlText w:val="%5."/>
      <w:lvlJc w:val="left"/>
      <w:pPr>
        <w:ind w:left="2183" w:hanging="360"/>
      </w:pPr>
    </w:lvl>
    <w:lvl w:ilvl="5" w:tplc="0415001B" w:tentative="1">
      <w:start w:val="1"/>
      <w:numFmt w:val="lowerRoman"/>
      <w:lvlText w:val="%6."/>
      <w:lvlJc w:val="right"/>
      <w:pPr>
        <w:ind w:left="2903" w:hanging="180"/>
      </w:pPr>
    </w:lvl>
    <w:lvl w:ilvl="6" w:tplc="0415000F" w:tentative="1">
      <w:start w:val="1"/>
      <w:numFmt w:val="decimal"/>
      <w:lvlText w:val="%7."/>
      <w:lvlJc w:val="left"/>
      <w:pPr>
        <w:ind w:left="3623" w:hanging="360"/>
      </w:pPr>
    </w:lvl>
    <w:lvl w:ilvl="7" w:tplc="04150019" w:tentative="1">
      <w:start w:val="1"/>
      <w:numFmt w:val="lowerLetter"/>
      <w:lvlText w:val="%8."/>
      <w:lvlJc w:val="left"/>
      <w:pPr>
        <w:ind w:left="4343" w:hanging="360"/>
      </w:pPr>
    </w:lvl>
    <w:lvl w:ilvl="8" w:tplc="0415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34" w15:restartNumberingAfterBreak="0">
    <w:nsid w:val="7B111245"/>
    <w:multiLevelType w:val="hybridMultilevel"/>
    <w:tmpl w:val="22A2E87E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66AF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E1125C3"/>
    <w:multiLevelType w:val="hybridMultilevel"/>
    <w:tmpl w:val="5B24F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4"/>
  </w:num>
  <w:num w:numId="3">
    <w:abstractNumId w:val="21"/>
  </w:num>
  <w:num w:numId="4">
    <w:abstractNumId w:val="3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9"/>
    <w:lvlOverride w:ilvl="0">
      <w:startOverride w:val="2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"/>
  </w:num>
  <w:num w:numId="27">
    <w:abstractNumId w:val="33"/>
  </w:num>
  <w:num w:numId="28">
    <w:abstractNumId w:val="8"/>
  </w:num>
  <w:num w:numId="29">
    <w:abstractNumId w:val="3"/>
  </w:num>
  <w:num w:numId="30">
    <w:abstractNumId w:val="25"/>
  </w:num>
  <w:num w:numId="31">
    <w:abstractNumId w:val="24"/>
  </w:num>
  <w:num w:numId="32">
    <w:abstractNumId w:val="7"/>
  </w:num>
  <w:num w:numId="33">
    <w:abstractNumId w:val="14"/>
  </w:num>
  <w:num w:numId="34">
    <w:abstractNumId w:val="28"/>
  </w:num>
  <w:num w:numId="35">
    <w:abstractNumId w:val="10"/>
  </w:num>
  <w:num w:numId="36">
    <w:abstractNumId w:val="2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C2"/>
    <w:rsid w:val="00035FFE"/>
    <w:rsid w:val="00045844"/>
    <w:rsid w:val="000940C5"/>
    <w:rsid w:val="000A3C8B"/>
    <w:rsid w:val="000D39DD"/>
    <w:rsid w:val="000F68C5"/>
    <w:rsid w:val="00103FA6"/>
    <w:rsid w:val="00170C3C"/>
    <w:rsid w:val="0019723F"/>
    <w:rsid w:val="001F23B0"/>
    <w:rsid w:val="00224CD7"/>
    <w:rsid w:val="002442F2"/>
    <w:rsid w:val="00272ED7"/>
    <w:rsid w:val="00333357"/>
    <w:rsid w:val="00353C79"/>
    <w:rsid w:val="00355F80"/>
    <w:rsid w:val="003B6C68"/>
    <w:rsid w:val="003C236B"/>
    <w:rsid w:val="00427AD8"/>
    <w:rsid w:val="005F0335"/>
    <w:rsid w:val="006370AD"/>
    <w:rsid w:val="00643C8C"/>
    <w:rsid w:val="006B74AA"/>
    <w:rsid w:val="006D7C87"/>
    <w:rsid w:val="007208F4"/>
    <w:rsid w:val="0080202C"/>
    <w:rsid w:val="008E770F"/>
    <w:rsid w:val="00980B68"/>
    <w:rsid w:val="00982FAA"/>
    <w:rsid w:val="009C7895"/>
    <w:rsid w:val="00C051FE"/>
    <w:rsid w:val="00C81804"/>
    <w:rsid w:val="00C81D9C"/>
    <w:rsid w:val="00CC0993"/>
    <w:rsid w:val="00CD1BD7"/>
    <w:rsid w:val="00D60ECC"/>
    <w:rsid w:val="00E54BE4"/>
    <w:rsid w:val="00E81C54"/>
    <w:rsid w:val="00E876D6"/>
    <w:rsid w:val="00F16817"/>
    <w:rsid w:val="00F75493"/>
    <w:rsid w:val="00F803C9"/>
    <w:rsid w:val="00F826C2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5A043-1A1B-477A-92DD-D0D2612C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2C"/>
    <w:pPr>
      <w:spacing w:after="0" w:line="312" w:lineRule="auto"/>
      <w:ind w:left="720"/>
      <w:contextualSpacing/>
    </w:pPr>
    <w:rPr>
      <w:rFonts w:ascii="Trebuchet MS" w:eastAsia="Calibri" w:hAnsi="Trebuchet MS" w:cs="Times New Roman"/>
      <w:sz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8E7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77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770F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8E770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8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8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44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170C3C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70C3C"/>
    <w:pPr>
      <w:widowControl w:val="0"/>
      <w:shd w:val="clear" w:color="auto" w:fill="FFFFFF"/>
      <w:spacing w:after="0" w:line="590" w:lineRule="exact"/>
      <w:ind w:hanging="40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Matyjuk</dc:creator>
  <cp:lastModifiedBy>Andrzej Łukasik</cp:lastModifiedBy>
  <cp:revision>2</cp:revision>
  <cp:lastPrinted>2016-09-21T10:15:00Z</cp:lastPrinted>
  <dcterms:created xsi:type="dcterms:W3CDTF">2016-10-19T11:24:00Z</dcterms:created>
  <dcterms:modified xsi:type="dcterms:W3CDTF">2016-10-19T11:24:00Z</dcterms:modified>
</cp:coreProperties>
</file>