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D7" w:rsidRPr="00744A22" w:rsidRDefault="00E54BE4" w:rsidP="0080202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44A22">
        <w:rPr>
          <w:rFonts w:ascii="Times New Roman" w:hAnsi="Times New Roman" w:cs="Times New Roman"/>
        </w:rPr>
        <w:t xml:space="preserve">Temat: Informacja o </w:t>
      </w:r>
      <w:r w:rsidR="00506483">
        <w:rPr>
          <w:rFonts w:ascii="Times New Roman" w:hAnsi="Times New Roman" w:cs="Times New Roman"/>
        </w:rPr>
        <w:t>p</w:t>
      </w:r>
      <w:r w:rsidRPr="00744A22">
        <w:rPr>
          <w:rFonts w:ascii="Times New Roman" w:hAnsi="Times New Roman" w:cs="Times New Roman"/>
        </w:rPr>
        <w:t>rzyjęciu tekstu jednolitego Statutu Spółki.</w:t>
      </w:r>
    </w:p>
    <w:p w:rsidR="00E54BE4" w:rsidRPr="00744A22" w:rsidRDefault="00E54BE4" w:rsidP="0080202C">
      <w:pPr>
        <w:spacing w:after="0"/>
        <w:jc w:val="both"/>
        <w:rPr>
          <w:rFonts w:ascii="Times New Roman" w:hAnsi="Times New Roman" w:cs="Times New Roman"/>
        </w:rPr>
      </w:pPr>
    </w:p>
    <w:p w:rsidR="0019723F" w:rsidRPr="00744A22" w:rsidRDefault="0019723F" w:rsidP="000D39D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44A22">
        <w:rPr>
          <w:rFonts w:ascii="Times New Roman" w:hAnsi="Times New Roman" w:cs="Times New Roman"/>
          <w:u w:val="single"/>
        </w:rPr>
        <w:t>Treść raportu:</w:t>
      </w:r>
    </w:p>
    <w:p w:rsidR="0019723F" w:rsidRPr="00744A22" w:rsidRDefault="0019723F" w:rsidP="000D39DD">
      <w:pPr>
        <w:spacing w:after="0"/>
        <w:jc w:val="both"/>
        <w:rPr>
          <w:rFonts w:ascii="Times New Roman" w:hAnsi="Times New Roman" w:cs="Times New Roman"/>
        </w:rPr>
      </w:pPr>
    </w:p>
    <w:p w:rsidR="00506483" w:rsidRDefault="00506483" w:rsidP="00506483">
      <w:pPr>
        <w:spacing w:after="0"/>
        <w:jc w:val="both"/>
        <w:rPr>
          <w:rFonts w:ascii="Times New Roman" w:hAnsi="Times New Roman" w:cs="Times New Roman"/>
        </w:rPr>
      </w:pPr>
      <w:r w:rsidRPr="008E770F">
        <w:rPr>
          <w:rFonts w:ascii="Times New Roman" w:hAnsi="Times New Roman" w:cs="Times New Roman"/>
        </w:rPr>
        <w:t>Spółka ERBUD S.A. informuje</w:t>
      </w:r>
      <w:r>
        <w:rPr>
          <w:rFonts w:ascii="Times New Roman" w:hAnsi="Times New Roman" w:cs="Times New Roman"/>
        </w:rPr>
        <w:t xml:space="preserve">, iż Uchwałą nr </w:t>
      </w:r>
      <w:r w:rsidR="00D6295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/2016 Nadzwyczajnego Walnego Zgromadzenia Spółki ERBUD S.A. z dnia 19 października 2016 roku został przyjęty tekst jednolity Statutu Spółki </w:t>
      </w:r>
      <w:r w:rsidRPr="008E770F">
        <w:rPr>
          <w:rFonts w:ascii="Times New Roman" w:hAnsi="Times New Roman" w:cs="Times New Roman"/>
        </w:rPr>
        <w:t>Erbud S.A.</w:t>
      </w:r>
      <w:r>
        <w:rPr>
          <w:rFonts w:ascii="Times New Roman" w:hAnsi="Times New Roman" w:cs="Times New Roman"/>
        </w:rPr>
        <w:t xml:space="preserve"> o poniższej treści:</w:t>
      </w:r>
    </w:p>
    <w:p w:rsidR="006B74AA" w:rsidRPr="00744A22" w:rsidRDefault="006B74AA" w:rsidP="005F03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44A22" w:rsidRPr="00744A22" w:rsidRDefault="00744A22" w:rsidP="00744A22">
      <w:pPr>
        <w:pStyle w:val="Akapitzlist"/>
        <w:spacing w:before="100" w:beforeAutospacing="1" w:after="100" w:afterAutospacing="1" w:line="276" w:lineRule="auto"/>
        <w:ind w:left="1080"/>
        <w:jc w:val="center"/>
        <w:rPr>
          <w:rFonts w:ascii="Times New Roman" w:hAnsi="Times New Roman"/>
          <w:b/>
          <w:sz w:val="22"/>
          <w:lang w:val="pl-PL"/>
        </w:rPr>
      </w:pPr>
      <w:r w:rsidRPr="00744A22">
        <w:rPr>
          <w:rFonts w:ascii="Times New Roman" w:hAnsi="Times New Roman"/>
          <w:b/>
          <w:sz w:val="22"/>
          <w:lang w:val="pl-PL"/>
        </w:rPr>
        <w:t xml:space="preserve">Tekst jednolity Statutu Spółki </w:t>
      </w:r>
      <w:hyperlink r:id="rId5" w:tooltip="Erbud - więcej informacji..." w:history="1">
        <w:r w:rsidRPr="00744A22">
          <w:rPr>
            <w:rFonts w:ascii="Times New Roman" w:hAnsi="Times New Roman"/>
            <w:b/>
            <w:sz w:val="22"/>
            <w:lang w:val="pl-PL"/>
          </w:rPr>
          <w:t>Erbud</w:t>
        </w:r>
      </w:hyperlink>
      <w:r w:rsidRPr="00744A22">
        <w:rPr>
          <w:rFonts w:ascii="Times New Roman" w:hAnsi="Times New Roman"/>
          <w:b/>
          <w:sz w:val="22"/>
          <w:lang w:val="pl-PL"/>
        </w:rPr>
        <w:t xml:space="preserve"> S.A. z siedzibą w Warszawie:</w:t>
      </w:r>
    </w:p>
    <w:p w:rsidR="00744A22" w:rsidRPr="00744A22" w:rsidRDefault="00744A22" w:rsidP="00744A22">
      <w:pPr>
        <w:pStyle w:val="Heading10"/>
        <w:keepNext/>
        <w:keepLines/>
        <w:shd w:val="clear" w:color="auto" w:fill="auto"/>
        <w:spacing w:before="0"/>
        <w:ind w:left="2860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" w:name="bookmark0"/>
      <w:r w:rsidRPr="00744A22">
        <w:rPr>
          <w:rFonts w:ascii="Times New Roman" w:hAnsi="Times New Roman" w:cs="Times New Roman"/>
          <w:b w:val="0"/>
          <w:bCs w:val="0"/>
          <w:sz w:val="22"/>
          <w:szCs w:val="22"/>
        </w:rPr>
        <w:tab/>
        <w:t>STATUT SPÓŁKI AKCYJNEJ</w:t>
      </w:r>
      <w:bookmarkEnd w:id="1"/>
    </w:p>
    <w:p w:rsidR="00744A22" w:rsidRPr="00744A22" w:rsidRDefault="00744A22" w:rsidP="00744A22">
      <w:pPr>
        <w:pStyle w:val="Bodytext20"/>
        <w:shd w:val="clear" w:color="auto" w:fill="auto"/>
        <w:spacing w:after="240"/>
        <w:ind w:left="2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1</w:t>
      </w:r>
    </w:p>
    <w:p w:rsidR="00744A22" w:rsidRPr="00744A22" w:rsidRDefault="00744A22" w:rsidP="00744A22">
      <w:pPr>
        <w:pStyle w:val="Bodytext20"/>
        <w:numPr>
          <w:ilvl w:val="0"/>
          <w:numId w:val="25"/>
        </w:numPr>
        <w:shd w:val="clear" w:color="auto" w:fill="auto"/>
        <w:spacing w:line="276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Spółka działa pod firmą ERBUD Spółka Akcyjna.</w:t>
      </w:r>
    </w:p>
    <w:p w:rsidR="00744A22" w:rsidRPr="00744A22" w:rsidRDefault="00744A22" w:rsidP="00744A22">
      <w:pPr>
        <w:pStyle w:val="Bodytext20"/>
        <w:numPr>
          <w:ilvl w:val="0"/>
          <w:numId w:val="25"/>
        </w:numPr>
        <w:shd w:val="clear" w:color="auto" w:fill="auto"/>
        <w:spacing w:line="276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Spółka może używać skrótu ERBUD S.A. </w:t>
      </w:r>
    </w:p>
    <w:p w:rsidR="00744A22" w:rsidRPr="00744A22" w:rsidRDefault="00744A22" w:rsidP="00744A22">
      <w:pPr>
        <w:pStyle w:val="Bodytext20"/>
        <w:shd w:val="clear" w:color="auto" w:fill="auto"/>
        <w:spacing w:after="257" w:line="260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2</w:t>
      </w:r>
    </w:p>
    <w:p w:rsidR="00744A22" w:rsidRPr="00744A22" w:rsidRDefault="00744A22" w:rsidP="00744A22">
      <w:pPr>
        <w:pStyle w:val="Bodytext20"/>
        <w:numPr>
          <w:ilvl w:val="0"/>
          <w:numId w:val="25"/>
        </w:numPr>
        <w:shd w:val="clear" w:color="auto" w:fill="auto"/>
        <w:spacing w:line="276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Siedzibą Spółki jest miasto stołeczne Warszawa.</w:t>
      </w:r>
    </w:p>
    <w:p w:rsidR="00744A22" w:rsidRPr="00744A22" w:rsidRDefault="00744A22" w:rsidP="00744A22">
      <w:pPr>
        <w:pStyle w:val="Bodytext20"/>
        <w:numPr>
          <w:ilvl w:val="0"/>
          <w:numId w:val="25"/>
        </w:numPr>
        <w:shd w:val="clear" w:color="auto" w:fill="auto"/>
        <w:spacing w:line="276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Spółka działa na obszarze Rzeczypospolitej Polskiej i za granicą.</w:t>
      </w:r>
    </w:p>
    <w:p w:rsidR="00744A22" w:rsidRPr="00744A22" w:rsidRDefault="00744A22" w:rsidP="00744A22">
      <w:pPr>
        <w:pStyle w:val="Bodytext20"/>
        <w:numPr>
          <w:ilvl w:val="0"/>
          <w:numId w:val="25"/>
        </w:numPr>
        <w:shd w:val="clear" w:color="auto" w:fill="auto"/>
        <w:spacing w:line="276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Spółka może powoływać i prowadzić swoje oddziały, zakłady, filie, przedstawicielstwa i inne jednostki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organizacyjne, a także uczestniczyć w innych spółkach lub przedsięwzięciach na obszarze </w:t>
      </w:r>
      <w:r w:rsidRPr="00744A22">
        <w:rPr>
          <w:rFonts w:ascii="Times New Roman" w:hAnsi="Times New Roman" w:cs="Times New Roman"/>
          <w:sz w:val="22"/>
          <w:szCs w:val="22"/>
        </w:rPr>
        <w:tab/>
        <w:t>Rzeczypospolitej Polskiej i za granicą.</w:t>
      </w:r>
    </w:p>
    <w:p w:rsidR="00744A22" w:rsidRPr="00744A22" w:rsidRDefault="00744A22" w:rsidP="00744A22">
      <w:pPr>
        <w:pStyle w:val="Bodytext20"/>
        <w:shd w:val="clear" w:color="auto" w:fill="auto"/>
        <w:spacing w:after="257" w:line="260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3</w:t>
      </w:r>
    </w:p>
    <w:p w:rsidR="00744A22" w:rsidRPr="00744A22" w:rsidRDefault="00744A22" w:rsidP="00744A22">
      <w:pPr>
        <w:pStyle w:val="Bodytext20"/>
        <w:numPr>
          <w:ilvl w:val="0"/>
          <w:numId w:val="26"/>
        </w:numPr>
        <w:shd w:val="clear" w:color="auto" w:fill="auto"/>
        <w:tabs>
          <w:tab w:val="left" w:pos="377"/>
          <w:tab w:val="left" w:leader="dot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Przedmiotem działalności Spółki jest: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  <w:tab w:val="left" w:pos="5790"/>
          <w:tab w:val="left" w:leader="dot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Rozbiórka i burzenie obiektów budowlanych,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  <w:tab w:val="left" w:leader="dot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Przygotowanie terenu pod budowę,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Wykonywanie wykopów i wierceń </w:t>
      </w:r>
      <w:proofErr w:type="spellStart"/>
      <w:r w:rsidRPr="00744A22">
        <w:rPr>
          <w:rFonts w:ascii="Times New Roman" w:hAnsi="Times New Roman" w:cs="Times New Roman"/>
          <w:sz w:val="22"/>
          <w:szCs w:val="22"/>
        </w:rPr>
        <w:t>geologiczno</w:t>
      </w:r>
      <w:proofErr w:type="spellEnd"/>
      <w:r w:rsidRPr="00744A22">
        <w:rPr>
          <w:rFonts w:ascii="Times New Roman" w:hAnsi="Times New Roman" w:cs="Times New Roman"/>
          <w:sz w:val="22"/>
          <w:szCs w:val="22"/>
        </w:rPr>
        <w:t xml:space="preserve"> inżynierskich,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Roboty budowlane związane ze wznoszeniem budynków mieszkalnych i niemieszkalnych,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  <w:tab w:val="left" w:leader="dot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Roboty związane z budową dróg szynowych i kolei podziemnej,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  <w:tab w:val="left" w:leader="dot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Roboty związane z budową mostów i tuneli,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Roboty związane z budową rurociągów przesyłowych i sieci rozdzielczych,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  <w:tab w:val="right" w:pos="4138"/>
          <w:tab w:val="left" w:pos="4349"/>
          <w:tab w:val="right" w:pos="909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Roboty związane z budową linii</w:t>
      </w:r>
      <w:r w:rsidRPr="00744A22">
        <w:rPr>
          <w:rFonts w:ascii="Times New Roman" w:hAnsi="Times New Roman" w:cs="Times New Roman"/>
          <w:sz w:val="22"/>
          <w:szCs w:val="22"/>
        </w:rPr>
        <w:tab/>
      </w:r>
      <w:r w:rsidR="001E2EF4">
        <w:rPr>
          <w:rFonts w:ascii="Times New Roman" w:hAnsi="Times New Roman" w:cs="Times New Roman"/>
          <w:sz w:val="22"/>
          <w:szCs w:val="22"/>
        </w:rPr>
        <w:t xml:space="preserve"> </w:t>
      </w:r>
      <w:r w:rsidRPr="00744A22">
        <w:rPr>
          <w:rFonts w:ascii="Times New Roman" w:hAnsi="Times New Roman" w:cs="Times New Roman"/>
          <w:sz w:val="22"/>
          <w:szCs w:val="22"/>
        </w:rPr>
        <w:t>telekomunikacyjnych i elektroenergetycznych</w:t>
      </w:r>
      <w:r w:rsidR="001E2EF4">
        <w:rPr>
          <w:rFonts w:ascii="Times New Roman" w:hAnsi="Times New Roman" w:cs="Times New Roman"/>
          <w:sz w:val="22"/>
          <w:szCs w:val="22"/>
        </w:rPr>
        <w:t>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  <w:tab w:val="right" w:pos="4138"/>
          <w:tab w:val="left" w:pos="4325"/>
          <w:tab w:val="right" w:pos="909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Roboty związane z budową</w:t>
      </w:r>
      <w:r w:rsidRPr="00744A22">
        <w:rPr>
          <w:rFonts w:ascii="Times New Roman" w:hAnsi="Times New Roman" w:cs="Times New Roman"/>
          <w:sz w:val="22"/>
          <w:szCs w:val="22"/>
        </w:rPr>
        <w:tab/>
        <w:t>pozostałych obiektów inżynierii lądowej i wodnej, gdzie indziej nie sklasyfikowane,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  <w:tab w:val="right" w:pos="4138"/>
          <w:tab w:val="left" w:pos="4325"/>
          <w:tab w:val="right" w:pos="909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Roboty budowlane związane</w:t>
      </w:r>
      <w:r w:rsidRPr="00744A22">
        <w:rPr>
          <w:rFonts w:ascii="Times New Roman" w:hAnsi="Times New Roman" w:cs="Times New Roman"/>
          <w:sz w:val="22"/>
          <w:szCs w:val="22"/>
        </w:rPr>
        <w:tab/>
        <w:t>ze wznoszeniem budynków mieszkalnych i niemieszkalnych,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02"/>
          <w:tab w:val="right" w:pos="4138"/>
          <w:tab w:val="left" w:pos="4325"/>
          <w:tab w:val="right" w:pos="9091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Wykonywanie konstrukcji i pokryć dachowych,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2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Pozostałe specjalistyczne roboty budowlane, gdzie indziej nie sklasyfikowane,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2"/>
          <w:tab w:val="left" w:leader="dot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Roboty związane z budową dróg i autostrad,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2"/>
          <w:tab w:val="left" w:leader="dot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Roboty związane z budową obiektów inżynierii wodnej,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Wykonywanie instalacji elektrycznych,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Wykonywanie instalacji wodnokanalizacyjnych, cieplnych, gazowych i klimatyzacyjnych,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2"/>
          <w:tab w:val="left" w:leader="hyphen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Działalność ochroniarska w zakresie obsługi systemów bezpieczeństwa,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82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Wykonywanie pozostałych instalacji budowlanych,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882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Tynkowanie,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lastRenderedPageBreak/>
        <w:t>Zakładanie stolarki budowlanej,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Posadzkarstwo, tapetowanie i oblicowywanie ścian,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Malowanie i szklenie,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Wykonywanie pozostałych robót budowlanych wykończeniowych,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Pozostałe specjalistyczne roboty budowlane, gdzie indziej niesklasyfikowane,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Wydobywanie żwiru i piasku; wydobywanie gliny i kaolinu,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Działalność usługowa wspomagająca pozostałe górnictwo i wydobywanie,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Produkcja cegieł, dachówek i materiałów budowlanych z wypalanej gliny,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Naprawa i konserwacja pozostałego sprzętu i wyposażenia,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Instalowanie maszyn przemysłowych, sprzętu i wyposażenia,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Produkcja wyrobów budowlanych z betonu,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Naprawa i konserwacja maszyn,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Działalność agentów zajmujących się sprzedażą drewna i materiałów budowlanych,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Sprzedaż hurtowa drewna, materiałów budowlanych i wyposażenia sanitarnego,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Pozostały transport lądowy pasażerski, gdzie indziej nie sklasyfikowany,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Transport drogowy towarów,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Realizacja projektów budowlanych związanych ze wznoszeniem budynków,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Kupno i sprzedaż nieruchomości na własny rachunek,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Wynajem i zarządzanie nieruchomościami własnymi lub dzierżawionymi,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Zarządzanie nieruchomościami wykonywane na zlecenie,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Działalność pomocnicza związana z utrzymaniem porządku w budynkach,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Wynajem i dzierżawa samochodów osobowych i furgonetek,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Wynajem i dzierżawa pozostałych pojazdów samochodowych z wyłączeniem motocykli,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Wynajem i dzierżawa pozostałych maszyn, urządzeń oraz dóbr materialnych, gdzie indziej niesklasyfikowane,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Wynajem i dzierżawa maszyn i urządzeń budowlanych,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Badania naukowe i prace rozwojowe w dziedzinie biotechnologii,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Badania naukowe i prace rozwojowe w dziedzinie pozostałych nauk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pos="851"/>
        </w:tabs>
        <w:spacing w:line="298" w:lineRule="exact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przyrodniczych i technicznych,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Działalność w zakresie architektury,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Działalność w zakresie inżynierii i związane z nią doradztwo techniczne,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Pozostała działalność profesjonalna, naukowa i techniczna, gdzie indziej nie sklasyfikowana,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Technika,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Zasadnicze szkoły zawodowe,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hyphen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Pozaszkolne formy edukacji sportowej zajęć sportowych i rekreacyjnych,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Pozaszkolne formy edukacji artystycznej,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Pozostałe pozaszkolne formy edukacji, gdzie indziej niesklasyfikowane,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Działalność historycznych miejsc i budynków oraz podobnych atrakcji turystycznych, 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Naprawa i konserwacja statków i łodzi,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26"/>
          <w:tab w:val="left" w:leader="dot" w:pos="9023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Produkcja statków i konstrukcji pływających,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26"/>
          <w:tab w:val="left" w:leader="dot" w:pos="9023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Działalność rachunkowo - księgowa; doradztwo podatkowe,</w:t>
      </w:r>
    </w:p>
    <w:p w:rsidR="00744A22" w:rsidRPr="00744A22" w:rsidRDefault="00744A22" w:rsidP="00744A22">
      <w:pPr>
        <w:pStyle w:val="Bodytext20"/>
        <w:numPr>
          <w:ilvl w:val="0"/>
          <w:numId w:val="27"/>
        </w:numPr>
        <w:shd w:val="clear" w:color="auto" w:fill="auto"/>
        <w:tabs>
          <w:tab w:val="left" w:pos="926"/>
          <w:tab w:val="left" w:leader="dot" w:pos="9023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Pozostałe doradztwo w zakresie prowadzenia działalności gospodarczej i zarządzania.</w:t>
      </w:r>
    </w:p>
    <w:p w:rsidR="00744A22" w:rsidRPr="00744A22" w:rsidRDefault="00744A22" w:rsidP="00744A22">
      <w:pPr>
        <w:pStyle w:val="Bodytext20"/>
        <w:numPr>
          <w:ilvl w:val="0"/>
          <w:numId w:val="26"/>
        </w:numPr>
        <w:shd w:val="clear" w:color="auto" w:fill="auto"/>
        <w:tabs>
          <w:tab w:val="left" w:pos="284"/>
        </w:tabs>
        <w:spacing w:line="298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Jeżeli podjęcie lub prowadzenie działalności gospodarczej w zakresie ustalonego powyżej przedmiotu działalności Spółki, wymaga uzyskania odpowiedniego zezwolenia lub koncesji, rozpoczęcie lub prowadzenie takiej działalności może nastąpić po uzyskaniu takiego zezwolenia </w:t>
      </w:r>
      <w:r w:rsidRPr="00744A22">
        <w:rPr>
          <w:rFonts w:ascii="Times New Roman" w:hAnsi="Times New Roman" w:cs="Times New Roman"/>
          <w:sz w:val="22"/>
          <w:szCs w:val="22"/>
        </w:rPr>
        <w:lastRenderedPageBreak/>
        <w:t>lub koncesji.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26"/>
        </w:numPr>
        <w:shd w:val="clear" w:color="auto" w:fill="auto"/>
        <w:tabs>
          <w:tab w:val="left" w:pos="284"/>
        </w:tabs>
        <w:spacing w:line="298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Uchwały o istotnej zmianie przedmiotu działalności Spółki nie wymagają wykupu akcji w myśl art. 417 § 4 Kodeksu Spółek Handlowych, o ile zostaną powzięte większością dwóch trzecich głosów w </w:t>
      </w:r>
      <w:r w:rsidRPr="00744A22">
        <w:rPr>
          <w:rFonts w:ascii="Times New Roman" w:hAnsi="Times New Roman" w:cs="Times New Roman"/>
          <w:sz w:val="22"/>
          <w:szCs w:val="22"/>
        </w:rPr>
        <w:tab/>
        <w:t>obecności osób reprezentujących co najmniej połowę kapitału zakładowego</w:t>
      </w:r>
      <w:r w:rsidRPr="00744A22">
        <w:rPr>
          <w:rFonts w:ascii="Times New Roman" w:hAnsi="Times New Roman" w:cs="Times New Roman"/>
          <w:sz w:val="22"/>
          <w:szCs w:val="22"/>
        </w:rPr>
        <w:tab/>
      </w:r>
      <w:r w:rsidR="001E2EF4">
        <w:rPr>
          <w:rFonts w:ascii="Times New Roman" w:hAnsi="Times New Roman" w:cs="Times New Roman"/>
          <w:sz w:val="22"/>
          <w:szCs w:val="22"/>
        </w:rPr>
        <w:t>.</w:t>
      </w:r>
    </w:p>
    <w:p w:rsidR="00744A22" w:rsidRPr="00744A22" w:rsidRDefault="00744A22" w:rsidP="00744A22">
      <w:pPr>
        <w:pStyle w:val="Bodytext20"/>
        <w:shd w:val="clear" w:color="auto" w:fill="auto"/>
        <w:spacing w:line="595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4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leader="dot" w:pos="9023"/>
        </w:tabs>
        <w:spacing w:line="595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Spółka została utworzona na czas nieoznaczony.</w:t>
      </w:r>
    </w:p>
    <w:p w:rsidR="00744A22" w:rsidRPr="00744A22" w:rsidRDefault="00744A22" w:rsidP="00744A22">
      <w:pPr>
        <w:pStyle w:val="Bodytext20"/>
        <w:shd w:val="clear" w:color="auto" w:fill="auto"/>
        <w:spacing w:line="595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5</w:t>
      </w:r>
    </w:p>
    <w:p w:rsidR="00744A22" w:rsidRPr="00744A22" w:rsidRDefault="00744A22" w:rsidP="00744A22">
      <w:pPr>
        <w:pStyle w:val="Bodytext20"/>
        <w:numPr>
          <w:ilvl w:val="0"/>
          <w:numId w:val="28"/>
        </w:numPr>
        <w:shd w:val="clear" w:color="auto" w:fill="auto"/>
        <w:tabs>
          <w:tab w:val="left" w:pos="339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Kapitał zakładowy Spółki wynosi 1.281.185,90 (słownie: jeden milion dwieście osiemdziesiąt jeden tysięcy sto osiemdziesiąt pięć złotych 90/100) i dzieli się na: 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382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2.000.000 akcji zwykłych na okaziciela serii A,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8.000.000 akcji zwykłych na okaziciela serii B,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71.025 akcji zwykłych na okaziciela serii C,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2.500.000 akcji zwykłych na okaziciela serii D, oraz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31.686 akcji zwykłych na okaziciela serii E,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41.458 akcji zwykłych na okaziciela serii F,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33.787 akcji zwykłych na okaziciela serii G,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36.590 akcji zwykłych na okaziciela serii H,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47.379 akcji zwykłych na okaziciela serii I,</w:t>
      </w:r>
    </w:p>
    <w:p w:rsidR="00744A22" w:rsidRPr="00744A22" w:rsidRDefault="00744A22" w:rsidP="00744A22">
      <w:pPr>
        <w:pStyle w:val="Bodytext20"/>
        <w:numPr>
          <w:ilvl w:val="0"/>
          <w:numId w:val="29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49.934 akcji zwykłych na okaziciela serii J,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leader="dot" w:pos="902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o wartości nominalnej 0,10 zł (dziesięć groszy) każda akcja.</w:t>
      </w:r>
    </w:p>
    <w:p w:rsidR="00744A22" w:rsidRPr="00744A22" w:rsidRDefault="00744A22" w:rsidP="00744A22">
      <w:pPr>
        <w:pStyle w:val="Bodytext20"/>
        <w:numPr>
          <w:ilvl w:val="0"/>
          <w:numId w:val="28"/>
        </w:numPr>
        <w:shd w:val="clear" w:color="auto" w:fill="auto"/>
        <w:tabs>
          <w:tab w:val="left" w:pos="368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Kapitał zakładowy Spółki został w pełni opłacony przed zarejestrowaniem Spółki. </w:t>
      </w:r>
    </w:p>
    <w:p w:rsidR="00744A22" w:rsidRPr="00744A22" w:rsidRDefault="00744A22" w:rsidP="00744A22">
      <w:pPr>
        <w:pStyle w:val="Bodytext20"/>
        <w:numPr>
          <w:ilvl w:val="0"/>
          <w:numId w:val="28"/>
        </w:numPr>
        <w:shd w:val="clear" w:color="auto" w:fill="auto"/>
        <w:tabs>
          <w:tab w:val="left" w:pos="368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Akcje mogą być umarzane w trybie umorzenia dobrowolnego.</w:t>
      </w:r>
    </w:p>
    <w:p w:rsidR="00744A22" w:rsidRPr="00744A22" w:rsidRDefault="00744A22" w:rsidP="00744A22">
      <w:pPr>
        <w:pStyle w:val="Bodytext20"/>
        <w:numPr>
          <w:ilvl w:val="0"/>
          <w:numId w:val="28"/>
        </w:numPr>
        <w:shd w:val="clear" w:color="auto" w:fill="auto"/>
        <w:tabs>
          <w:tab w:val="left" w:pos="426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Spółka może emitować obligacje zamienne, obligacje z prawem pierwszeństwa oraz warranty subskrypcyjne.</w:t>
      </w:r>
    </w:p>
    <w:p w:rsidR="00744A22" w:rsidRPr="00744A22" w:rsidRDefault="00744A22" w:rsidP="00744A22">
      <w:pPr>
        <w:pStyle w:val="Bodytext20"/>
        <w:numPr>
          <w:ilvl w:val="0"/>
          <w:numId w:val="28"/>
        </w:numPr>
        <w:shd w:val="clear" w:color="auto" w:fill="auto"/>
        <w:tabs>
          <w:tab w:val="left" w:pos="368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Zarząd Spółki jest upoważniony, w okresie do dnia 8 grudnia 2012 roku, do podwyższenia kapitału zakładowego o kwotę nie większą niż 15.000,00 złotych (słownie: piętnaście tysięcy złotych) poprzez emisję akcji o wartości nominalnej 0,10 zł (słownie: dziesięć groszy) każda akcja (kapitał docelowy). Zarząd może wykonywać przyznane mu upoważnienie poprzez dokonanie jednego albo kilku podwyższeń kapitału zakładowego. Zarząd Spółki może wydawać akcje wyłącznie w zamian za wkłady pieniężne. Zarząd Spółki nie może wydawać akcji uprzywilejowanych lub przyznawać akcjonariuszowi osobistych uprawnień, o których mowa w art. 354 Kodeksu spółek handlowych. Niniejsze upoważnienie nie obejmuje uprawnienia do podwyższenia kapitału zakładowego ze środków własnych Spółki.</w:t>
      </w:r>
    </w:p>
    <w:p w:rsidR="00744A22" w:rsidRPr="00744A22" w:rsidRDefault="00744A22" w:rsidP="00744A22">
      <w:pPr>
        <w:pStyle w:val="Bodytext20"/>
        <w:numPr>
          <w:ilvl w:val="0"/>
          <w:numId w:val="28"/>
        </w:numPr>
        <w:shd w:val="clear" w:color="auto" w:fill="auto"/>
        <w:tabs>
          <w:tab w:val="left" w:pos="426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Uchwała Zarządu Spółki podjęta zgodnie z ust. 5 powyżej, zastępuje uchwałę Walnego Zgromadzenia o podwyższeniu kapitału zakładowego i dla swej ważności wymaga formy aktu notarialnego.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28"/>
        </w:numPr>
        <w:shd w:val="clear" w:color="auto" w:fill="auto"/>
        <w:tabs>
          <w:tab w:val="left" w:leader="dot" w:pos="9033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Zarząd Spółki może, za zgodą Rady Nadzorczej, wyłączyć lub ograniczyć prawo pierwszeństwa objęcia akcji Spółki przez dotychczasowych akcjonariuszy (prawo poboru) dotyczące podwyższenia kapitału zakładowego dokonywanego w ramach udzielonego Zarządowi w Statucie Spółki upoważnienia do podwyższenia kapitału zakładowego w granicach kapitału docelowego. Zgoda Rady Nadzorczej powinna być wyrażona w formie uchwały podjętej większością 3/4 głosów członków Rady Nadzorczej obecnych na posiedzeniu, w obecności co najmniej połowy liczby członków Rady Nadzorczej.</w:t>
      </w:r>
    </w:p>
    <w:p w:rsidR="00744A22" w:rsidRPr="00744A22" w:rsidRDefault="00744A22" w:rsidP="00744A22">
      <w:pPr>
        <w:pStyle w:val="Bodytext20"/>
        <w:numPr>
          <w:ilvl w:val="0"/>
          <w:numId w:val="28"/>
        </w:numPr>
        <w:shd w:val="clear" w:color="auto" w:fill="auto"/>
        <w:tabs>
          <w:tab w:val="left" w:leader="dot" w:pos="8007"/>
        </w:tabs>
        <w:spacing w:line="276" w:lineRule="auto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Zarząd Spółki jest upoważniony, w okresie 3 lat od wpisu upoważnienia do Krajowego Rejestru </w:t>
      </w:r>
      <w:r w:rsidRPr="00744A22">
        <w:rPr>
          <w:rFonts w:ascii="Times New Roman" w:hAnsi="Times New Roman" w:cs="Times New Roman"/>
          <w:sz w:val="22"/>
          <w:szCs w:val="22"/>
        </w:rPr>
        <w:lastRenderedPageBreak/>
        <w:t xml:space="preserve">Sądowego do podwyższenia kapitału zakładowego o kwotę nie większą niż 15.000 zł (słownie: piętnaście tysięcy 00/100) poprzez emisję akcji o wartości nominalnej 0,10 zł (dziesięć groszy) każda akcja (kapitał docelowy). Zarząd może wykonywać przyznane mu upoważnienie poprzez dokonanie jednego albo kilku podwyższeń kapitału zakładowego. Zarząd może wydawać akcje wyłącznie w zamian za wkłady pieniężne. Zarząd spółki nie może wydawać akcji uprzywilejowanych lub przyznawać akcjonariuszowi osobistych uprawnień, o których mowa w art. 354 </w:t>
      </w:r>
      <w:r w:rsidRPr="00744A22">
        <w:rPr>
          <w:rFonts w:ascii="Times New Roman" w:hAnsi="Times New Roman" w:cs="Times New Roman"/>
          <w:i/>
          <w:iCs/>
          <w:sz w:val="22"/>
          <w:szCs w:val="22"/>
        </w:rPr>
        <w:t>Kodeksu spółek handlowych.</w:t>
      </w:r>
      <w:r w:rsidRPr="00744A22">
        <w:rPr>
          <w:rFonts w:ascii="Times New Roman" w:hAnsi="Times New Roman" w:cs="Times New Roman"/>
          <w:sz w:val="22"/>
          <w:szCs w:val="22"/>
        </w:rPr>
        <w:t xml:space="preserve"> Niniejsze upoważnienie nie obejmuje uprawnienia do podwyższenia kapitału zakładowego ze środków własnych Spółki.</w:t>
      </w:r>
    </w:p>
    <w:p w:rsidR="00744A22" w:rsidRPr="00744A22" w:rsidRDefault="00744A22" w:rsidP="00744A22">
      <w:pPr>
        <w:pStyle w:val="Bodytext20"/>
        <w:numPr>
          <w:ilvl w:val="0"/>
          <w:numId w:val="28"/>
        </w:numPr>
        <w:shd w:val="clear" w:color="auto" w:fill="auto"/>
        <w:tabs>
          <w:tab w:val="left" w:leader="dot" w:pos="9033"/>
        </w:tabs>
        <w:spacing w:after="330"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Uchwała Zarządu podjęta zgodnie z ust. 8 powyżej, zastępuje uchwałę Walnego Zgromadzenia o podwyższeniu kapitału zakładowego i dla swej ważności wymaga formy aktu notarialnego.</w:t>
      </w: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6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leader="dot" w:pos="9033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Spółka powstała w wyniku przekształcenia spółki ERBUD Spółka z ograniczoną odpowiedzialnością i jest jej następcą prawnym. Założycielami Spółki są wspólnicy przekształconej spółki z ograniczoną odpowiedzialnością, którzy przystąpili do Spółki i objęli akcje, tj.:</w:t>
      </w:r>
    </w:p>
    <w:p w:rsidR="00744A22" w:rsidRPr="00744A22" w:rsidRDefault="00744A22" w:rsidP="00744A22">
      <w:pPr>
        <w:pStyle w:val="Bodytext20"/>
        <w:numPr>
          <w:ilvl w:val="0"/>
          <w:numId w:val="30"/>
        </w:numPr>
        <w:shd w:val="clear" w:color="auto" w:fill="auto"/>
        <w:tabs>
          <w:tab w:val="left" w:pos="1461"/>
          <w:tab w:val="left" w:leader="dot" w:pos="903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Pan Dariusz Grzeszczak,</w:t>
      </w:r>
    </w:p>
    <w:p w:rsidR="00744A22" w:rsidRPr="00744A22" w:rsidRDefault="00744A22" w:rsidP="00744A22">
      <w:pPr>
        <w:pStyle w:val="Bodytext20"/>
        <w:numPr>
          <w:ilvl w:val="0"/>
          <w:numId w:val="30"/>
        </w:numPr>
        <w:shd w:val="clear" w:color="auto" w:fill="auto"/>
        <w:tabs>
          <w:tab w:val="left" w:pos="1461"/>
          <w:tab w:val="left" w:leader="dot" w:pos="903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Pan Józef Adam Zubelewicz oraz</w:t>
      </w:r>
    </w:p>
    <w:p w:rsidR="00744A22" w:rsidRPr="00744A22" w:rsidRDefault="00744A22" w:rsidP="00744A22">
      <w:pPr>
        <w:pStyle w:val="Bodytext20"/>
        <w:numPr>
          <w:ilvl w:val="0"/>
          <w:numId w:val="30"/>
        </w:numPr>
        <w:shd w:val="clear" w:color="auto" w:fill="auto"/>
        <w:tabs>
          <w:tab w:val="left" w:pos="1461"/>
          <w:tab w:val="left" w:leader="dot" w:pos="903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spółka prawa niemieckiego Wolff &amp; Müller GmbH &amp; Co. KG.</w:t>
      </w:r>
    </w:p>
    <w:p w:rsidR="00744A22" w:rsidRPr="00744A22" w:rsidRDefault="00744A22" w:rsidP="00744A22">
      <w:pPr>
        <w:pStyle w:val="Bodytext20"/>
        <w:shd w:val="clear" w:color="auto" w:fill="auto"/>
        <w:spacing w:after="192" w:line="26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744A22" w:rsidRPr="00744A22" w:rsidRDefault="00744A22" w:rsidP="00744A22">
      <w:pPr>
        <w:pStyle w:val="Bodytext20"/>
        <w:shd w:val="clear" w:color="auto" w:fill="auto"/>
        <w:spacing w:after="192" w:line="26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7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leader="dot" w:pos="3764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Organami Spółki są:</w:t>
      </w:r>
    </w:p>
    <w:p w:rsidR="00744A22" w:rsidRPr="00744A22" w:rsidRDefault="00744A22" w:rsidP="00744A22">
      <w:pPr>
        <w:pStyle w:val="Bodytext20"/>
        <w:numPr>
          <w:ilvl w:val="0"/>
          <w:numId w:val="31"/>
        </w:numPr>
        <w:shd w:val="clear" w:color="auto" w:fill="auto"/>
        <w:tabs>
          <w:tab w:val="left" w:pos="1461"/>
          <w:tab w:val="left" w:leader="dot" w:pos="3764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Zarząd,</w:t>
      </w:r>
    </w:p>
    <w:p w:rsidR="00744A22" w:rsidRPr="00744A22" w:rsidRDefault="00744A22" w:rsidP="00744A22">
      <w:pPr>
        <w:pStyle w:val="Bodytext20"/>
        <w:numPr>
          <w:ilvl w:val="0"/>
          <w:numId w:val="31"/>
        </w:numPr>
        <w:shd w:val="clear" w:color="auto" w:fill="auto"/>
        <w:tabs>
          <w:tab w:val="left" w:pos="1461"/>
          <w:tab w:val="left" w:leader="dot" w:pos="3764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Rada Nadzorcza,</w:t>
      </w:r>
    </w:p>
    <w:p w:rsidR="00744A22" w:rsidRPr="00744A22" w:rsidRDefault="00744A22" w:rsidP="00744A22">
      <w:pPr>
        <w:pStyle w:val="Bodytext20"/>
        <w:numPr>
          <w:ilvl w:val="0"/>
          <w:numId w:val="31"/>
        </w:numPr>
        <w:shd w:val="clear" w:color="auto" w:fill="auto"/>
        <w:tabs>
          <w:tab w:val="left" w:pos="146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Walne Zgromadzenie.</w:t>
      </w: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8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pos="146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4A22" w:rsidRPr="00744A22" w:rsidRDefault="00744A22" w:rsidP="00744A22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 skład Zarządu wchodzi od 2 (dwóch) do 5 (pięć) członków.</w:t>
      </w:r>
    </w:p>
    <w:p w:rsidR="00744A22" w:rsidRPr="00744A22" w:rsidRDefault="00744A22" w:rsidP="00744A22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Członków Zarządu powołuje i odwołuje Rada Nadzorcza Spółki.</w:t>
      </w:r>
    </w:p>
    <w:p w:rsidR="00744A22" w:rsidRPr="00744A22" w:rsidRDefault="00744A22" w:rsidP="00744A22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  <w:tab w:val="left" w:leader="dot" w:pos="9025"/>
        </w:tabs>
        <w:spacing w:after="330"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Wspólna kadencja członków Zarządu trwa trzy lata.</w:t>
      </w: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9</w:t>
      </w:r>
    </w:p>
    <w:p w:rsidR="00744A22" w:rsidRPr="00744A22" w:rsidRDefault="00744A22" w:rsidP="00744A22">
      <w:pPr>
        <w:pStyle w:val="Bodytext20"/>
        <w:numPr>
          <w:ilvl w:val="0"/>
          <w:numId w:val="33"/>
        </w:numPr>
        <w:shd w:val="clear" w:color="auto" w:fill="auto"/>
        <w:tabs>
          <w:tab w:val="left" w:pos="346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Zarząd Spółki prowadzi sprawy Spółki i reprezentuje ją na zewnątrz.</w:t>
      </w:r>
    </w:p>
    <w:p w:rsidR="00744A22" w:rsidRPr="00744A22" w:rsidRDefault="00744A22" w:rsidP="00744A22">
      <w:pPr>
        <w:pStyle w:val="Bodytext20"/>
        <w:numPr>
          <w:ilvl w:val="0"/>
          <w:numId w:val="33"/>
        </w:numPr>
        <w:shd w:val="clear" w:color="auto" w:fill="auto"/>
        <w:tabs>
          <w:tab w:val="left" w:pos="368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Wszelkie sprawy związane z prowadzeniem spraw Spółki niezastrzeżone przepisami Kodeksu spółek handlowych lub niniejszym Statutem do kompetencji Walnego Zgromadzenia lub Rady Nadzorczej należą do zakresu działania Zarządu.</w:t>
      </w:r>
    </w:p>
    <w:p w:rsidR="00744A22" w:rsidRPr="00744A22" w:rsidRDefault="00744A22" w:rsidP="00744A22">
      <w:pPr>
        <w:pStyle w:val="Bodytext20"/>
        <w:numPr>
          <w:ilvl w:val="0"/>
          <w:numId w:val="33"/>
        </w:numPr>
        <w:shd w:val="clear" w:color="auto" w:fill="auto"/>
        <w:tabs>
          <w:tab w:val="left" w:pos="368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Regulamin Zarządu określi szczegółowe zasady działania Zarządu. Regulamin Zarządu, ustalony z zastrzeżeniem postanowień niniejszego Statutu, uchwala Zarząd.</w:t>
      </w: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2"/>
          <w:szCs w:val="22"/>
        </w:rPr>
      </w:pP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10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leader="dot" w:pos="9025"/>
        </w:tabs>
        <w:spacing w:after="330"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Do składania oświadczeń woli w imieniu Spółki upoważnionych jest dwóch członków Zarządu działających łącznie albo jeden członek Zarządu działający łącznie z prokurentem.</w:t>
      </w: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11</w:t>
      </w:r>
    </w:p>
    <w:p w:rsidR="00744A22" w:rsidRPr="00744A22" w:rsidRDefault="00744A22" w:rsidP="00744A22">
      <w:pPr>
        <w:pStyle w:val="Bodytext20"/>
        <w:numPr>
          <w:ilvl w:val="0"/>
          <w:numId w:val="34"/>
        </w:numPr>
        <w:shd w:val="clear" w:color="auto" w:fill="auto"/>
        <w:tabs>
          <w:tab w:val="left" w:pos="426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lastRenderedPageBreak/>
        <w:t xml:space="preserve">W skład Rady Nadzorczej wchodzi od 5 do 7 członków, w tym Przewodniczący oraz Wiceprzewodniczący </w:t>
      </w:r>
      <w:r w:rsidRPr="00744A22">
        <w:rPr>
          <w:rFonts w:ascii="Times New Roman" w:hAnsi="Times New Roman" w:cs="Times New Roman"/>
          <w:sz w:val="22"/>
          <w:szCs w:val="22"/>
        </w:rPr>
        <w:tab/>
        <w:t>Rady Nadzorczej.</w:t>
      </w:r>
    </w:p>
    <w:p w:rsidR="00744A22" w:rsidRPr="00744A22" w:rsidRDefault="00744A22" w:rsidP="00744A22">
      <w:pPr>
        <w:pStyle w:val="Bodytext20"/>
        <w:numPr>
          <w:ilvl w:val="0"/>
          <w:numId w:val="34"/>
        </w:numPr>
        <w:shd w:val="clear" w:color="auto" w:fill="auto"/>
        <w:tabs>
          <w:tab w:val="left" w:pos="426"/>
        </w:tabs>
        <w:spacing w:line="298" w:lineRule="exact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Członkowie Rady Nadzorczej są powoływani przez Walne Zgromadzenie na okres wspólnej trzyletniej </w:t>
      </w:r>
      <w:r w:rsidRPr="00744A22">
        <w:rPr>
          <w:rFonts w:ascii="Times New Roman" w:hAnsi="Times New Roman" w:cs="Times New Roman"/>
          <w:sz w:val="22"/>
          <w:szCs w:val="22"/>
        </w:rPr>
        <w:tab/>
        <w:t>kadencji. Walne Zgromadzenie wyznacza Przewodniczącego oraz Wiceprzewodniczącego Rady Nadzorczej.</w:t>
      </w:r>
    </w:p>
    <w:p w:rsidR="00744A22" w:rsidRPr="00744A22" w:rsidRDefault="00744A22" w:rsidP="00744A22">
      <w:pPr>
        <w:pStyle w:val="Bodytext20"/>
        <w:numPr>
          <w:ilvl w:val="0"/>
          <w:numId w:val="34"/>
        </w:numPr>
        <w:shd w:val="clear" w:color="auto" w:fill="auto"/>
        <w:tabs>
          <w:tab w:val="left" w:pos="373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Do kompetencji Rady Nadzorczej należy: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773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zatwierdzanie strategicznych planów wieloletnich Spółki,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zatwierdzanie rocznych planów rzeczowo - finansowych,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zatwierdzanie planów inwestycyjnych Spółki,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udzielanie zgody na nabycie, zbycie i obciążenie nieruchomości, użytkowania  wieczystego lub </w:t>
      </w:r>
      <w:r w:rsidRPr="00744A22">
        <w:rPr>
          <w:rFonts w:ascii="Times New Roman" w:hAnsi="Times New Roman" w:cs="Times New Roman"/>
          <w:sz w:val="22"/>
          <w:szCs w:val="22"/>
        </w:rPr>
        <w:tab/>
        <w:t>udziału w nieruchomości,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udzielanie zgody na przestawienie produkcji, zakładanie i rozwiązywanie zakładów i filii, nabycie </w:t>
      </w:r>
      <w:r w:rsidRPr="00744A22">
        <w:rPr>
          <w:rFonts w:ascii="Times New Roman" w:hAnsi="Times New Roman" w:cs="Times New Roman"/>
          <w:sz w:val="22"/>
          <w:szCs w:val="22"/>
        </w:rPr>
        <w:tab/>
        <w:t>nowych przedsiębiorstw,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udzielanie zgody na udzielanie przez Spółkę gwarancji, poręczeń majątkowych i wystawianie weksli,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przejęcie poręczeń, otwarcia akredytywy, o wartości każdorazowo powyżej równowartości kwoty </w:t>
      </w:r>
      <w:r w:rsidRPr="00744A22">
        <w:rPr>
          <w:rFonts w:ascii="Times New Roman" w:hAnsi="Times New Roman" w:cs="Times New Roman"/>
          <w:sz w:val="22"/>
          <w:szCs w:val="22"/>
        </w:rPr>
        <w:tab/>
        <w:t>2.000.000,00 (słownie: dwóch milionów) Euro,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udzielanie zgody na inwestycje kapitałowe powyżej równowartości kwoty 100.000,00 (słownie: sto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tysięcy) Euro z wyłączeniem lokat kapitałowych, bonów i obligacji skarbowych emitowanych w </w:t>
      </w:r>
      <w:r w:rsidRPr="00744A22">
        <w:rPr>
          <w:rFonts w:ascii="Times New Roman" w:hAnsi="Times New Roman" w:cs="Times New Roman"/>
          <w:sz w:val="22"/>
          <w:szCs w:val="22"/>
        </w:rPr>
        <w:tab/>
        <w:t>Polsce lub krajach na obszarze, których Spółka prowadzi działalność,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udzielanie zgody na nabycie, zbycie, obciążenie udziałów lub akcji w innych podmiotach,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ustalanie sposobu głosowania przedstawicieli Spółki w organach spółek zależnych i stowarzyszonych w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sprawie powoływania i odwoływania członków organów spółek zależnych i stowarzyszonych,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rozwiązania lub likwidacji tych spółek, zmiany przedmiotu przedsiębiorstwa, podziału lub połączenia </w:t>
      </w:r>
      <w:r w:rsidRPr="00744A22">
        <w:rPr>
          <w:rFonts w:ascii="Times New Roman" w:hAnsi="Times New Roman" w:cs="Times New Roman"/>
          <w:sz w:val="22"/>
          <w:szCs w:val="22"/>
        </w:rPr>
        <w:tab/>
        <w:t>spółek zależnych i stowarzyszonych,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udzielanie zgody na podejmowanie wszelkich czynności nie związanych z przedmiotem działalności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Spółki i czynności nadzwyczajnych o wartości przekraczającej równowartość kwoty 100.000,00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(słownie: sto tysięcy) Euro, 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  <w:t xml:space="preserve">udzielanie zgody na zawieranie umów z akcjonariuszami posiadającymi co najmniej 5% ogólnej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liczby głosów na walnym zgromadzeniu Spółki oraz podmiotami powiązanymi w rozumieniu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międzynarodowych standardów rachunkowości przyjętych zgodnie z rozporządzeniem (WE) nr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1606/2002 Parlamentu Europejskiego i Rady z dnia 19 lipca 2002 r. w sprawie stosowania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międzynarodowych standardów rachunkowości; Powyższemu obowiązkowi nie podlegają transakcje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typowe i zawierane na warunkach rynkowych w ramach prowadzonej działalności operacyjnej przez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spółkę z podmiotami wchodzącymi w skład grupy kapitałowej spółki, 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  <w:t xml:space="preserve">udzielanie zgody na inwestycje powyżej równowartości kwoty 100.000,00 (słownie: sto tysięcy)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Euro, </w:t>
      </w:r>
      <w:r w:rsidRPr="00744A22">
        <w:rPr>
          <w:rFonts w:ascii="Times New Roman" w:hAnsi="Times New Roman" w:cs="Times New Roman"/>
          <w:sz w:val="22"/>
          <w:szCs w:val="22"/>
        </w:rPr>
        <w:tab/>
        <w:t>chyba że inwestycje te są zawarte w planie inwestycyjnym, zatwierdzonym przez Radę Nadzorczą,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  <w:t xml:space="preserve">udzielanie zgody na zawarcie umów najmu, dzierżawy i licencji, z okresem obowiązywania </w:t>
      </w:r>
      <w:r w:rsidRPr="00744A22">
        <w:rPr>
          <w:rFonts w:ascii="Times New Roman" w:hAnsi="Times New Roman" w:cs="Times New Roman"/>
          <w:sz w:val="22"/>
          <w:szCs w:val="22"/>
        </w:rPr>
        <w:lastRenderedPageBreak/>
        <w:t xml:space="preserve">powyżej </w:t>
      </w:r>
      <w:r w:rsidRPr="00744A22">
        <w:rPr>
          <w:rFonts w:ascii="Times New Roman" w:hAnsi="Times New Roman" w:cs="Times New Roman"/>
          <w:sz w:val="22"/>
          <w:szCs w:val="22"/>
        </w:rPr>
        <w:tab/>
        <w:t>48 miesięcy zawieranych poza zwykłym tokiem działalności i nieprzewidzianych w budżecie,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  <w:t xml:space="preserve">udzielanie zgody na składanie ofert i zawieranie umów o roboty budowlane o wartości netto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przekraczającej równowartość kwoty 15.000.000,00 (słownie: piętnastu milionów) Euro, w przypadku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ofert wspólnych, miarodajna jest suma netto oferty, a nie udział spółki w ofercie, 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  <w:t xml:space="preserve">udzielanie zgody na rozporządzenie prawem lub zaciągnięcie zobowiązania o wartości </w:t>
      </w:r>
      <w:r w:rsidRPr="00744A22">
        <w:rPr>
          <w:rFonts w:ascii="Times New Roman" w:hAnsi="Times New Roman" w:cs="Times New Roman"/>
          <w:sz w:val="22"/>
          <w:szCs w:val="22"/>
        </w:rPr>
        <w:tab/>
        <w:t>przekraczającej równowartość kwoty 2.000.000,00 (słownie: dwóch milionów) Euro,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  <w:t xml:space="preserve">udzielanie zgody na zatrudnienie pracownika o rocznym wymiarze wynagrodzenia przekraczającym </w:t>
      </w:r>
      <w:r w:rsidRPr="00744A22">
        <w:rPr>
          <w:rFonts w:ascii="Times New Roman" w:hAnsi="Times New Roman" w:cs="Times New Roman"/>
          <w:sz w:val="22"/>
          <w:szCs w:val="22"/>
        </w:rPr>
        <w:tab/>
        <w:t>równowartość kwoty 100.000,00 (słownie: sto tysięcy) Euro,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  <w:t xml:space="preserve">udzielanie zgody na zasiadanie członków zarządu Spółki w zarządach lub radach nadzorczych spółek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spoza grupy kapitałowej spółki oraz w przypadkach określonych w art. 380 § 1 Kodeksu spółek </w:t>
      </w:r>
      <w:r w:rsidRPr="00744A22">
        <w:rPr>
          <w:rFonts w:ascii="Times New Roman" w:hAnsi="Times New Roman" w:cs="Times New Roman"/>
          <w:sz w:val="22"/>
          <w:szCs w:val="22"/>
        </w:rPr>
        <w:tab/>
        <w:t>handlowych,</w:t>
      </w:r>
    </w:p>
    <w:p w:rsidR="00744A22" w:rsidRPr="00744A22" w:rsidRDefault="00744A22" w:rsidP="00744A22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  <w:t xml:space="preserve">inne sprawy zastrzeżone do kompetencji Rady Nadzorczej przepisami prawa, postanowieniami </w:t>
      </w:r>
      <w:r w:rsidRPr="00744A22">
        <w:rPr>
          <w:rFonts w:ascii="Times New Roman" w:hAnsi="Times New Roman" w:cs="Times New Roman"/>
          <w:sz w:val="22"/>
          <w:szCs w:val="22"/>
        </w:rPr>
        <w:tab/>
        <w:t xml:space="preserve">niniejszego Statutu, przekazane na wniosek Zarządu lub delegowane uchwałą Walnego </w:t>
      </w:r>
      <w:r w:rsidRPr="00744A22">
        <w:rPr>
          <w:rFonts w:ascii="Times New Roman" w:hAnsi="Times New Roman" w:cs="Times New Roman"/>
          <w:sz w:val="22"/>
          <w:szCs w:val="22"/>
        </w:rPr>
        <w:tab/>
        <w:t>Zgromadzenia</w:t>
      </w:r>
      <w:r w:rsidR="001E2EF4">
        <w:rPr>
          <w:rFonts w:ascii="Times New Roman" w:hAnsi="Times New Roman" w:cs="Times New Roman"/>
          <w:sz w:val="22"/>
          <w:szCs w:val="22"/>
        </w:rPr>
        <w:t>.</w:t>
      </w:r>
      <w:r w:rsidRPr="00744A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pos="908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4A22" w:rsidRPr="00744A22" w:rsidRDefault="00744A22" w:rsidP="00744A22">
      <w:pPr>
        <w:pStyle w:val="Bodytext20"/>
        <w:shd w:val="clear" w:color="auto" w:fill="auto"/>
        <w:tabs>
          <w:tab w:val="left" w:leader="dot" w:pos="9038"/>
        </w:tabs>
        <w:spacing w:line="298" w:lineRule="exact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b/>
          <w:bCs/>
          <w:sz w:val="22"/>
          <w:szCs w:val="22"/>
        </w:rPr>
        <w:t xml:space="preserve">„Równowartość” </w:t>
      </w:r>
      <w:r w:rsidRPr="00744A22">
        <w:rPr>
          <w:rFonts w:ascii="Times New Roman" w:hAnsi="Times New Roman" w:cs="Times New Roman"/>
          <w:sz w:val="22"/>
          <w:szCs w:val="22"/>
        </w:rPr>
        <w:t xml:space="preserve"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transakcji. 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leader="dot" w:pos="9038"/>
        </w:tabs>
        <w:spacing w:line="298" w:lineRule="exact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4A22" w:rsidRPr="00744A22" w:rsidRDefault="00744A22" w:rsidP="00744A22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</w:rPr>
      </w:pPr>
      <w:r w:rsidRPr="00744A22">
        <w:rPr>
          <w:rFonts w:ascii="Times New Roman" w:hAnsi="Times New Roman" w:cs="Times New Roman"/>
        </w:rPr>
        <w:t>§ 11a</w:t>
      </w:r>
    </w:p>
    <w:p w:rsidR="00744A22" w:rsidRPr="00744A22" w:rsidRDefault="00744A22" w:rsidP="00744A22">
      <w:pPr>
        <w:tabs>
          <w:tab w:val="right" w:leader="hyphen" w:pos="9356"/>
          <w:tab w:val="right" w:leader="hyphen" w:pos="9469"/>
        </w:tabs>
        <w:rPr>
          <w:rFonts w:ascii="Times New Roman" w:hAnsi="Times New Roman" w:cs="Times New Roman"/>
        </w:rPr>
      </w:pPr>
    </w:p>
    <w:p w:rsidR="00744A22" w:rsidRPr="00744A22" w:rsidRDefault="00744A22" w:rsidP="00744A22">
      <w:pPr>
        <w:widowControl w:val="0"/>
        <w:numPr>
          <w:ilvl w:val="0"/>
          <w:numId w:val="43"/>
        </w:numPr>
        <w:tabs>
          <w:tab w:val="right" w:leader="hyphen" w:pos="9356"/>
          <w:tab w:val="right" w:leader="hyphen" w:pos="9469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744A22">
        <w:rPr>
          <w:rFonts w:ascii="Times New Roman" w:hAnsi="Times New Roman" w:cs="Times New Roman"/>
        </w:rPr>
        <w:t>Tak długo jak akcje Spółki będą dopuszczone do obrotu na rynku regulowanym, co najmniej dwóch członków Rady Nadzorczej powinno spełniać kryteria niezależności od Spółki i podmiotów pozostających w istotnym powiązaniu ze Spółką, wynikające z zasad ładu korporacyjnego, uchwalanych przez Radę Giełdy Papierów Wartościowych w Warszawie S.A., obowiązujących na rynku regulowanym na terytorium Rzeczypospolitej Polskiej, na którym są notowane akcje Spółki.</w:t>
      </w:r>
    </w:p>
    <w:p w:rsidR="00744A22" w:rsidRPr="00744A22" w:rsidRDefault="00744A22" w:rsidP="00744A22">
      <w:pPr>
        <w:widowControl w:val="0"/>
        <w:numPr>
          <w:ilvl w:val="0"/>
          <w:numId w:val="43"/>
        </w:numPr>
        <w:tabs>
          <w:tab w:val="right" w:leader="hyphen" w:pos="9356"/>
          <w:tab w:val="right" w:leader="hyphen" w:pos="9469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744A22">
        <w:rPr>
          <w:rFonts w:ascii="Times New Roman" w:hAnsi="Times New Roman" w:cs="Times New Roman"/>
        </w:rPr>
        <w:t xml:space="preserve">Niespełnienie kryteriów niezależności, o których mowa w ust. 1 powyżej, przez któregokolwiek z członków Rady Nadzorczej, bądź utrata statusu Niezależnego Członka Rady Nadzorczej w trakcie kadencji, nie powoduje wygaśnięcia jego mandatu i nie ma wpływu na zdolność Rady Nadzorczej do wykonywania kompetencji przewidzianych w Kodeksie spółek handlowych i w niniejszym Statucie. </w:t>
      </w:r>
    </w:p>
    <w:p w:rsidR="00744A22" w:rsidRPr="00744A22" w:rsidRDefault="00744A22" w:rsidP="00744A22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</w:rPr>
      </w:pPr>
    </w:p>
    <w:p w:rsidR="00744A22" w:rsidRPr="00744A22" w:rsidRDefault="00744A22" w:rsidP="00744A22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</w:rPr>
      </w:pPr>
      <w:r w:rsidRPr="00744A22">
        <w:rPr>
          <w:rFonts w:ascii="Times New Roman" w:hAnsi="Times New Roman" w:cs="Times New Roman"/>
        </w:rPr>
        <w:t xml:space="preserve">§ 11b </w:t>
      </w:r>
    </w:p>
    <w:p w:rsidR="00744A22" w:rsidRPr="00744A22" w:rsidRDefault="00744A22" w:rsidP="00744A22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</w:rPr>
      </w:pPr>
    </w:p>
    <w:p w:rsidR="00744A22" w:rsidRPr="00744A22" w:rsidRDefault="00744A22" w:rsidP="00744A22">
      <w:pPr>
        <w:pStyle w:val="Akapitzlist"/>
        <w:numPr>
          <w:ilvl w:val="0"/>
          <w:numId w:val="47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 xml:space="preserve">Tak długo jak akcje Spółki będą dopuszczone do obrotu na rynku regulowanym, Rada Nadzorcza powołuje komitet audytu, w którego skład wchodzi co najmniej 3 (trzech) jej członków, w tym przynajmniej jeden członek powinien spełniać warunki niezależności w rozumieniu art. 86 ust. 5 ustawy z dnia 7 maja 2009 r. o biegłych rewidentach i ich samorządzie, podmiotach uprawnionych </w:t>
      </w:r>
      <w:r w:rsidRPr="00744A22">
        <w:rPr>
          <w:rFonts w:ascii="Times New Roman" w:hAnsi="Times New Roman"/>
          <w:sz w:val="22"/>
          <w:lang w:val="pl-PL"/>
        </w:rPr>
        <w:lastRenderedPageBreak/>
        <w:t>do badania sprawozdań finansowych oraz o nadzorze publicznym i mieć kwalifikacje w dziedzinie rachunkowości lub rewizji finansowej.</w:t>
      </w:r>
    </w:p>
    <w:p w:rsidR="00744A22" w:rsidRPr="00744A22" w:rsidRDefault="00744A22" w:rsidP="00744A22">
      <w:pPr>
        <w:pStyle w:val="Akapitzlist"/>
        <w:numPr>
          <w:ilvl w:val="0"/>
          <w:numId w:val="47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 xml:space="preserve">Rada Nadzorcza, która liczy nie więcej niż 5 (pięciu) członków, może wykonywać zadania komitetu audytu. </w:t>
      </w:r>
    </w:p>
    <w:p w:rsidR="00744A22" w:rsidRPr="00744A22" w:rsidRDefault="00744A22" w:rsidP="00744A22">
      <w:pPr>
        <w:pStyle w:val="Akapitzlist"/>
        <w:numPr>
          <w:ilvl w:val="0"/>
          <w:numId w:val="47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 xml:space="preserve">Do zadań komitetu audytu należy w szczególności: </w:t>
      </w:r>
    </w:p>
    <w:p w:rsidR="00744A22" w:rsidRPr="00744A22" w:rsidRDefault="00744A22" w:rsidP="00744A22">
      <w:pPr>
        <w:pStyle w:val="Akapitzlist"/>
        <w:numPr>
          <w:ilvl w:val="0"/>
          <w:numId w:val="4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 xml:space="preserve">monitorowanie procesu sprawozdawczości finansowej; </w:t>
      </w:r>
    </w:p>
    <w:p w:rsidR="00744A22" w:rsidRPr="00744A22" w:rsidRDefault="00744A22" w:rsidP="00744A22">
      <w:pPr>
        <w:pStyle w:val="Akapitzlist"/>
        <w:numPr>
          <w:ilvl w:val="0"/>
          <w:numId w:val="4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>przegląd transakcji z podmiotami powiązanymi;</w:t>
      </w:r>
    </w:p>
    <w:p w:rsidR="00744A22" w:rsidRPr="00744A22" w:rsidRDefault="00744A22" w:rsidP="00744A22">
      <w:pPr>
        <w:pStyle w:val="Akapitzlist"/>
        <w:numPr>
          <w:ilvl w:val="0"/>
          <w:numId w:val="4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 xml:space="preserve">monitorowanie skuteczności systemów kontroli wewnętrznej, audytu wewnętrznego oraz zarządzania ryzykiem; </w:t>
      </w:r>
    </w:p>
    <w:p w:rsidR="00744A22" w:rsidRPr="00744A22" w:rsidRDefault="00744A22" w:rsidP="00744A22">
      <w:pPr>
        <w:pStyle w:val="Akapitzlist"/>
        <w:numPr>
          <w:ilvl w:val="0"/>
          <w:numId w:val="4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 xml:space="preserve">monitorowanie wykonywania czynności rewizji finansowej; </w:t>
      </w:r>
    </w:p>
    <w:p w:rsidR="00744A22" w:rsidRPr="00744A22" w:rsidRDefault="00744A22" w:rsidP="00744A22">
      <w:pPr>
        <w:pStyle w:val="Akapitzlist"/>
        <w:numPr>
          <w:ilvl w:val="0"/>
          <w:numId w:val="4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 xml:space="preserve">monitorowanie niezależności biegłego rewidenta i podmiotu uprawnionego do badania sprawozdań finansowych, w tym w wypadku świadczenia na rzecz Spółki innych niż rewizja finansowa usług; </w:t>
      </w:r>
    </w:p>
    <w:p w:rsidR="00744A22" w:rsidRPr="00744A22" w:rsidRDefault="00744A22" w:rsidP="00744A22">
      <w:pPr>
        <w:pStyle w:val="Akapitzlist"/>
        <w:numPr>
          <w:ilvl w:val="0"/>
          <w:numId w:val="4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>rekomendowanie Radzie Nadzorczej podmiotu uprawnionego do badania sprawozdań finansowych do przeprowadzenia czynności rewizji finansowej Spółki.</w:t>
      </w:r>
    </w:p>
    <w:p w:rsidR="00744A22" w:rsidRPr="00744A22" w:rsidRDefault="00744A22" w:rsidP="00744A22">
      <w:pPr>
        <w:pStyle w:val="Akapitzlist"/>
        <w:numPr>
          <w:ilvl w:val="0"/>
          <w:numId w:val="47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744A22">
        <w:rPr>
          <w:rFonts w:ascii="Times New Roman" w:hAnsi="Times New Roman"/>
          <w:sz w:val="22"/>
          <w:lang w:val="pl-PL"/>
        </w:rPr>
        <w:t>Rada Nadzorcza może powołać również inne komitety, w szczególności komitet nominacji i wynagrodzeń. Szczegółowe zadania oraz zasady powoływania i funkcjonowania poszczególnych komitetów, w tym komitetu audytu, określi Rada Nadzorcza.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pos="349"/>
        </w:tabs>
        <w:spacing w:line="276" w:lineRule="auto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4A22" w:rsidRPr="00744A22" w:rsidRDefault="00744A22" w:rsidP="00744A22">
      <w:pPr>
        <w:pStyle w:val="Bodytext20"/>
        <w:shd w:val="clear" w:color="auto" w:fill="auto"/>
        <w:tabs>
          <w:tab w:val="left" w:pos="349"/>
        </w:tabs>
        <w:spacing w:line="276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§12</w:t>
      </w:r>
    </w:p>
    <w:p w:rsidR="00744A22" w:rsidRPr="00744A22" w:rsidRDefault="00744A22" w:rsidP="00744A22">
      <w:pPr>
        <w:pStyle w:val="Bodytext20"/>
        <w:numPr>
          <w:ilvl w:val="0"/>
          <w:numId w:val="36"/>
        </w:numPr>
        <w:shd w:val="clear" w:color="auto" w:fill="auto"/>
        <w:tabs>
          <w:tab w:val="left" w:pos="380"/>
        </w:tabs>
        <w:spacing w:line="276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36"/>
        </w:numPr>
        <w:shd w:val="clear" w:color="auto" w:fill="auto"/>
        <w:tabs>
          <w:tab w:val="left" w:pos="35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Posiedzenia Rady Nadzorczej zwołuje Przewodniczący Rady Nadzorczej z własnej inicjatywy oraz na wniosek członka Zarządu lub członka Rady Nadzorczej w terminie dwóch tygodni od złożenia wniosku lub, w sytuacjach wymagających szybkiego podjęcia decyzji, w terminie trzech dni od złożenia wniosku. We wniosku należy podać proponowany porządek obrad. Rada Nadzorcza zwoływana jest minimum trzy razy w roku obrotowym.</w:t>
      </w:r>
    </w:p>
    <w:p w:rsidR="00744A22" w:rsidRPr="00744A22" w:rsidRDefault="00744A22" w:rsidP="00744A22">
      <w:pPr>
        <w:pStyle w:val="Bodytext20"/>
        <w:numPr>
          <w:ilvl w:val="0"/>
          <w:numId w:val="36"/>
        </w:numPr>
        <w:shd w:val="clear" w:color="auto" w:fill="auto"/>
        <w:tabs>
          <w:tab w:val="left" w:pos="35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Członkowie Rady Nadzorczej mogą brać udział w podejmowaniu uchwał Rady, oddając swój głos na piśmie za pośrednictwem innego członka Rady Nadzorczej. Oddanie głosu na piśmie nie może dotyczyć spraw wprowadzonych do porządku obrad na posiedzeniu Rady Nadzorczej.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36"/>
        </w:numPr>
        <w:shd w:val="clear" w:color="auto" w:fill="auto"/>
        <w:tabs>
          <w:tab w:val="left" w:pos="35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Uchwały Rady Nadzorczej mogą być podejmowane w trybie pisemnym lub przy wykorzystaniu środków bezpośredniego porozumiewania się na odległość. Uchwała jest ważna, gdy wszyscy członkowie Rady zostali powiadomieni o treści projektu uchwały.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36"/>
        </w:numPr>
        <w:shd w:val="clear" w:color="auto" w:fill="auto"/>
        <w:tabs>
          <w:tab w:val="left" w:leader="dot" w:pos="901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Podejmowanie uchwał w trybie określonym w ust. 3 i ust. 4 nie może dotyczyć wyboru Przewodniczącego Rady Nadzorczej, powołania członka Zarządu oraz odwołania i zawieszania w czynnościach członków Zarządu.</w:t>
      </w:r>
    </w:p>
    <w:p w:rsidR="00744A22" w:rsidRPr="001E2EF4" w:rsidRDefault="00744A22" w:rsidP="00744A22">
      <w:pPr>
        <w:pStyle w:val="Bodytext20"/>
        <w:numPr>
          <w:ilvl w:val="0"/>
          <w:numId w:val="36"/>
        </w:numPr>
        <w:shd w:val="clear" w:color="auto" w:fill="auto"/>
        <w:tabs>
          <w:tab w:val="left" w:pos="355"/>
        </w:tabs>
        <w:spacing w:after="570"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E2EF4">
        <w:rPr>
          <w:rFonts w:ascii="Times New Roman" w:hAnsi="Times New Roman" w:cs="Times New Roman"/>
          <w:sz w:val="22"/>
          <w:szCs w:val="22"/>
        </w:rPr>
        <w:t>Członkom Rady Nadzorczej przysługuje wynagrodzenie określone uchwałą</w:t>
      </w:r>
      <w:r w:rsidR="001E2EF4" w:rsidRPr="001E2EF4">
        <w:rPr>
          <w:rFonts w:ascii="Times New Roman" w:hAnsi="Times New Roman" w:cs="Times New Roman"/>
          <w:sz w:val="22"/>
          <w:szCs w:val="22"/>
        </w:rPr>
        <w:t xml:space="preserve"> </w:t>
      </w:r>
      <w:r w:rsidRPr="001E2EF4">
        <w:rPr>
          <w:rFonts w:ascii="Times New Roman" w:hAnsi="Times New Roman" w:cs="Times New Roman"/>
          <w:sz w:val="22"/>
          <w:szCs w:val="22"/>
        </w:rPr>
        <w:t>Walnego Zgromadzenia Akcjonariuszy.</w:t>
      </w:r>
    </w:p>
    <w:p w:rsidR="00744A22" w:rsidRPr="00744A22" w:rsidRDefault="00744A22" w:rsidP="00744A22">
      <w:pPr>
        <w:pStyle w:val="Bodytext20"/>
        <w:shd w:val="clear" w:color="auto" w:fill="auto"/>
        <w:spacing w:after="257" w:line="26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13</w:t>
      </w:r>
    </w:p>
    <w:p w:rsidR="00744A22" w:rsidRPr="00744A22" w:rsidRDefault="00744A22" w:rsidP="00744A22">
      <w:pPr>
        <w:pStyle w:val="Bodytext20"/>
        <w:numPr>
          <w:ilvl w:val="0"/>
          <w:numId w:val="37"/>
        </w:numPr>
        <w:shd w:val="clear" w:color="auto" w:fill="auto"/>
        <w:tabs>
          <w:tab w:val="left" w:pos="349"/>
          <w:tab w:val="left" w:leader="dot" w:pos="901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Walne Zgromadzenie obraduje jako zwyczajne lub nadzwyczajne.</w:t>
      </w:r>
    </w:p>
    <w:p w:rsidR="00744A22" w:rsidRPr="00744A22" w:rsidRDefault="00744A22" w:rsidP="00744A22">
      <w:pPr>
        <w:pStyle w:val="Bodytext20"/>
        <w:numPr>
          <w:ilvl w:val="0"/>
          <w:numId w:val="37"/>
        </w:numPr>
        <w:shd w:val="clear" w:color="auto" w:fill="auto"/>
        <w:tabs>
          <w:tab w:val="left" w:leader="dot" w:pos="901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Zwyczajne Walne Zgromadzenie zwoływane przez Zarząd powinno się odbyć w ciągu sześciu miesięcy po upływie każdego roku obrotowego.</w:t>
      </w:r>
    </w:p>
    <w:p w:rsidR="00744A22" w:rsidRPr="00744A22" w:rsidRDefault="00744A22" w:rsidP="00744A22">
      <w:pPr>
        <w:pStyle w:val="Bodytext20"/>
        <w:numPr>
          <w:ilvl w:val="0"/>
          <w:numId w:val="37"/>
        </w:numPr>
        <w:shd w:val="clear" w:color="auto" w:fill="auto"/>
        <w:tabs>
          <w:tab w:val="left" w:leader="dot" w:pos="901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Nadzwyczajne Walne Zgromadzenie zwołuje Zarząd Spółki z własnej inicjatywy lub na pisemny </w:t>
      </w:r>
      <w:r w:rsidRPr="00744A22">
        <w:rPr>
          <w:rFonts w:ascii="Times New Roman" w:hAnsi="Times New Roman" w:cs="Times New Roman"/>
          <w:sz w:val="22"/>
          <w:szCs w:val="22"/>
        </w:rPr>
        <w:lastRenderedPageBreak/>
        <w:t>wniosek Rady Nadzorczej albo na żądanie akcjonariusza lub akcjonariuszy reprezentujących co najmniej jedną dwudziestą kapitału zakładowego.</w:t>
      </w:r>
    </w:p>
    <w:p w:rsidR="00744A22" w:rsidRPr="00744A22" w:rsidRDefault="00744A22" w:rsidP="00744A22">
      <w:pPr>
        <w:pStyle w:val="Bodytext20"/>
        <w:numPr>
          <w:ilvl w:val="0"/>
          <w:numId w:val="37"/>
        </w:numPr>
        <w:shd w:val="clear" w:color="auto" w:fill="auto"/>
        <w:tabs>
          <w:tab w:val="left" w:leader="dot" w:pos="901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Zwołanie Nadzwyczajnego Walnego Zgromadzenia na żądanie akcjonariusza lub akcjonariuszy reprezentujących co najmniej jedną dwudziestą kapitału zakładowego powinno nastąpić w ciągu dwóch tygodni od daty przedstawienia żądania Zarządowi Spółki.</w:t>
      </w:r>
    </w:p>
    <w:p w:rsidR="00744A22" w:rsidRPr="00744A22" w:rsidRDefault="00744A22" w:rsidP="00744A22">
      <w:pPr>
        <w:pStyle w:val="Bodytext20"/>
        <w:numPr>
          <w:ilvl w:val="0"/>
          <w:numId w:val="37"/>
        </w:numPr>
        <w:shd w:val="clear" w:color="auto" w:fill="auto"/>
        <w:tabs>
          <w:tab w:val="left" w:leader="dot" w:pos="901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Akcjonariusze reprezentujący co najmniej połowę kapitału zakładowego Spółki lub co najmniej połowę ogółu głosów w Spółce mogą zwołać Nadzwyczajne Walne Zgromadzenie informując o tym Zarząd Spółki w terminie nie krótszym niż 30 dni przed planowaną datą zwołania Nadzwyczajnego Walnego Zgromadzenia. Zarząd Spółki zobowiązany jest ogłosić o zwołaniu przez akcjonariusza, o którym mowa powyżej, Nadzwyczajnego Walnego Zgromadzenia w sposób przewidziany przez przepisy Kodeksu spółek handlowych oraz zgodnie z postanowieniami niniejszego Statutu.</w:t>
      </w: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left="100" w:firstLine="0"/>
        <w:rPr>
          <w:rFonts w:ascii="Times New Roman" w:hAnsi="Times New Roman" w:cs="Times New Roman"/>
          <w:sz w:val="22"/>
          <w:szCs w:val="22"/>
        </w:rPr>
      </w:pP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left="10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14</w:t>
      </w:r>
    </w:p>
    <w:p w:rsidR="00744A22" w:rsidRPr="00744A22" w:rsidRDefault="00744A22" w:rsidP="00744A22">
      <w:pPr>
        <w:pStyle w:val="Bodytext20"/>
        <w:numPr>
          <w:ilvl w:val="0"/>
          <w:numId w:val="38"/>
        </w:numPr>
        <w:shd w:val="clear" w:color="auto" w:fill="auto"/>
        <w:tabs>
          <w:tab w:val="left" w:pos="341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Walne Zgromadzenie może podejmować uchwały bez względu na liczbę obecnych akcjonariuszy i reprezentowanych akcji, o ile przepisy Kodeksu spółek handlowych lub niniejszy Statut nie stanowią inaczej.</w:t>
      </w:r>
    </w:p>
    <w:p w:rsidR="00744A22" w:rsidRPr="00744A22" w:rsidRDefault="00744A22" w:rsidP="00744A22">
      <w:pPr>
        <w:pStyle w:val="Bodytext20"/>
        <w:numPr>
          <w:ilvl w:val="0"/>
          <w:numId w:val="38"/>
        </w:numPr>
        <w:shd w:val="clear" w:color="auto" w:fill="auto"/>
        <w:tabs>
          <w:tab w:val="left" w:pos="341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Uchwały Walnego Zgromadzenia zapadają zwykłą większością głosów, o ile przepisy Kodeksu spółek handlowych lub niniejszy Statut nie stanowią inaczej. </w:t>
      </w:r>
    </w:p>
    <w:p w:rsidR="00744A22" w:rsidRPr="00744A22" w:rsidRDefault="00744A22" w:rsidP="00744A22">
      <w:pPr>
        <w:pStyle w:val="Bodytext20"/>
        <w:shd w:val="clear" w:color="auto" w:fill="auto"/>
        <w:spacing w:after="330"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left="10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15</w:t>
      </w:r>
    </w:p>
    <w:p w:rsidR="00744A22" w:rsidRPr="00744A22" w:rsidRDefault="00744A22" w:rsidP="00744A22">
      <w:pPr>
        <w:pStyle w:val="Bodytext20"/>
        <w:numPr>
          <w:ilvl w:val="0"/>
          <w:numId w:val="46"/>
        </w:numPr>
        <w:shd w:val="clear" w:color="auto" w:fill="auto"/>
        <w:tabs>
          <w:tab w:val="left" w:leader="dot" w:pos="9031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Do kompetencji Walnego Zgromadzenia należy: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line="298" w:lineRule="exact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rozpatrzenie i zatwierdzenie sprawozdania Zarządu z działalności Spółki oraz sprawozdania </w:t>
      </w:r>
      <w:r w:rsidRPr="00744A22">
        <w:rPr>
          <w:rFonts w:ascii="Times New Roman" w:hAnsi="Times New Roman" w:cs="Times New Roman"/>
          <w:sz w:val="22"/>
          <w:szCs w:val="22"/>
        </w:rPr>
        <w:tab/>
        <w:t>finansowego za ubiegły rok obrotowy,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powzięcie uchwały o podziale zysków lub pokryciu strat,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udzielanie absolutorium członkom organów Spółki z wykonania przez nich obowiązków,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uchwalenie regulaminu Rady Nadzorczej oraz ustalanie zasad wynagradzania członków Rady </w:t>
      </w:r>
      <w:r w:rsidRPr="00744A22">
        <w:rPr>
          <w:rFonts w:ascii="Times New Roman" w:hAnsi="Times New Roman" w:cs="Times New Roman"/>
          <w:sz w:val="22"/>
          <w:szCs w:val="22"/>
        </w:rPr>
        <w:tab/>
        <w:t>Nadzorczej,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podwyższenie lub obniżenie kapitału zakładowego,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zmiany statutu Spółki,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połączenie Spółki z inną spółką handlową,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rozwiązanie i likwidacja Spółki,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emisja obligacji zamiennych, obligacji z prawem pierwszeństwa lub warrantów subskrypcyjnych,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zbycie i wydzierżawienie przedsiębiorstwa lub jego zorganizowanej części oraz ustanowienie na nich </w:t>
      </w:r>
      <w:r w:rsidRPr="00744A22">
        <w:rPr>
          <w:rFonts w:ascii="Times New Roman" w:hAnsi="Times New Roman" w:cs="Times New Roman"/>
          <w:sz w:val="22"/>
          <w:szCs w:val="22"/>
        </w:rPr>
        <w:tab/>
        <w:t>ograniczonego prawa rzeczowego,</w:t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line="298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rozpatrywanie spraw wniesionych przez Radę Nadzorczą, Zarząd lub akcjonariuszy Spółki,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line="298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decydowanie w innych sprawach, które zgodnie z przepisami Kodeksu spółek handlowych lub brzmieniem niniejszego Statutu należą do kompetencji Walnego Zgromadzenia.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46"/>
        </w:numPr>
        <w:shd w:val="clear" w:color="auto" w:fill="auto"/>
        <w:tabs>
          <w:tab w:val="left" w:leader="dot" w:pos="9031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Do nabycia lub zbycia nieruchomości, użytkowania wieczystego lub udziału w nieruchomości uchwała Walnego Zgromadzenia nie jest wymagana.</w:t>
      </w:r>
    </w:p>
    <w:p w:rsidR="00744A22" w:rsidRPr="00744A22" w:rsidRDefault="00744A22" w:rsidP="00744A22">
      <w:pPr>
        <w:pStyle w:val="Bodytext20"/>
        <w:shd w:val="clear" w:color="auto" w:fill="auto"/>
        <w:spacing w:line="595" w:lineRule="exact"/>
        <w:ind w:left="10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lastRenderedPageBreak/>
        <w:t>§ 16</w:t>
      </w:r>
    </w:p>
    <w:p w:rsidR="00744A22" w:rsidRPr="00744A22" w:rsidRDefault="00744A22" w:rsidP="00744A22">
      <w:pPr>
        <w:pStyle w:val="Bodytext20"/>
        <w:shd w:val="clear" w:color="auto" w:fill="auto"/>
        <w:tabs>
          <w:tab w:val="left" w:leader="dot" w:pos="7370"/>
        </w:tabs>
        <w:spacing w:line="595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Rokiem obrotowym Spółki jest rok kalendarzowy.</w:t>
      </w:r>
    </w:p>
    <w:p w:rsidR="00744A22" w:rsidRPr="00744A22" w:rsidRDefault="00744A22" w:rsidP="00744A22">
      <w:pPr>
        <w:pStyle w:val="Bodytext20"/>
        <w:shd w:val="clear" w:color="auto" w:fill="auto"/>
        <w:spacing w:line="595" w:lineRule="exact"/>
        <w:ind w:left="100"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17</w:t>
      </w:r>
    </w:p>
    <w:p w:rsidR="00744A22" w:rsidRPr="00744A22" w:rsidRDefault="00744A22" w:rsidP="00744A22">
      <w:pPr>
        <w:pStyle w:val="Bodytext20"/>
        <w:numPr>
          <w:ilvl w:val="0"/>
          <w:numId w:val="45"/>
        </w:numPr>
        <w:shd w:val="clear" w:color="auto" w:fill="auto"/>
        <w:tabs>
          <w:tab w:val="left" w:pos="341"/>
        </w:tabs>
        <w:spacing w:line="298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W ramach kapitałów własnych Spółka tworzy następujące kapitały:</w:t>
      </w:r>
    </w:p>
    <w:p w:rsidR="00744A22" w:rsidRPr="00744A22" w:rsidRDefault="00744A22" w:rsidP="00744A22">
      <w:pPr>
        <w:pStyle w:val="Bodytext20"/>
        <w:numPr>
          <w:ilvl w:val="0"/>
          <w:numId w:val="40"/>
        </w:numPr>
        <w:shd w:val="clear" w:color="auto" w:fill="auto"/>
        <w:tabs>
          <w:tab w:val="left" w:pos="853"/>
          <w:tab w:val="left" w:leader="dot" w:pos="7772"/>
        </w:tabs>
        <w:spacing w:line="298" w:lineRule="exact"/>
        <w:ind w:left="4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kapitał zakładowy,</w:t>
      </w:r>
    </w:p>
    <w:p w:rsidR="00744A22" w:rsidRPr="00744A22" w:rsidRDefault="00744A22" w:rsidP="00744A22">
      <w:pPr>
        <w:pStyle w:val="Bodytext20"/>
        <w:numPr>
          <w:ilvl w:val="0"/>
          <w:numId w:val="40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kapitał zapasowy,</w:t>
      </w:r>
    </w:p>
    <w:p w:rsidR="00744A22" w:rsidRPr="00744A22" w:rsidRDefault="00744A22" w:rsidP="00744A22">
      <w:pPr>
        <w:pStyle w:val="Bodytext20"/>
        <w:numPr>
          <w:ilvl w:val="0"/>
          <w:numId w:val="40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kapitały rezerwowe,</w:t>
      </w:r>
    </w:p>
    <w:p w:rsidR="00744A22" w:rsidRPr="00744A22" w:rsidRDefault="00744A22" w:rsidP="00744A22">
      <w:pPr>
        <w:pStyle w:val="Bodytext20"/>
        <w:numPr>
          <w:ilvl w:val="0"/>
          <w:numId w:val="40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inne kapitały przewidziane przepisami prawa.</w:t>
      </w:r>
    </w:p>
    <w:p w:rsidR="00744A22" w:rsidRPr="00744A22" w:rsidRDefault="00744A22" w:rsidP="00744A22">
      <w:pPr>
        <w:pStyle w:val="Bodytext20"/>
        <w:numPr>
          <w:ilvl w:val="0"/>
          <w:numId w:val="45"/>
        </w:numPr>
        <w:shd w:val="clear" w:color="auto" w:fill="auto"/>
        <w:tabs>
          <w:tab w:val="left" w:pos="284"/>
          <w:tab w:val="left" w:leader="dot" w:pos="9040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Kapitały rezerwowe mogą być tworzone na pokrycie poszczególnych wydatków lub  strat, na mocy uchwały </w:t>
      </w:r>
      <w:r w:rsidRPr="00744A22">
        <w:rPr>
          <w:rFonts w:ascii="Times New Roman" w:hAnsi="Times New Roman" w:cs="Times New Roman"/>
          <w:sz w:val="22"/>
          <w:szCs w:val="22"/>
        </w:rPr>
        <w:tab/>
        <w:t>Walnego Zgromadzenia lub przepisów prawa nakazujących ich tworzenie.</w:t>
      </w: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744A22" w:rsidRPr="00744A22" w:rsidRDefault="00744A22" w:rsidP="00744A22">
      <w:pPr>
        <w:pStyle w:val="Bodytext20"/>
        <w:shd w:val="clear" w:color="auto" w:fill="auto"/>
        <w:spacing w:after="197" w:line="26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§ 18</w:t>
      </w:r>
    </w:p>
    <w:p w:rsidR="00744A22" w:rsidRPr="00744A22" w:rsidRDefault="00744A22" w:rsidP="00744A22">
      <w:pPr>
        <w:pStyle w:val="Bodytext20"/>
        <w:numPr>
          <w:ilvl w:val="0"/>
          <w:numId w:val="41"/>
        </w:numPr>
        <w:shd w:val="clear" w:color="auto" w:fill="auto"/>
        <w:tabs>
          <w:tab w:val="left" w:pos="365"/>
          <w:tab w:val="left" w:leader="dot" w:pos="9040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Zysk Spółki można przeznaczyć w szczególności na:</w:t>
      </w:r>
    </w:p>
    <w:p w:rsidR="00744A22" w:rsidRPr="00744A22" w:rsidRDefault="00744A22" w:rsidP="00744A22">
      <w:pPr>
        <w:pStyle w:val="Bodytext20"/>
        <w:numPr>
          <w:ilvl w:val="0"/>
          <w:numId w:val="42"/>
        </w:numPr>
        <w:shd w:val="clear" w:color="auto" w:fill="auto"/>
        <w:tabs>
          <w:tab w:val="left" w:pos="813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odpisy na kapitał zapasowy,</w:t>
      </w:r>
    </w:p>
    <w:p w:rsidR="00744A22" w:rsidRPr="00744A22" w:rsidRDefault="00744A22" w:rsidP="00744A22">
      <w:pPr>
        <w:pStyle w:val="Bodytext20"/>
        <w:numPr>
          <w:ilvl w:val="0"/>
          <w:numId w:val="42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dywidendy dla akcjonariuszy,</w:t>
      </w:r>
    </w:p>
    <w:p w:rsidR="00744A22" w:rsidRPr="00744A22" w:rsidRDefault="00744A22" w:rsidP="00744A22">
      <w:pPr>
        <w:pStyle w:val="Bodytext20"/>
        <w:numPr>
          <w:ilvl w:val="0"/>
          <w:numId w:val="42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odpisy na zasilanie kapitałów rezerwowych tworzonych w Spółce,</w:t>
      </w:r>
    </w:p>
    <w:p w:rsidR="00744A22" w:rsidRPr="00744A22" w:rsidRDefault="00744A22" w:rsidP="00744A22">
      <w:pPr>
        <w:pStyle w:val="Bodytext20"/>
        <w:numPr>
          <w:ilvl w:val="0"/>
          <w:numId w:val="42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inne cele określone uchwałą Walnego Zgromadzenia.</w:t>
      </w:r>
    </w:p>
    <w:p w:rsidR="00744A22" w:rsidRPr="00744A22" w:rsidRDefault="00744A22" w:rsidP="00744A22">
      <w:pPr>
        <w:pStyle w:val="Bodytext20"/>
        <w:numPr>
          <w:ilvl w:val="0"/>
          <w:numId w:val="41"/>
        </w:numPr>
        <w:shd w:val="clear" w:color="auto" w:fill="auto"/>
        <w:tabs>
          <w:tab w:val="left" w:pos="368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Dzień dywidendy oraz termin wypłaty dywidendy ustala Walne Zgromadzenie.</w:t>
      </w:r>
    </w:p>
    <w:p w:rsidR="00744A22" w:rsidRPr="00744A22" w:rsidRDefault="00744A22" w:rsidP="00744A22">
      <w:pPr>
        <w:pStyle w:val="Bodytext20"/>
        <w:numPr>
          <w:ilvl w:val="0"/>
          <w:numId w:val="41"/>
        </w:numPr>
        <w:shd w:val="clear" w:color="auto" w:fill="auto"/>
        <w:tabs>
          <w:tab w:val="left" w:pos="368"/>
        </w:tabs>
        <w:spacing w:line="29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 xml:space="preserve">Rada Nadzorcza wybiera biegłego rewidenta do przeprowadzenia badania sprawozdania finansowego </w:t>
      </w:r>
      <w:r w:rsidRPr="00744A22">
        <w:rPr>
          <w:rFonts w:ascii="Times New Roman" w:hAnsi="Times New Roman" w:cs="Times New Roman"/>
          <w:sz w:val="22"/>
          <w:szCs w:val="22"/>
        </w:rPr>
        <w:tab/>
        <w:t>Spółki za ubiegły rok obrotowy.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numPr>
          <w:ilvl w:val="0"/>
          <w:numId w:val="41"/>
        </w:numPr>
        <w:shd w:val="clear" w:color="auto" w:fill="auto"/>
        <w:tabs>
          <w:tab w:val="left" w:pos="368"/>
        </w:tabs>
        <w:spacing w:line="298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>Na zasadach określonych w art. 349 Kodeksu spółek handlowych, Zarząd upoważniony jest do wypłaty akcjonariuszom, za zgodą Rady Nadzorczej, zaliczki na poczet dywidendy przewidywanej na koniec roku obrotowego, jeżeli Spółka posiada środki wystarczające na wypłatę.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shd w:val="clear" w:color="auto" w:fill="auto"/>
        <w:tabs>
          <w:tab w:val="center" w:pos="4577"/>
          <w:tab w:val="left" w:pos="5220"/>
        </w:tabs>
        <w:spacing w:after="192" w:line="26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744A22" w:rsidRPr="00744A22" w:rsidRDefault="00744A22" w:rsidP="00744A22">
      <w:pPr>
        <w:pStyle w:val="Bodytext20"/>
        <w:shd w:val="clear" w:color="auto" w:fill="auto"/>
        <w:tabs>
          <w:tab w:val="center" w:pos="4577"/>
          <w:tab w:val="left" w:pos="5220"/>
        </w:tabs>
        <w:spacing w:after="192" w:line="26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44A22">
        <w:rPr>
          <w:rFonts w:ascii="Times New Roman" w:hAnsi="Times New Roman" w:cs="Times New Roman"/>
          <w:sz w:val="22"/>
          <w:szCs w:val="22"/>
        </w:rPr>
        <w:tab/>
        <w:t>§ 19</w:t>
      </w:r>
      <w:r w:rsidRPr="00744A22">
        <w:rPr>
          <w:rFonts w:ascii="Times New Roman" w:hAnsi="Times New Roman" w:cs="Times New Roman"/>
          <w:sz w:val="22"/>
          <w:szCs w:val="22"/>
        </w:rPr>
        <w:tab/>
      </w:r>
    </w:p>
    <w:p w:rsidR="009C7895" w:rsidRPr="00744A22" w:rsidRDefault="00744A22" w:rsidP="00744A2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44A22">
        <w:rPr>
          <w:rFonts w:ascii="Times New Roman" w:hAnsi="Times New Roman" w:cs="Times New Roman"/>
        </w:rPr>
        <w:t>W sprawach nie unormowanych niniejszym Statutem zastosowanie znajdą obowiązujące przepisy prawa, w szczególności przepisy Kodeksu spółek handlowych.</w:t>
      </w:r>
    </w:p>
    <w:sectPr w:rsidR="009C7895" w:rsidRPr="0074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F12"/>
    <w:multiLevelType w:val="hybridMultilevel"/>
    <w:tmpl w:val="081A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3C2B"/>
    <w:multiLevelType w:val="hybridMultilevel"/>
    <w:tmpl w:val="F132ACCE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776A7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</w:lvl>
  </w:abstractNum>
  <w:abstractNum w:abstractNumId="3" w15:restartNumberingAfterBreak="0">
    <w:nsid w:val="046F33AA"/>
    <w:multiLevelType w:val="multilevel"/>
    <w:tmpl w:val="25187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F74CE"/>
    <w:multiLevelType w:val="multilevel"/>
    <w:tmpl w:val="96A0E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E15FF"/>
    <w:multiLevelType w:val="multilevel"/>
    <w:tmpl w:val="64AE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6610A"/>
    <w:multiLevelType w:val="hybridMultilevel"/>
    <w:tmpl w:val="EE106BB4"/>
    <w:lvl w:ilvl="0" w:tplc="0AA498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69736A6"/>
    <w:multiLevelType w:val="hybridMultilevel"/>
    <w:tmpl w:val="6562E8D0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C5850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56E40"/>
    <w:multiLevelType w:val="multilevel"/>
    <w:tmpl w:val="B63A7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0D0BA6"/>
    <w:multiLevelType w:val="multilevel"/>
    <w:tmpl w:val="02B2C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4E3F90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567" w:hanging="360"/>
      </w:pPr>
    </w:lvl>
  </w:abstractNum>
  <w:abstractNum w:abstractNumId="11" w15:restartNumberingAfterBreak="0">
    <w:nsid w:val="2ECC76CF"/>
    <w:multiLevelType w:val="hybridMultilevel"/>
    <w:tmpl w:val="A776F76C"/>
    <w:lvl w:ilvl="0" w:tplc="EB8845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D6A87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9D0E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82FAE"/>
    <w:multiLevelType w:val="hybridMultilevel"/>
    <w:tmpl w:val="DAF0E9F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3C5850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25186"/>
    <w:multiLevelType w:val="multilevel"/>
    <w:tmpl w:val="FAC05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674640"/>
    <w:multiLevelType w:val="multilevel"/>
    <w:tmpl w:val="F08CB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9C55E4"/>
    <w:multiLevelType w:val="hybridMultilevel"/>
    <w:tmpl w:val="C854EE28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C57CB0"/>
    <w:multiLevelType w:val="hybridMultilevel"/>
    <w:tmpl w:val="9244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A68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D26EA"/>
    <w:multiLevelType w:val="hybridMultilevel"/>
    <w:tmpl w:val="3BA6D620"/>
    <w:lvl w:ilvl="0" w:tplc="4E92AD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75F0C"/>
    <w:multiLevelType w:val="multilevel"/>
    <w:tmpl w:val="4E604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555980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709" w:hanging="360"/>
      </w:pPr>
    </w:lvl>
  </w:abstractNum>
  <w:abstractNum w:abstractNumId="21" w15:restartNumberingAfterBreak="0">
    <w:nsid w:val="4A78232D"/>
    <w:multiLevelType w:val="multilevel"/>
    <w:tmpl w:val="C6C86D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000430"/>
    <w:multiLevelType w:val="hybridMultilevel"/>
    <w:tmpl w:val="957C226A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309DB"/>
    <w:multiLevelType w:val="hybridMultilevel"/>
    <w:tmpl w:val="71E843EC"/>
    <w:lvl w:ilvl="0" w:tplc="EB047A48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22379"/>
    <w:multiLevelType w:val="singleLevel"/>
    <w:tmpl w:val="041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4242272"/>
    <w:multiLevelType w:val="hybridMultilevel"/>
    <w:tmpl w:val="ECB47340"/>
    <w:lvl w:ilvl="0" w:tplc="9296FE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EB884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42EC9"/>
    <w:multiLevelType w:val="hybridMultilevel"/>
    <w:tmpl w:val="65282A18"/>
    <w:lvl w:ilvl="0" w:tplc="3A44B4E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C5D62"/>
    <w:multiLevelType w:val="multilevel"/>
    <w:tmpl w:val="730AA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704C86"/>
    <w:multiLevelType w:val="hybridMultilevel"/>
    <w:tmpl w:val="D010B324"/>
    <w:lvl w:ilvl="0" w:tplc="E5E2A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82DDF"/>
    <w:multiLevelType w:val="hybridMultilevel"/>
    <w:tmpl w:val="F3967088"/>
    <w:lvl w:ilvl="0" w:tplc="C4EE61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34E8D"/>
    <w:multiLevelType w:val="multilevel"/>
    <w:tmpl w:val="6EB0C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77408B"/>
    <w:multiLevelType w:val="multilevel"/>
    <w:tmpl w:val="4BAEC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745339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82808C1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8665FD1"/>
    <w:multiLevelType w:val="multilevel"/>
    <w:tmpl w:val="0476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5F37F6"/>
    <w:multiLevelType w:val="multilevel"/>
    <w:tmpl w:val="10AAB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D7197A"/>
    <w:multiLevelType w:val="multilevel"/>
    <w:tmpl w:val="2304C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990715"/>
    <w:multiLevelType w:val="multilevel"/>
    <w:tmpl w:val="CBFE6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B10364"/>
    <w:multiLevelType w:val="multilevel"/>
    <w:tmpl w:val="422E2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4D6532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729D4643"/>
    <w:multiLevelType w:val="hybridMultilevel"/>
    <w:tmpl w:val="854AE046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E4F33"/>
    <w:multiLevelType w:val="hybridMultilevel"/>
    <w:tmpl w:val="27E85498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B35FB"/>
    <w:multiLevelType w:val="multilevel"/>
    <w:tmpl w:val="F0963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111245"/>
    <w:multiLevelType w:val="hybridMultilevel"/>
    <w:tmpl w:val="22A2E87E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71717"/>
    <w:multiLevelType w:val="multilevel"/>
    <w:tmpl w:val="32EE4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D66AF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6" w15:restartNumberingAfterBreak="0">
    <w:nsid w:val="7E1125C3"/>
    <w:multiLevelType w:val="hybridMultilevel"/>
    <w:tmpl w:val="5B24F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3"/>
  </w:num>
  <w:num w:numId="3">
    <w:abstractNumId w:val="26"/>
  </w:num>
  <w:num w:numId="4">
    <w:abstractNumId w:val="4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</w:num>
  <w:num w:numId="19">
    <w:abstractNumId w:val="39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4"/>
    <w:lvlOverride w:ilvl="0">
      <w:startOverride w:val="2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5"/>
  </w:num>
  <w:num w:numId="27">
    <w:abstractNumId w:val="31"/>
  </w:num>
  <w:num w:numId="28">
    <w:abstractNumId w:val="37"/>
  </w:num>
  <w:num w:numId="29">
    <w:abstractNumId w:val="21"/>
  </w:num>
  <w:num w:numId="30">
    <w:abstractNumId w:val="19"/>
  </w:num>
  <w:num w:numId="31">
    <w:abstractNumId w:val="9"/>
  </w:num>
  <w:num w:numId="32">
    <w:abstractNumId w:val="27"/>
  </w:num>
  <w:num w:numId="33">
    <w:abstractNumId w:val="44"/>
  </w:num>
  <w:num w:numId="34">
    <w:abstractNumId w:val="34"/>
  </w:num>
  <w:num w:numId="35">
    <w:abstractNumId w:val="8"/>
  </w:num>
  <w:num w:numId="36">
    <w:abstractNumId w:val="5"/>
  </w:num>
  <w:num w:numId="37">
    <w:abstractNumId w:val="36"/>
  </w:num>
  <w:num w:numId="38">
    <w:abstractNumId w:val="42"/>
  </w:num>
  <w:num w:numId="39">
    <w:abstractNumId w:val="38"/>
  </w:num>
  <w:num w:numId="40">
    <w:abstractNumId w:val="4"/>
  </w:num>
  <w:num w:numId="41">
    <w:abstractNumId w:val="3"/>
  </w:num>
  <w:num w:numId="42">
    <w:abstractNumId w:val="30"/>
  </w:num>
  <w:num w:numId="43">
    <w:abstractNumId w:val="17"/>
  </w:num>
  <w:num w:numId="44">
    <w:abstractNumId w:val="15"/>
  </w:num>
  <w:num w:numId="45">
    <w:abstractNumId w:val="14"/>
  </w:num>
  <w:num w:numId="46">
    <w:abstractNumId w:val="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C2"/>
    <w:rsid w:val="00035FFE"/>
    <w:rsid w:val="00045844"/>
    <w:rsid w:val="000D39DD"/>
    <w:rsid w:val="000F68C5"/>
    <w:rsid w:val="0019723F"/>
    <w:rsid w:val="001E2EF4"/>
    <w:rsid w:val="00224CD7"/>
    <w:rsid w:val="002442F2"/>
    <w:rsid w:val="00333357"/>
    <w:rsid w:val="003C236B"/>
    <w:rsid w:val="00506483"/>
    <w:rsid w:val="005F0335"/>
    <w:rsid w:val="006370AD"/>
    <w:rsid w:val="006B74AA"/>
    <w:rsid w:val="006D7C87"/>
    <w:rsid w:val="007208F4"/>
    <w:rsid w:val="00744A22"/>
    <w:rsid w:val="0080202C"/>
    <w:rsid w:val="008E770F"/>
    <w:rsid w:val="009C7895"/>
    <w:rsid w:val="00A61915"/>
    <w:rsid w:val="00C81804"/>
    <w:rsid w:val="00C81D9C"/>
    <w:rsid w:val="00D6295C"/>
    <w:rsid w:val="00E54BE4"/>
    <w:rsid w:val="00E81C54"/>
    <w:rsid w:val="00E876D6"/>
    <w:rsid w:val="00F16817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034AB-D145-445D-9789-18187D2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2C"/>
    <w:pPr>
      <w:spacing w:after="0" w:line="312" w:lineRule="auto"/>
      <w:ind w:left="720"/>
      <w:contextualSpacing/>
    </w:pPr>
    <w:rPr>
      <w:rFonts w:ascii="Trebuchet MS" w:eastAsia="Calibri" w:hAnsi="Trebuchet MS" w:cs="Times New Roman"/>
      <w:sz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8E7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7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770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8E77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44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omylnaczcionkaakapitu"/>
    <w:link w:val="Heading10"/>
    <w:rsid w:val="00744A22"/>
    <w:rPr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44A22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44A22"/>
    <w:pPr>
      <w:widowControl w:val="0"/>
      <w:shd w:val="clear" w:color="auto" w:fill="FFFFFF"/>
      <w:spacing w:before="900" w:after="0" w:line="590" w:lineRule="exact"/>
      <w:outlineLvl w:val="0"/>
    </w:pPr>
    <w:rPr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rsid w:val="00744A22"/>
    <w:pPr>
      <w:widowControl w:val="0"/>
      <w:shd w:val="clear" w:color="auto" w:fill="FFFFFF"/>
      <w:spacing w:after="0" w:line="590" w:lineRule="exact"/>
      <w:ind w:hanging="40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kier.pl/inwestowanie/profile/quote.html?format=detailed&amp;bid=10000000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3111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Matyjuk</dc:creator>
  <cp:lastModifiedBy>Andrzej Łukasik</cp:lastModifiedBy>
  <cp:revision>2</cp:revision>
  <dcterms:created xsi:type="dcterms:W3CDTF">2016-10-19T11:25:00Z</dcterms:created>
  <dcterms:modified xsi:type="dcterms:W3CDTF">2016-10-19T11:25:00Z</dcterms:modified>
</cp:coreProperties>
</file>