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2E" w:rsidRDefault="000D6E24" w:rsidP="001B2E37">
      <w:pPr>
        <w:spacing w:after="120"/>
        <w:contextualSpacing/>
        <w:jc w:val="center"/>
        <w:rPr>
          <w:b/>
        </w:rPr>
      </w:pPr>
      <w:bookmarkStart w:id="0" w:name="_GoBack"/>
      <w:bookmarkEnd w:id="0"/>
      <w:r w:rsidRPr="000D6E24">
        <w:rPr>
          <w:b/>
        </w:rPr>
        <w:t>STANOWISKO</w:t>
      </w:r>
    </w:p>
    <w:p w:rsidR="000D6E24" w:rsidRPr="000D6E24" w:rsidRDefault="000D6E24" w:rsidP="00C83FA2">
      <w:pPr>
        <w:spacing w:after="120"/>
        <w:jc w:val="center"/>
        <w:rPr>
          <w:b/>
        </w:rPr>
      </w:pPr>
      <w:r w:rsidRPr="000D6E24">
        <w:rPr>
          <w:b/>
        </w:rPr>
        <w:t>KRAJOWEJ RADY SĄDOWNICTWA</w:t>
      </w:r>
    </w:p>
    <w:p w:rsidR="000D6E24" w:rsidRPr="0091152E" w:rsidRDefault="000D6E24" w:rsidP="00C83FA2">
      <w:pPr>
        <w:spacing w:after="120"/>
        <w:jc w:val="center"/>
      </w:pPr>
      <w:r w:rsidRPr="0091152E">
        <w:t xml:space="preserve">z dnia </w:t>
      </w:r>
      <w:r w:rsidR="00C83FA2">
        <w:t>6 czerwca</w:t>
      </w:r>
      <w:r w:rsidRPr="0091152E">
        <w:t xml:space="preserve"> 2017 r.</w:t>
      </w:r>
    </w:p>
    <w:p w:rsidR="000D6E24" w:rsidRPr="000D6E24" w:rsidRDefault="000D6E24" w:rsidP="001B2E37">
      <w:pPr>
        <w:spacing w:after="120"/>
        <w:jc w:val="center"/>
        <w:rPr>
          <w:b/>
        </w:rPr>
      </w:pPr>
      <w:r w:rsidRPr="000D6E24">
        <w:rPr>
          <w:b/>
        </w:rPr>
        <w:t xml:space="preserve">w przedmiocie wniosku Prokuratora Generalnego do Trybunału Konstytucyjnego </w:t>
      </w:r>
      <w:r>
        <w:rPr>
          <w:b/>
        </w:rPr>
        <w:br/>
      </w:r>
      <w:r w:rsidR="00163F2C">
        <w:rPr>
          <w:b/>
        </w:rPr>
        <w:t>dotyczącego</w:t>
      </w:r>
      <w:r w:rsidRPr="000D6E24">
        <w:rPr>
          <w:b/>
        </w:rPr>
        <w:t xml:space="preserve"> zgodności z Konstytucją niektórych przepisów </w:t>
      </w:r>
      <w:r w:rsidR="00163F2C">
        <w:rPr>
          <w:b/>
        </w:rPr>
        <w:br/>
      </w:r>
      <w:r w:rsidRPr="000D6E24">
        <w:rPr>
          <w:b/>
        </w:rPr>
        <w:t>ustawy z dnia 12 maja 2011 r. o Krajowej Radzie Sądownictwa</w:t>
      </w:r>
      <w:r w:rsidR="00A73B7B">
        <w:rPr>
          <w:b/>
        </w:rPr>
        <w:t xml:space="preserve"> (sygn. akt K 5/17)</w:t>
      </w:r>
    </w:p>
    <w:p w:rsidR="000D6E24" w:rsidRDefault="000D6E24" w:rsidP="00603A7F">
      <w:pPr>
        <w:spacing w:after="120"/>
      </w:pPr>
    </w:p>
    <w:p w:rsidR="00553EA0" w:rsidRDefault="00553EA0" w:rsidP="00603A7F">
      <w:pPr>
        <w:spacing w:after="120"/>
      </w:pPr>
    </w:p>
    <w:p w:rsidR="0091152E" w:rsidRDefault="000D6E24" w:rsidP="001B2E37">
      <w:pPr>
        <w:spacing w:after="120"/>
        <w:jc w:val="both"/>
      </w:pPr>
      <w:r>
        <w:tab/>
        <w:t xml:space="preserve">Krajowa Rada Sądownictwa przedstawia następujące stanowisko w </w:t>
      </w:r>
      <w:r w:rsidR="00A73B7B">
        <w:t>przedmiocie</w:t>
      </w:r>
      <w:r>
        <w:t xml:space="preserve"> </w:t>
      </w:r>
      <w:r w:rsidR="00A73B7B">
        <w:t xml:space="preserve">zarzutów sformułowanych przez Prokuratora Generalnego we wniosku do Trybunału Konstytucyjnego w sprawie </w:t>
      </w:r>
      <w:r w:rsidR="00A73B7B" w:rsidRPr="00A73B7B">
        <w:t xml:space="preserve">zgodności z Konstytucją niektórych przepisów ustawy </w:t>
      </w:r>
      <w:r w:rsidR="0091152E">
        <w:br/>
      </w:r>
      <w:r w:rsidR="00A73B7B" w:rsidRPr="00A73B7B">
        <w:t>z dnia 12 maja 2011 r. o Krajowej Radzie Sądownictwa</w:t>
      </w:r>
      <w:r w:rsidR="00A73B7B">
        <w:t xml:space="preserve"> (Dz. U. z 2016 r. poz. </w:t>
      </w:r>
      <w:r w:rsidR="00403782">
        <w:t>976</w:t>
      </w:r>
      <w:r w:rsidR="00A73B7B">
        <w:t>, ze zm.):</w:t>
      </w:r>
    </w:p>
    <w:p w:rsidR="00A73B7B" w:rsidRPr="00A73B7B" w:rsidRDefault="00E45FB3" w:rsidP="001B2E37">
      <w:pPr>
        <w:pStyle w:val="Akapitzlist"/>
        <w:numPr>
          <w:ilvl w:val="0"/>
          <w:numId w:val="1"/>
        </w:numPr>
        <w:spacing w:after="120"/>
        <w:ind w:left="425" w:hanging="357"/>
        <w:contextualSpacing w:val="0"/>
        <w:jc w:val="both"/>
        <w:rPr>
          <w:b/>
        </w:rPr>
      </w:pPr>
      <w:r w:rsidRPr="00A73B7B">
        <w:rPr>
          <w:b/>
        </w:rPr>
        <w:t>art. 11 ust. 3 i 4 w związku z art. 13 ust. l i 2</w:t>
      </w:r>
      <w:r>
        <w:rPr>
          <w:b/>
        </w:rPr>
        <w:t xml:space="preserve"> oraz </w:t>
      </w:r>
      <w:r w:rsidR="00A73B7B" w:rsidRPr="00A73B7B">
        <w:rPr>
          <w:b/>
        </w:rPr>
        <w:t xml:space="preserve">art. 11 ust. 2 w </w:t>
      </w:r>
      <w:r>
        <w:rPr>
          <w:b/>
        </w:rPr>
        <w:t xml:space="preserve">związku </w:t>
      </w:r>
      <w:r w:rsidR="00C83FA2">
        <w:rPr>
          <w:b/>
        </w:rPr>
        <w:br/>
      </w:r>
      <w:r>
        <w:rPr>
          <w:b/>
        </w:rPr>
        <w:t xml:space="preserve">z art. 12 ust. l ustawy </w:t>
      </w:r>
      <w:r w:rsidR="00A73B7B" w:rsidRPr="00A73B7B">
        <w:rPr>
          <w:b/>
        </w:rPr>
        <w:t>z dnia 12 maja 2011 r. o Krajowej Radzie</w:t>
      </w:r>
      <w:r w:rsidR="008003C2">
        <w:rPr>
          <w:b/>
        </w:rPr>
        <w:t xml:space="preserve"> Sądownictwa </w:t>
      </w:r>
      <w:r w:rsidR="00D15703">
        <w:rPr>
          <w:b/>
        </w:rPr>
        <w:br/>
      </w:r>
      <w:r w:rsidR="008003C2">
        <w:rPr>
          <w:b/>
        </w:rPr>
        <w:t xml:space="preserve">nie są niezgodne z </w:t>
      </w:r>
      <w:r w:rsidR="008003C2" w:rsidRPr="008003C2">
        <w:rPr>
          <w:b/>
        </w:rPr>
        <w:t xml:space="preserve">art. 178 ust. l </w:t>
      </w:r>
      <w:r w:rsidR="008003C2">
        <w:rPr>
          <w:b/>
        </w:rPr>
        <w:t>oraz z</w:t>
      </w:r>
      <w:r w:rsidR="008003C2" w:rsidRPr="008003C2">
        <w:rPr>
          <w:b/>
        </w:rPr>
        <w:t xml:space="preserve"> </w:t>
      </w:r>
      <w:r w:rsidR="00A73B7B" w:rsidRPr="00A73B7B">
        <w:rPr>
          <w:b/>
        </w:rPr>
        <w:t>art. 187 ust. l pkt 2 i ust. 4 w związku</w:t>
      </w:r>
      <w:r>
        <w:rPr>
          <w:b/>
        </w:rPr>
        <w:t xml:space="preserve"> </w:t>
      </w:r>
      <w:r w:rsidR="00D15703">
        <w:rPr>
          <w:b/>
        </w:rPr>
        <w:br/>
      </w:r>
      <w:r w:rsidR="00A73B7B" w:rsidRPr="00A73B7B">
        <w:rPr>
          <w:b/>
        </w:rPr>
        <w:t>z art. 32 ust. l i 2 Konstytucji</w:t>
      </w:r>
      <w:r w:rsidR="00A73B7B">
        <w:rPr>
          <w:b/>
        </w:rPr>
        <w:t xml:space="preserve"> RP</w:t>
      </w:r>
      <w:r w:rsidR="00A73B7B" w:rsidRPr="00A73B7B">
        <w:rPr>
          <w:b/>
        </w:rPr>
        <w:t>;</w:t>
      </w:r>
    </w:p>
    <w:p w:rsidR="00A73B7B" w:rsidRPr="00A73B7B" w:rsidRDefault="000D6E24" w:rsidP="001B2E37">
      <w:pPr>
        <w:pStyle w:val="Akapitzlist"/>
        <w:numPr>
          <w:ilvl w:val="0"/>
          <w:numId w:val="1"/>
        </w:numPr>
        <w:spacing w:after="120"/>
        <w:ind w:left="425" w:hanging="357"/>
        <w:contextualSpacing w:val="0"/>
        <w:jc w:val="both"/>
        <w:rPr>
          <w:b/>
        </w:rPr>
      </w:pPr>
      <w:r w:rsidRPr="00A73B7B">
        <w:rPr>
          <w:b/>
        </w:rPr>
        <w:t>art. 11 ust. 3 i 4 w związku z art. 13 ust. 3 i 4 zdanie pierwsze ustawy o Krajowej Radzie Sądownictwa, w zakresie, w jakim przepisy te pomijają regulację, zgodnie</w:t>
      </w:r>
      <w:r w:rsidR="00403782">
        <w:rPr>
          <w:b/>
        </w:rPr>
        <w:br/>
      </w:r>
      <w:r w:rsidRPr="00A73B7B">
        <w:rPr>
          <w:b/>
        </w:rPr>
        <w:t>z którą kadencja członków Rady</w:t>
      </w:r>
      <w:r w:rsidR="00E45FB3">
        <w:rPr>
          <w:b/>
        </w:rPr>
        <w:t xml:space="preserve"> wybranych spośród sędziów sądów powszechnych</w:t>
      </w:r>
      <w:r w:rsidRPr="00A73B7B">
        <w:rPr>
          <w:b/>
        </w:rPr>
        <w:t xml:space="preserve"> winna rozpoczynać się w tym samym czasie </w:t>
      </w:r>
      <w:r w:rsidRPr="0068723B">
        <w:rPr>
          <w:b/>
        </w:rPr>
        <w:t>są zgodne</w:t>
      </w:r>
      <w:r w:rsidRPr="00A73B7B">
        <w:rPr>
          <w:b/>
        </w:rPr>
        <w:t xml:space="preserve"> z art. 187 ust. 3 i 4 Konstytucji </w:t>
      </w:r>
      <w:r w:rsidR="00403782">
        <w:rPr>
          <w:b/>
        </w:rPr>
        <w:t xml:space="preserve">RP </w:t>
      </w:r>
      <w:r w:rsidRPr="00A73B7B">
        <w:rPr>
          <w:b/>
        </w:rPr>
        <w:t>w związku z zasadą określoności prawa</w:t>
      </w:r>
      <w:r w:rsidR="00403782">
        <w:rPr>
          <w:b/>
        </w:rPr>
        <w:t>, wynikającą z art. 2</w:t>
      </w:r>
      <w:r w:rsidRPr="00A73B7B">
        <w:rPr>
          <w:b/>
        </w:rPr>
        <w:t xml:space="preserve"> i zasadą legalizmu, określoną w art. 7 Konstytucji</w:t>
      </w:r>
      <w:r w:rsidR="00403782">
        <w:rPr>
          <w:b/>
        </w:rPr>
        <w:t xml:space="preserve"> RP</w:t>
      </w:r>
      <w:r w:rsidRPr="00A73B7B">
        <w:rPr>
          <w:b/>
        </w:rPr>
        <w:t>.</w:t>
      </w:r>
    </w:p>
    <w:p w:rsidR="00553EA0" w:rsidRDefault="000D6E24" w:rsidP="00553EA0">
      <w:pPr>
        <w:pStyle w:val="Akapitzlist"/>
        <w:numPr>
          <w:ilvl w:val="0"/>
          <w:numId w:val="1"/>
        </w:numPr>
        <w:spacing w:after="120"/>
        <w:ind w:left="426"/>
        <w:contextualSpacing w:val="0"/>
        <w:jc w:val="both"/>
        <w:rPr>
          <w:b/>
        </w:rPr>
      </w:pPr>
      <w:r w:rsidRPr="00A73B7B">
        <w:rPr>
          <w:b/>
        </w:rPr>
        <w:t>W pozostałym zakresie postępowanie podlega umorzeniu na podstawie art. 59 ust. 1 pkt 2 ustawy z dnia 30 listopada 2016 r. o organizacji i trybie postępowania przed Trybunałem Konstytucyjnym (Dz. U. poz. 2072).</w:t>
      </w:r>
    </w:p>
    <w:p w:rsidR="00C83FA2" w:rsidRDefault="00C83FA2" w:rsidP="00553EA0">
      <w:pPr>
        <w:spacing w:after="120"/>
        <w:ind w:firstLine="708"/>
        <w:jc w:val="both"/>
      </w:pPr>
    </w:p>
    <w:p w:rsidR="00553EA0" w:rsidRDefault="00553EA0" w:rsidP="00553EA0">
      <w:pPr>
        <w:spacing w:after="120"/>
        <w:ind w:firstLine="708"/>
        <w:jc w:val="both"/>
      </w:pPr>
      <w:r>
        <w:t xml:space="preserve">Krajowa Rada Sądownictwa uznaje tym samym, że wniosek Prokuratora Generalnego, który – jako Minister Sprawiedliwości – </w:t>
      </w:r>
      <w:r w:rsidR="00C83FA2">
        <w:t>wchodzi w skład</w:t>
      </w:r>
      <w:r>
        <w:t xml:space="preserve"> Rady, jest w całości nieuzasadniony. </w:t>
      </w:r>
      <w:r w:rsidR="00A73B7B">
        <w:br w:type="page"/>
      </w:r>
    </w:p>
    <w:p w:rsidR="00A73B7B" w:rsidRDefault="00A73B7B" w:rsidP="00553EA0">
      <w:pPr>
        <w:spacing w:after="120" w:line="276" w:lineRule="auto"/>
        <w:jc w:val="center"/>
        <w:rPr>
          <w:b/>
        </w:rPr>
      </w:pPr>
      <w:r w:rsidRPr="00403782">
        <w:rPr>
          <w:b/>
        </w:rPr>
        <w:lastRenderedPageBreak/>
        <w:t>UZASADNIENIE</w:t>
      </w:r>
    </w:p>
    <w:p w:rsidR="0091152E" w:rsidRPr="00403782" w:rsidRDefault="0091152E" w:rsidP="001B2E37">
      <w:pPr>
        <w:spacing w:after="120"/>
        <w:jc w:val="center"/>
        <w:rPr>
          <w:b/>
        </w:rPr>
      </w:pPr>
    </w:p>
    <w:p w:rsidR="00A73B7B" w:rsidRDefault="00403782" w:rsidP="001B2E37">
      <w:pPr>
        <w:spacing w:after="120"/>
        <w:jc w:val="both"/>
      </w:pPr>
      <w:r w:rsidRPr="00403782">
        <w:rPr>
          <w:b/>
        </w:rPr>
        <w:t>1.</w:t>
      </w:r>
      <w:r w:rsidRPr="00403782">
        <w:rPr>
          <w:b/>
        </w:rPr>
        <w:tab/>
      </w:r>
      <w:r w:rsidR="00A73B7B">
        <w:t>Pismem z 11 kwietnia 2017 r. Prokurator Generalny wystąpił do Trybunału Konstytucyjnego z wnioskiem o stwierdzenie niezgodności:</w:t>
      </w:r>
    </w:p>
    <w:p w:rsidR="00A73B7B" w:rsidRDefault="00A73B7B" w:rsidP="001B2E37">
      <w:pPr>
        <w:pStyle w:val="Akapitzlist"/>
        <w:numPr>
          <w:ilvl w:val="0"/>
          <w:numId w:val="2"/>
        </w:numPr>
        <w:spacing w:after="120"/>
        <w:ind w:left="426"/>
        <w:contextualSpacing w:val="0"/>
        <w:jc w:val="both"/>
      </w:pPr>
      <w:r>
        <w:t>art. 11 ust. 3 i 4 w związku z art. 13 ust. l i 2 ustawy z dnia 12 maja 2011 r. o Krajowej Radzie Sądownictwa (</w:t>
      </w:r>
      <w:r w:rsidR="00163F2C" w:rsidRPr="00163F2C">
        <w:t>Dz. U. z 2016 r. poz. 976, ze zm</w:t>
      </w:r>
      <w:r w:rsidR="00163F2C">
        <w:t>.; dalej: ustawa o KRS</w:t>
      </w:r>
      <w:r>
        <w:t xml:space="preserve">) </w:t>
      </w:r>
      <w:r w:rsidR="00D15703">
        <w:br/>
      </w:r>
      <w:r>
        <w:t xml:space="preserve">– z art. 178 ust. l oraz art. 187 ust. l pkt 2 i ust. 4 w związku z art. 32 ust. l i 2 Konstytucji </w:t>
      </w:r>
      <w:r w:rsidR="00163F2C">
        <w:t>RP</w:t>
      </w:r>
      <w:r>
        <w:t xml:space="preserve"> oraz art. 11 ust. 2 w związku z art. 12 ust. l ustawy </w:t>
      </w:r>
      <w:r w:rsidR="00163F2C">
        <w:t>o KRS</w:t>
      </w:r>
      <w:r>
        <w:t xml:space="preserve"> – z art. 187 ust. l pkt 2 </w:t>
      </w:r>
      <w:r w:rsidR="00D15703">
        <w:br/>
      </w:r>
      <w:r>
        <w:t xml:space="preserve">i ust. 4 w związku z art. 32 ust. l i 2 Konstytucji </w:t>
      </w:r>
      <w:r w:rsidR="00163F2C">
        <w:t>RP</w:t>
      </w:r>
      <w:r>
        <w:t xml:space="preserve">; </w:t>
      </w:r>
    </w:p>
    <w:p w:rsidR="00A73B7B" w:rsidRDefault="00A73B7B" w:rsidP="001B2E37">
      <w:pPr>
        <w:pStyle w:val="Akapitzlist"/>
        <w:numPr>
          <w:ilvl w:val="0"/>
          <w:numId w:val="2"/>
        </w:numPr>
        <w:spacing w:after="120"/>
        <w:ind w:left="426"/>
        <w:contextualSpacing w:val="0"/>
        <w:jc w:val="both"/>
      </w:pPr>
      <w:r>
        <w:t xml:space="preserve">art. 11 ust. l, 2, 3, 4 i 5 w związku z art. 13 ust. 3 i 4 zdanie pierwsze ustawy o </w:t>
      </w:r>
      <w:r w:rsidR="00163F2C">
        <w:t>KRS</w:t>
      </w:r>
      <w:r>
        <w:t xml:space="preserve">, </w:t>
      </w:r>
      <w:r w:rsidR="00D15703">
        <w:br/>
      </w:r>
      <w:r>
        <w:t xml:space="preserve">w zakresie, w jakim przepisy te pomijają regulację, zgodnie z którą kadencja wszystkich wybranych w trybie tych unormowań członków Rady winna rozpoczynać się w tym samym czasie </w:t>
      </w:r>
      <w:r w:rsidR="00163F2C">
        <w:t xml:space="preserve">– </w:t>
      </w:r>
      <w:r>
        <w:t>z</w:t>
      </w:r>
      <w:r w:rsidR="00163F2C">
        <w:t xml:space="preserve"> </w:t>
      </w:r>
      <w:r>
        <w:t xml:space="preserve">art. 187 ust. 3 i 4 Konstytucji RP w związku z zasadą określoności </w:t>
      </w:r>
      <w:r w:rsidR="00D15703">
        <w:br/>
      </w:r>
      <w:r>
        <w:t>2 przepisów prawnych, wynikającą z art. 2, i zasadą legalizmu, określoną</w:t>
      </w:r>
      <w:r w:rsidR="00D15703">
        <w:br/>
      </w:r>
      <w:r>
        <w:t>w</w:t>
      </w:r>
      <w:r w:rsidR="00D15703">
        <w:t xml:space="preserve"> </w:t>
      </w:r>
      <w:r>
        <w:t xml:space="preserve">art. 7 Konstytucji </w:t>
      </w:r>
      <w:r w:rsidR="00163F2C">
        <w:t>RP</w:t>
      </w:r>
      <w:r>
        <w:t>.</w:t>
      </w:r>
    </w:p>
    <w:p w:rsidR="00F852CE" w:rsidRDefault="00A73B7B" w:rsidP="001B2E37">
      <w:pPr>
        <w:spacing w:before="100" w:after="120"/>
        <w:ind w:firstLine="709"/>
        <w:jc w:val="both"/>
      </w:pPr>
      <w:r>
        <w:t xml:space="preserve">Zgodnie z </w:t>
      </w:r>
      <w:r w:rsidRPr="00A73B7B">
        <w:t>ustaw</w:t>
      </w:r>
      <w:r>
        <w:t>ą</w:t>
      </w:r>
      <w:r w:rsidRPr="00A73B7B">
        <w:t xml:space="preserve"> z dnia 30 listopada 2016 r. o organizacji i trybie postępowania przed Trybunałem Ko</w:t>
      </w:r>
      <w:r>
        <w:t xml:space="preserve">nstytucyjnym (Dz. U. poz. 2072; dalej: ustawa o TK), uczestnikami postępowania w sprawie K 5/17 są wyłącznie: Prokurator Generalny jako wnioskodawca oraz Sejm jako organ, który wydał akt normatywny objęty wnioskiem. </w:t>
      </w:r>
      <w:r w:rsidR="00F852CE">
        <w:t>W swoim stanowisku</w:t>
      </w:r>
      <w:r w:rsidR="00D15703">
        <w:br/>
      </w:r>
      <w:r w:rsidR="00F852CE">
        <w:t xml:space="preserve">z 11 maja 2017 r. (znak: </w:t>
      </w:r>
      <w:r w:rsidR="00F852CE" w:rsidRPr="00F852CE">
        <w:t>BAS-WPTK-787/17</w:t>
      </w:r>
      <w:r w:rsidR="00F852CE">
        <w:t xml:space="preserve">), Sejm RP uznał zasadność </w:t>
      </w:r>
      <w:r w:rsidR="00F66F76">
        <w:t>wniosku Prokuratora Generalnego.</w:t>
      </w:r>
    </w:p>
    <w:p w:rsidR="003643D4" w:rsidRDefault="00A73B7B" w:rsidP="001B2E37">
      <w:pPr>
        <w:spacing w:before="100" w:after="120"/>
        <w:ind w:firstLine="709"/>
        <w:jc w:val="both"/>
      </w:pPr>
      <w:r>
        <w:t xml:space="preserve">Zgodnie z art. 72 pkt 4 ustawy o TK, przewodniczący składu orzekającego może </w:t>
      </w:r>
      <w:r w:rsidRPr="00A73B7B">
        <w:t xml:space="preserve">wezwać do udziału w postępowaniu inne organy lub organizacje, których udział uzna </w:t>
      </w:r>
      <w:r w:rsidR="00D15703">
        <w:br/>
      </w:r>
      <w:r w:rsidRPr="00A73B7B">
        <w:t>za celowy dla należytego wyjaśnienia sprawy.</w:t>
      </w:r>
      <w:r>
        <w:t xml:space="preserve"> </w:t>
      </w:r>
      <w:r w:rsidR="00A366B4">
        <w:t xml:space="preserve">Do dzisiaj </w:t>
      </w:r>
      <w:r>
        <w:t xml:space="preserve">, </w:t>
      </w:r>
      <w:r w:rsidR="00F852CE">
        <w:t xml:space="preserve">nie wpłynęło </w:t>
      </w:r>
      <w:r w:rsidR="00A366B4">
        <w:t xml:space="preserve">jednak </w:t>
      </w:r>
      <w:r>
        <w:t xml:space="preserve">do Krajowej Rady Sądownictwa wezwanie </w:t>
      </w:r>
      <w:r w:rsidR="00403782">
        <w:t xml:space="preserve">wydane </w:t>
      </w:r>
      <w:r w:rsidR="00F852CE">
        <w:t>w trybie</w:t>
      </w:r>
      <w:r w:rsidR="00403782">
        <w:t xml:space="preserve"> p</w:t>
      </w:r>
      <w:r w:rsidR="00A366B4">
        <w:t xml:space="preserve">owołanego </w:t>
      </w:r>
      <w:r w:rsidR="00403782">
        <w:t xml:space="preserve"> </w:t>
      </w:r>
      <w:r w:rsidR="00F852CE">
        <w:t xml:space="preserve">wyżej </w:t>
      </w:r>
      <w:r w:rsidR="00403782">
        <w:t xml:space="preserve">przepisu. </w:t>
      </w:r>
    </w:p>
    <w:p w:rsidR="00A73B7B" w:rsidRDefault="003643D4" w:rsidP="003643D4">
      <w:pPr>
        <w:spacing w:before="100" w:after="120"/>
        <w:ind w:firstLine="709"/>
        <w:jc w:val="both"/>
      </w:pPr>
      <w:r>
        <w:t xml:space="preserve">Do rozpoznania sprawy K 5/17 został wyznaczony następujący skład orzekający: sędzia TK Michał Warciński (przewodniczący), </w:t>
      </w:r>
      <w:r w:rsidR="00553EA0">
        <w:t xml:space="preserve">prof. Henryk Cioch, </w:t>
      </w:r>
      <w:r>
        <w:t xml:space="preserve">dr hab. Mariusz Muszyński (sprawozdawca), sędzia TK Leon Kieres oraz prof. Lech Morawski. Oznacza </w:t>
      </w:r>
      <w:r w:rsidR="00D54CED">
        <w:br/>
      </w:r>
      <w:r>
        <w:t xml:space="preserve">to, że w pięcioosobowym składzie orzekającym, wyznaczonym do rozpoznania </w:t>
      </w:r>
      <w:r>
        <w:br/>
        <w:t xml:space="preserve">tej sprawy, znalazły się trzy osoby wybrane na </w:t>
      </w:r>
      <w:r w:rsidR="00D54CED">
        <w:t>już</w:t>
      </w:r>
      <w:r>
        <w:t xml:space="preserve"> obsadzone stanowiska sędziowskie </w:t>
      </w:r>
      <w:r w:rsidR="00D54CED">
        <w:br/>
      </w:r>
      <w:r>
        <w:t xml:space="preserve">(zob. wyrok TK </w:t>
      </w:r>
      <w:r w:rsidRPr="003643D4">
        <w:t>z dnia 3 grudnia 2015 r. sygn. akt K 34/15</w:t>
      </w:r>
      <w:r>
        <w:t xml:space="preserve">, </w:t>
      </w:r>
      <w:r w:rsidRPr="003643D4">
        <w:t>OTK ZU 11A/2015, poz. 185</w:t>
      </w:r>
      <w:r>
        <w:t xml:space="preserve">).    </w:t>
      </w:r>
      <w:r w:rsidR="00403782">
        <w:t xml:space="preserve">Dlatego też Krajowa Rada Sądownictwa </w:t>
      </w:r>
      <w:r>
        <w:t xml:space="preserve">nie zdecydowała o zwróceniu się do </w:t>
      </w:r>
      <w:r w:rsidR="00553EA0">
        <w:t xml:space="preserve">tak </w:t>
      </w:r>
      <w:r w:rsidR="00553EA0">
        <w:lastRenderedPageBreak/>
        <w:t>ukształtowanego</w:t>
      </w:r>
      <w:r>
        <w:t xml:space="preserve"> składu Trybunału Konstytucyjnego z wnioskiem o dopuszczenie </w:t>
      </w:r>
      <w:r w:rsidR="00D54CED">
        <w:br/>
      </w:r>
      <w:r>
        <w:t xml:space="preserve">jej do udziału w postępowaniu w sprawie K 5/17 i postanowiła </w:t>
      </w:r>
      <w:r w:rsidR="00403782">
        <w:t xml:space="preserve">o </w:t>
      </w:r>
      <w:r w:rsidR="00A366B4">
        <w:t xml:space="preserve">podjęciu i </w:t>
      </w:r>
      <w:r w:rsidR="00403782">
        <w:t>publikacji swojego stanowiska</w:t>
      </w:r>
      <w:r w:rsidR="001B2E37">
        <w:t xml:space="preserve"> </w:t>
      </w:r>
      <w:r w:rsidR="00403782">
        <w:t>w przedmiocie zarzutów sformułowanych przez Prokuratora Generalnego w sprawie.</w:t>
      </w:r>
    </w:p>
    <w:p w:rsidR="00163F2C" w:rsidRDefault="00163F2C" w:rsidP="001B2E37">
      <w:pPr>
        <w:spacing w:after="120"/>
        <w:jc w:val="both"/>
      </w:pPr>
    </w:p>
    <w:p w:rsidR="00E2242B" w:rsidRDefault="00163F2C" w:rsidP="001B2E37">
      <w:pPr>
        <w:spacing w:after="120"/>
        <w:jc w:val="both"/>
      </w:pPr>
      <w:r w:rsidRPr="00163F2C">
        <w:rPr>
          <w:b/>
        </w:rPr>
        <w:t>2.</w:t>
      </w:r>
      <w:r w:rsidRPr="00163F2C">
        <w:rPr>
          <w:b/>
        </w:rPr>
        <w:tab/>
      </w:r>
      <w:r>
        <w:t>Pierwsza grupa zarzutów wnioskodawcy dotyczy uregulowanego w ustawie o KRS trybu wyboru członków KRS, o których mowa w art. 187 ust. 1 pkt 2 Konstytucji RP.</w:t>
      </w:r>
    </w:p>
    <w:p w:rsidR="00E2242B" w:rsidRDefault="00163F2C" w:rsidP="001B2E37">
      <w:pPr>
        <w:spacing w:after="120"/>
        <w:ind w:firstLine="708"/>
        <w:jc w:val="both"/>
      </w:pPr>
      <w:r>
        <w:t xml:space="preserve">Wnioskodawca </w:t>
      </w:r>
      <w:r w:rsidR="00741919">
        <w:t>uznał</w:t>
      </w:r>
      <w:r>
        <w:t>, że zaskarżone przez niego przepisy różnicują prawa wyborcze sędziów sądów powszechnych i innych sądów oraz różnicują prawa wyborcze sędziów poszczególnych szczebli w ramach sądownictwa powszechnego.</w:t>
      </w:r>
      <w:r w:rsidR="00E2242B">
        <w:t xml:space="preserve"> Zdaniem wn</w:t>
      </w:r>
      <w:r w:rsidR="00F852CE">
        <w:t xml:space="preserve">ioskodawcy, zaskarżone przepisy </w:t>
      </w:r>
      <w:r w:rsidR="00E2242B">
        <w:t>ograniczyły „uprawnienia” sędziów sądów powszechnych,</w:t>
      </w:r>
      <w:r w:rsidR="00F852CE">
        <w:t xml:space="preserve"> </w:t>
      </w:r>
      <w:r w:rsidR="00E2242B">
        <w:t>dyskryminują sędziów okręgów względem sędziów sądów apelacyjnych oraz</w:t>
      </w:r>
      <w:r w:rsidR="00F852CE">
        <w:t xml:space="preserve"> </w:t>
      </w:r>
      <w:r w:rsidR="00E2242B">
        <w:t>dyskryminują sędziów sądów rejonowych względem sędziów sądów okręgowych.</w:t>
      </w:r>
      <w:r w:rsidR="00F852CE">
        <w:t xml:space="preserve"> </w:t>
      </w:r>
      <w:r w:rsidR="00E2242B">
        <w:t>W ocenie wnioskodawcy, zaskarżone przepisy naruszają zasadę równości, wynikającą z art. 32 Konstytucji RP</w:t>
      </w:r>
      <w:r w:rsidR="00741919">
        <w:t>, w kontekście zasady niezawisłości sędziowskiej i praw wyborczych do KRS.</w:t>
      </w:r>
    </w:p>
    <w:p w:rsidR="00A0777A" w:rsidRDefault="00E2242B" w:rsidP="001B2E37">
      <w:pPr>
        <w:spacing w:after="120"/>
        <w:jc w:val="both"/>
      </w:pPr>
      <w:r>
        <w:tab/>
        <w:t xml:space="preserve">Odnosząc się do tak skonstruowanych zarzutów, należy w pierwszym </w:t>
      </w:r>
      <w:r w:rsidR="00463B20">
        <w:t xml:space="preserve">rzędzie </w:t>
      </w:r>
      <w:r>
        <w:t xml:space="preserve"> podkreślić, że Prokurator Generalny </w:t>
      </w:r>
      <w:r w:rsidR="00CD7D9E">
        <w:t>uznaje</w:t>
      </w:r>
      <w:r>
        <w:t>, że udział sędziów w wyborze ich przedstawicieli w skład KRS „stanowi sprawowanie urzędu i jest objęte zasadą niezawisłości sędziowskiej”</w:t>
      </w:r>
      <w:r w:rsidR="00031BF0">
        <w:t>.</w:t>
      </w:r>
    </w:p>
    <w:p w:rsidR="005435C2" w:rsidRDefault="00A0777A" w:rsidP="001B2E37">
      <w:pPr>
        <w:spacing w:after="120"/>
        <w:jc w:val="both"/>
      </w:pPr>
      <w:r>
        <w:tab/>
        <w:t xml:space="preserve">Krajowa Rada Sądownictwa zgadza się </w:t>
      </w:r>
      <w:r w:rsidR="00031BF0">
        <w:t>z tym</w:t>
      </w:r>
      <w:r>
        <w:t xml:space="preserve"> stwierdzeniem wnioskodawcy. Istotnie bowiem, sędziowie w tym zakresie nie realizują przysługujących im praw podmiotowych </w:t>
      </w:r>
      <w:r w:rsidR="00741919">
        <w:br/>
      </w:r>
      <w:r>
        <w:t xml:space="preserve">(jak np. czynnego prawa wyborczego w wyborach do Sejmu i do Senatu), ale realizują uprawnienie przysługujące im jako podmiotom władzy państwowej. </w:t>
      </w:r>
      <w:r w:rsidR="00741919">
        <w:t>Udział</w:t>
      </w:r>
      <w:r>
        <w:t xml:space="preserve"> sędziów</w:t>
      </w:r>
      <w:r w:rsidR="00741919">
        <w:br/>
      </w:r>
      <w:r>
        <w:t xml:space="preserve">w wyborze członków KRS należy do sfery </w:t>
      </w:r>
      <w:r w:rsidRPr="00E45FB3">
        <w:rPr>
          <w:i/>
        </w:rPr>
        <w:t>imperium</w:t>
      </w:r>
      <w:r>
        <w:t xml:space="preserve"> i jest ściśle związany ze statusem sędziego jako dzierżyciela władzy</w:t>
      </w:r>
      <w:r w:rsidR="00E45FB3">
        <w:t xml:space="preserve"> państwowej – władzy</w:t>
      </w:r>
      <w:r>
        <w:t xml:space="preserve"> sądowniczej</w:t>
      </w:r>
      <w:r w:rsidR="00E45FB3">
        <w:t xml:space="preserve">, czyli </w:t>
      </w:r>
      <w:r>
        <w:t xml:space="preserve">sędziego sprawującego swój urząd. </w:t>
      </w:r>
      <w:r w:rsidR="005435C2">
        <w:t xml:space="preserve">Oznacza to, że sędzia uczestnicząc </w:t>
      </w:r>
      <w:r w:rsidR="00741919">
        <w:t>–</w:t>
      </w:r>
      <w:r w:rsidR="005435C2">
        <w:t xml:space="preserve"> zarówno</w:t>
      </w:r>
      <w:r w:rsidR="00741919">
        <w:t xml:space="preserve"> </w:t>
      </w:r>
      <w:r w:rsidR="005435C2">
        <w:t xml:space="preserve">biernie jak i czynnie </w:t>
      </w:r>
      <w:r w:rsidR="00741919">
        <w:t>–</w:t>
      </w:r>
      <w:r w:rsidR="005435C2">
        <w:t xml:space="preserve"> w</w:t>
      </w:r>
      <w:r w:rsidR="00741919">
        <w:t xml:space="preserve"> </w:t>
      </w:r>
      <w:r w:rsidR="005435C2">
        <w:t xml:space="preserve">wyborach </w:t>
      </w:r>
      <w:r w:rsidR="00463B20">
        <w:t xml:space="preserve">do </w:t>
      </w:r>
      <w:r w:rsidR="005435C2">
        <w:t xml:space="preserve"> Krajowej Rady Sądownictwa</w:t>
      </w:r>
      <w:r w:rsidR="00463B20">
        <w:t>,</w:t>
      </w:r>
      <w:r w:rsidR="005435C2">
        <w:t xml:space="preserve"> uczestniczy </w:t>
      </w:r>
      <w:r w:rsidR="00463B20">
        <w:t xml:space="preserve">tym samym </w:t>
      </w:r>
      <w:r w:rsidR="005435C2">
        <w:t>w</w:t>
      </w:r>
      <w:r w:rsidR="00741919">
        <w:t xml:space="preserve"> sprawowaniu władzy publicznej. To zaś oznacza, że prawna możliwość kandydowania sędziego w skład </w:t>
      </w:r>
      <w:r w:rsidR="00463B20">
        <w:t>Rady</w:t>
      </w:r>
      <w:r w:rsidR="00741919">
        <w:t>, jak</w:t>
      </w:r>
      <w:r w:rsidR="00D54CED">
        <w:t xml:space="preserve"> </w:t>
      </w:r>
      <w:r w:rsidR="008B57A8">
        <w:t xml:space="preserve"> </w:t>
      </w:r>
      <w:r w:rsidR="00741919">
        <w:t>i przewidziany prawem udział sędziów w wyborze członków KRS w drodze głosowania,</w:t>
      </w:r>
      <w:r w:rsidR="008B57A8">
        <w:t xml:space="preserve"> </w:t>
      </w:r>
      <w:r w:rsidR="00741919">
        <w:t xml:space="preserve">nie jest „uprawnieniem” przysługującym sędziemu, jako jednostce, </w:t>
      </w:r>
      <w:r w:rsidR="00D54CED">
        <w:br/>
      </w:r>
      <w:r w:rsidR="00741919">
        <w:t xml:space="preserve">ale kompetencją sędziego jako dzierżyciela władzy publicznej. </w:t>
      </w:r>
    </w:p>
    <w:p w:rsidR="00463B20" w:rsidRDefault="005435C2" w:rsidP="001B2E37">
      <w:pPr>
        <w:spacing w:after="120"/>
        <w:jc w:val="both"/>
      </w:pPr>
      <w:r>
        <w:tab/>
      </w:r>
      <w:r w:rsidR="008003C2">
        <w:t>Prokurator Generalny</w:t>
      </w:r>
      <w:r w:rsidR="00031BF0">
        <w:t xml:space="preserve"> domaga się</w:t>
      </w:r>
      <w:r w:rsidR="008003C2">
        <w:t xml:space="preserve"> jednak</w:t>
      </w:r>
      <w:r w:rsidR="00031BF0" w:rsidRPr="00031BF0">
        <w:t>, by do zasad wyboru przedstawicieli s</w:t>
      </w:r>
      <w:r w:rsidR="00031BF0" w:rsidRPr="00031BF0">
        <w:rPr>
          <w:rFonts w:hint="eastAsia"/>
        </w:rPr>
        <w:t>ę</w:t>
      </w:r>
      <w:r w:rsidR="00031BF0" w:rsidRPr="00031BF0">
        <w:t>dziów w sk</w:t>
      </w:r>
      <w:r w:rsidR="00031BF0" w:rsidRPr="00031BF0">
        <w:rPr>
          <w:rFonts w:hint="eastAsia"/>
        </w:rPr>
        <w:t>ł</w:t>
      </w:r>
      <w:r w:rsidR="00031BF0" w:rsidRPr="00031BF0">
        <w:t>ad KRS stosowa</w:t>
      </w:r>
      <w:r w:rsidR="00031BF0" w:rsidRPr="00031BF0">
        <w:rPr>
          <w:rFonts w:hint="eastAsia"/>
        </w:rPr>
        <w:t>ć</w:t>
      </w:r>
      <w:r w:rsidR="00031BF0" w:rsidRPr="00031BF0">
        <w:t xml:space="preserve"> zasad</w:t>
      </w:r>
      <w:r w:rsidR="00031BF0" w:rsidRPr="00031BF0">
        <w:rPr>
          <w:rFonts w:hint="eastAsia"/>
        </w:rPr>
        <w:t>ę</w:t>
      </w:r>
      <w:r w:rsidR="00031BF0" w:rsidRPr="00031BF0">
        <w:t xml:space="preserve"> równo</w:t>
      </w:r>
      <w:r w:rsidR="00031BF0" w:rsidRPr="00031BF0">
        <w:rPr>
          <w:rFonts w:hint="eastAsia"/>
        </w:rPr>
        <w:t>ś</w:t>
      </w:r>
      <w:r w:rsidR="00031BF0" w:rsidRPr="00031BF0">
        <w:t>ci, wynikaj</w:t>
      </w:r>
      <w:r w:rsidR="00031BF0" w:rsidRPr="00031BF0">
        <w:rPr>
          <w:rFonts w:hint="eastAsia"/>
        </w:rPr>
        <w:t>ą</w:t>
      </w:r>
      <w:r w:rsidR="00031BF0" w:rsidRPr="00031BF0">
        <w:t>c</w:t>
      </w:r>
      <w:r w:rsidR="00031BF0" w:rsidRPr="00031BF0">
        <w:rPr>
          <w:rFonts w:hint="eastAsia"/>
        </w:rPr>
        <w:t>ą</w:t>
      </w:r>
      <w:r w:rsidR="00031BF0" w:rsidRPr="00031BF0">
        <w:t xml:space="preserve"> z art. 32 Konstytucji RP. </w:t>
      </w:r>
      <w:r w:rsidR="008003C2">
        <w:t>Pierwszy zarzut wnioskodawcy został w całości oparty na możliwości zastosowania zasady równości wynikającej z art. 32 Konstytucji RP do wykonywania urzędu sędziowskiego.</w:t>
      </w:r>
      <w:r w:rsidR="00741919">
        <w:t xml:space="preserve"> Wnioskodawca postawił bowiem tezę o równości wszystkich sędziów w zakresie niezawisłości sędziowskiej, jak i o równości wszystkich sędziów w zakresie biernego prawa wyborczego do KRS i tezę </w:t>
      </w:r>
      <w:r w:rsidR="00D54CED">
        <w:br/>
      </w:r>
      <w:r w:rsidR="00741919">
        <w:t xml:space="preserve">tę oparł na odwołaniu </w:t>
      </w:r>
      <w:r w:rsidR="00463B20">
        <w:t xml:space="preserve">się </w:t>
      </w:r>
      <w:r w:rsidR="00741919">
        <w:t xml:space="preserve">do konstytucyjnych podstaw praw i wolności człowieka </w:t>
      </w:r>
      <w:r w:rsidR="00D54CED">
        <w:br/>
      </w:r>
      <w:r w:rsidR="00741919">
        <w:t>i obywatela.</w:t>
      </w:r>
      <w:r w:rsidR="008003C2">
        <w:t xml:space="preserve"> </w:t>
      </w:r>
      <w:r w:rsidR="00031BF0" w:rsidRPr="00031BF0">
        <w:t>Innymi s</w:t>
      </w:r>
      <w:r w:rsidR="00031BF0" w:rsidRPr="00031BF0">
        <w:rPr>
          <w:rFonts w:hint="eastAsia"/>
        </w:rPr>
        <w:t>ł</w:t>
      </w:r>
      <w:r w:rsidR="00031BF0" w:rsidRPr="00031BF0">
        <w:t>owy, wnioskodawca chce, by norm</w:t>
      </w:r>
      <w:r w:rsidR="008003C2">
        <w:t>a</w:t>
      </w:r>
      <w:r w:rsidR="00031BF0" w:rsidRPr="00031BF0">
        <w:t xml:space="preserve"> z zakresu praw i wolno</w:t>
      </w:r>
      <w:r w:rsidR="00031BF0" w:rsidRPr="00031BF0">
        <w:rPr>
          <w:rFonts w:hint="eastAsia"/>
        </w:rPr>
        <w:t>ś</w:t>
      </w:r>
      <w:r w:rsidR="00031BF0" w:rsidRPr="00031BF0">
        <w:t>ci cz</w:t>
      </w:r>
      <w:r w:rsidR="00031BF0" w:rsidRPr="00031BF0">
        <w:rPr>
          <w:rFonts w:hint="eastAsia"/>
        </w:rPr>
        <w:t>ł</w:t>
      </w:r>
      <w:r w:rsidR="00F852CE">
        <w:t>owieka i obywatela</w:t>
      </w:r>
      <w:r w:rsidR="00031BF0" w:rsidRPr="00031BF0">
        <w:t xml:space="preserve"> znajdowa</w:t>
      </w:r>
      <w:r w:rsidR="00031BF0" w:rsidRPr="00031BF0">
        <w:rPr>
          <w:rFonts w:hint="eastAsia"/>
        </w:rPr>
        <w:t>ł</w:t>
      </w:r>
      <w:r w:rsidR="00463B20">
        <w:t>a</w:t>
      </w:r>
      <w:r w:rsidR="00031BF0" w:rsidRPr="00031BF0">
        <w:t xml:space="preserve"> swoje zastosowanie nie tylko do relacji wertykalnej (jako roszczenie obywatela wobec pa</w:t>
      </w:r>
      <w:r w:rsidR="00031BF0" w:rsidRPr="00031BF0">
        <w:rPr>
          <w:rFonts w:hint="eastAsia"/>
        </w:rPr>
        <w:t>ń</w:t>
      </w:r>
      <w:r w:rsidR="00031BF0" w:rsidRPr="00031BF0">
        <w:t>stwa), ale równie</w:t>
      </w:r>
      <w:r w:rsidR="00031BF0" w:rsidRPr="00031BF0">
        <w:rPr>
          <w:rFonts w:hint="eastAsia"/>
        </w:rPr>
        <w:t>ż</w:t>
      </w:r>
      <w:r w:rsidR="00031BF0" w:rsidRPr="00031BF0">
        <w:t xml:space="preserve"> w relacji mi</w:t>
      </w:r>
      <w:r w:rsidR="00031BF0" w:rsidRPr="00031BF0">
        <w:rPr>
          <w:rFonts w:hint="eastAsia"/>
        </w:rPr>
        <w:t>ę</w:t>
      </w:r>
      <w:r w:rsidR="00031BF0" w:rsidRPr="00031BF0">
        <w:t>dzy podmiotami w</w:t>
      </w:r>
      <w:r w:rsidR="00031BF0" w:rsidRPr="00031BF0">
        <w:rPr>
          <w:rFonts w:hint="eastAsia"/>
        </w:rPr>
        <w:t>ł</w:t>
      </w:r>
      <w:r w:rsidR="00031BF0" w:rsidRPr="00031BF0">
        <w:t>adzy pa</w:t>
      </w:r>
      <w:r w:rsidR="00031BF0" w:rsidRPr="00031BF0">
        <w:rPr>
          <w:rFonts w:hint="eastAsia"/>
        </w:rPr>
        <w:t>ń</w:t>
      </w:r>
      <w:r w:rsidR="00031BF0" w:rsidRPr="00031BF0">
        <w:t>stwowej.</w:t>
      </w:r>
      <w:r w:rsidR="00F852CE">
        <w:t xml:space="preserve"> </w:t>
      </w:r>
      <w:r>
        <w:t xml:space="preserve">Przyjęcie, że </w:t>
      </w:r>
      <w:r w:rsidR="001B0A21">
        <w:t>wybór członków KRS spośród sędziów mieści się w granicach urzędu sędziego</w:t>
      </w:r>
      <w:r w:rsidR="00D54CED">
        <w:t xml:space="preserve"> </w:t>
      </w:r>
      <w:r w:rsidR="001B0A21">
        <w:t xml:space="preserve">i należy do sfery wykonywania władzy publicznej </w:t>
      </w:r>
      <w:r w:rsidR="00A0777A">
        <w:t xml:space="preserve">oznacza, że sędzia </w:t>
      </w:r>
      <w:r w:rsidR="00D54CED">
        <w:br/>
      </w:r>
      <w:r w:rsidR="00A0777A">
        <w:t xml:space="preserve">w zakresie sprawowanego urzędu nie jest podmiotem praw i wolności człowieka i obywatela, uregulowanych w </w:t>
      </w:r>
      <w:r w:rsidR="00741919">
        <w:t xml:space="preserve">rozdziale II Konstytucji RP. </w:t>
      </w:r>
      <w:r w:rsidR="00A0777A">
        <w:t xml:space="preserve">Prawa i wolności człowieka i obywatela mają bowiem charakter </w:t>
      </w:r>
      <w:r w:rsidR="00741919">
        <w:t xml:space="preserve">publicznych </w:t>
      </w:r>
      <w:r w:rsidR="00A0777A">
        <w:t xml:space="preserve">praw podmiotowych, czyli sprowadzają się do roszczenia jednostki względem państwa (działającego przez organy władzy publicznej). </w:t>
      </w:r>
    </w:p>
    <w:p w:rsidR="001B0A21" w:rsidRDefault="001B0A21" w:rsidP="008B57A8">
      <w:pPr>
        <w:spacing w:after="120"/>
        <w:ind w:firstLine="708"/>
        <w:jc w:val="both"/>
      </w:pPr>
      <w:r w:rsidRPr="001B0A21">
        <w:t>Wolno</w:t>
      </w:r>
      <w:r w:rsidRPr="001B0A21">
        <w:rPr>
          <w:rFonts w:hint="eastAsia"/>
        </w:rPr>
        <w:t>ś</w:t>
      </w:r>
      <w:r w:rsidRPr="001B0A21">
        <w:t>ci lub prawa konstytucyjne maj</w:t>
      </w:r>
      <w:r w:rsidRPr="001B0A21">
        <w:rPr>
          <w:rFonts w:hint="eastAsia"/>
        </w:rPr>
        <w:t>ą</w:t>
      </w:r>
      <w:r w:rsidRPr="001B0A21">
        <w:t xml:space="preserve"> bowiem na celu ochron</w:t>
      </w:r>
      <w:r w:rsidRPr="001B0A21">
        <w:rPr>
          <w:rFonts w:hint="eastAsia"/>
        </w:rPr>
        <w:t>ę</w:t>
      </w:r>
      <w:r w:rsidRPr="001B0A21">
        <w:t xml:space="preserve"> jednostki; okre</w:t>
      </w:r>
      <w:r w:rsidRPr="001B0A21">
        <w:rPr>
          <w:rFonts w:hint="eastAsia"/>
        </w:rPr>
        <w:t>ś</w:t>
      </w:r>
      <w:r w:rsidRPr="001B0A21">
        <w:t>laj</w:t>
      </w:r>
      <w:r w:rsidRPr="001B0A21">
        <w:rPr>
          <w:rFonts w:hint="eastAsia"/>
        </w:rPr>
        <w:t>ą</w:t>
      </w:r>
      <w:r w:rsidRPr="001B0A21">
        <w:t xml:space="preserve"> relacje jednostki wobec pa</w:t>
      </w:r>
      <w:r w:rsidRPr="001B0A21">
        <w:rPr>
          <w:rFonts w:hint="eastAsia"/>
        </w:rPr>
        <w:t>ń</w:t>
      </w:r>
      <w:r w:rsidRPr="001B0A21">
        <w:t>stwa oraz innych podmiotów w</w:t>
      </w:r>
      <w:r w:rsidRPr="001B0A21">
        <w:rPr>
          <w:rFonts w:hint="eastAsia"/>
        </w:rPr>
        <w:t>ł</w:t>
      </w:r>
      <w:r w:rsidRPr="001B0A21">
        <w:t>adzy publicznej. Organy w</w:t>
      </w:r>
      <w:r w:rsidRPr="001B0A21">
        <w:rPr>
          <w:rFonts w:hint="eastAsia"/>
        </w:rPr>
        <w:t>ł</w:t>
      </w:r>
      <w:r w:rsidRPr="001B0A21">
        <w:t>adzy publicznej obowi</w:t>
      </w:r>
      <w:r w:rsidRPr="001B0A21">
        <w:rPr>
          <w:rFonts w:hint="eastAsia"/>
        </w:rPr>
        <w:t>ą</w:t>
      </w:r>
      <w:r w:rsidRPr="001B0A21">
        <w:t>zane s</w:t>
      </w:r>
      <w:r w:rsidRPr="001B0A21">
        <w:rPr>
          <w:rFonts w:hint="eastAsia"/>
        </w:rPr>
        <w:t>ą</w:t>
      </w:r>
      <w:r w:rsidRPr="001B0A21">
        <w:t xml:space="preserve"> do zapewnienia realizacji przez jednostki przys</w:t>
      </w:r>
      <w:r w:rsidRPr="001B0A21">
        <w:rPr>
          <w:rFonts w:hint="eastAsia"/>
        </w:rPr>
        <w:t>ł</w:t>
      </w:r>
      <w:r w:rsidRPr="001B0A21">
        <w:t>uguj</w:t>
      </w:r>
      <w:r w:rsidRPr="001B0A21">
        <w:rPr>
          <w:rFonts w:hint="eastAsia"/>
        </w:rPr>
        <w:t>ą</w:t>
      </w:r>
      <w:r w:rsidRPr="001B0A21">
        <w:t xml:space="preserve">cych </w:t>
      </w:r>
      <w:r w:rsidR="00D54CED">
        <w:br/>
      </w:r>
      <w:r w:rsidRPr="001B0A21">
        <w:t>im wolno</w:t>
      </w:r>
      <w:r w:rsidRPr="001B0A21">
        <w:rPr>
          <w:rFonts w:hint="eastAsia"/>
        </w:rPr>
        <w:t>ś</w:t>
      </w:r>
      <w:r w:rsidRPr="001B0A21">
        <w:t xml:space="preserve">ci i praw (i korzystania z nich); podmiotem uprawnionym jest jednostka, </w:t>
      </w:r>
      <w:r w:rsidR="00D54CED">
        <w:br/>
      </w:r>
      <w:r w:rsidRPr="001B0A21">
        <w:t>a podmiotem zobowi</w:t>
      </w:r>
      <w:r w:rsidRPr="001B0A21">
        <w:rPr>
          <w:rFonts w:hint="eastAsia"/>
        </w:rPr>
        <w:t>ą</w:t>
      </w:r>
      <w:r w:rsidRPr="001B0A21">
        <w:t>zanym w</w:t>
      </w:r>
      <w:r w:rsidRPr="001B0A21">
        <w:rPr>
          <w:rFonts w:hint="eastAsia"/>
        </w:rPr>
        <w:t>ł</w:t>
      </w:r>
      <w:r w:rsidRPr="001B0A21">
        <w:t>adza publiczna</w:t>
      </w:r>
      <w:r>
        <w:t xml:space="preserve"> (zob. postanowienie TK 15 wrze</w:t>
      </w:r>
      <w:r>
        <w:rPr>
          <w:rFonts w:hint="eastAsia"/>
        </w:rPr>
        <w:t>ś</w:t>
      </w:r>
      <w:r>
        <w:t xml:space="preserve">nia 2011 r. </w:t>
      </w:r>
      <w:r w:rsidR="00D54CED">
        <w:br/>
      </w:r>
      <w:r>
        <w:t xml:space="preserve">o sygn. akt Ts 256/09). </w:t>
      </w:r>
    </w:p>
    <w:p w:rsidR="00163F2C" w:rsidRDefault="001B0A21" w:rsidP="001B2E37">
      <w:pPr>
        <w:spacing w:after="120"/>
        <w:jc w:val="both"/>
      </w:pPr>
      <w:r>
        <w:tab/>
      </w:r>
      <w:r w:rsidR="00553EA0">
        <w:t xml:space="preserve">W ocenie Rady, należy odróżnić sytuację prawną jednostki powołanej do pełnienia urzędu sędziego od statusu prawnego sędziego jako podmiotu władzy państwowej. </w:t>
      </w:r>
      <w:r w:rsidR="00553EA0">
        <w:br/>
      </w:r>
      <w:r w:rsidR="00A0777A">
        <w:t xml:space="preserve">W </w:t>
      </w:r>
      <w:r w:rsidR="00CC2A8A">
        <w:t>zakresie wyboru przedstawicieli sędziów w skład KRS, sędziowie – jak stwierdził sam wnioskodawca – sprawują swój urząd, czyli przysługując</w:t>
      </w:r>
      <w:r>
        <w:t>y</w:t>
      </w:r>
      <w:r w:rsidR="00CC2A8A">
        <w:t xml:space="preserve"> im </w:t>
      </w:r>
      <w:r>
        <w:t>zakres władzy publicznej</w:t>
      </w:r>
      <w:r w:rsidR="00CC2A8A">
        <w:t xml:space="preserve">, </w:t>
      </w:r>
      <w:r w:rsidR="00553EA0">
        <w:br/>
      </w:r>
      <w:r w:rsidR="00CC2A8A">
        <w:t xml:space="preserve">a zatem w tej sytuacji nie korzystają z konstytucyjnych praw podmiotowych, w tym </w:t>
      </w:r>
      <w:r w:rsidR="00F45325">
        <w:br/>
      </w:r>
      <w:r w:rsidR="00CC2A8A">
        <w:t xml:space="preserve">z art. 32 Konstytucji RP. Prawa człowieka, do których należy zasada równości, nie obejmują bowiem relacji horyzontalnych </w:t>
      </w:r>
      <w:r>
        <w:t>między poszczególnymi gałęziami władzy ani w ramach jednej (w tym przypadku sądowniczej) części władzy państwowej</w:t>
      </w:r>
      <w:r w:rsidR="00CC2A8A">
        <w:t xml:space="preserve">. </w:t>
      </w:r>
      <w:r w:rsidR="00553EA0">
        <w:t xml:space="preserve">Katalog konstytucyjnych praw i wolności człowieka </w:t>
      </w:r>
      <w:r w:rsidR="00177CD8">
        <w:t xml:space="preserve">i </w:t>
      </w:r>
      <w:r w:rsidR="00553EA0">
        <w:t>obywatela znajduje natomiast pełne zastosowanie w odniesieniu do obywateli polskich, którzy pełnią urząd sędziego – ale jedynie w zakresie nieobejmującym wykonywania kompetencji sędziowskich.</w:t>
      </w:r>
    </w:p>
    <w:p w:rsidR="00031BF0" w:rsidRDefault="001B0A21" w:rsidP="001B2E37">
      <w:pPr>
        <w:spacing w:after="120"/>
        <w:jc w:val="both"/>
      </w:pPr>
      <w:r>
        <w:tab/>
        <w:t xml:space="preserve">Krajowa Rada Sądownictwa uważa zatem, że z powołanej przez wnioskodawcę </w:t>
      </w:r>
      <w:r w:rsidRPr="001B0A21">
        <w:t>„zwi</w:t>
      </w:r>
      <w:r w:rsidRPr="001B0A21">
        <w:rPr>
          <w:rFonts w:hint="eastAsia"/>
        </w:rPr>
        <w:t>ą</w:t>
      </w:r>
      <w:r w:rsidRPr="001B0A21">
        <w:t xml:space="preserve">zkowo” normy konstytucyjnej nie wynika </w:t>
      </w:r>
      <w:r>
        <w:t>treść</w:t>
      </w:r>
      <w:r w:rsidRPr="001B0A21">
        <w:t xml:space="preserve"> normatywna, która mog</w:t>
      </w:r>
      <w:r w:rsidRPr="001B0A21">
        <w:rPr>
          <w:rFonts w:hint="eastAsia"/>
        </w:rPr>
        <w:t>ł</w:t>
      </w:r>
      <w:r w:rsidRPr="001B0A21">
        <w:t>aby stanowi</w:t>
      </w:r>
      <w:r w:rsidRPr="001B0A21">
        <w:rPr>
          <w:rFonts w:hint="eastAsia"/>
        </w:rPr>
        <w:t>ć</w:t>
      </w:r>
      <w:r w:rsidRPr="001B0A21">
        <w:t xml:space="preserve"> adekwatny wzorzec kontroli dla oceny konstytucyjno</w:t>
      </w:r>
      <w:r w:rsidRPr="001B0A21">
        <w:rPr>
          <w:rFonts w:hint="eastAsia"/>
        </w:rPr>
        <w:t>ś</w:t>
      </w:r>
      <w:r w:rsidRPr="001B0A21">
        <w:t>ci art. 11 ust. 3 i 4 w zwi</w:t>
      </w:r>
      <w:r w:rsidRPr="001B0A21">
        <w:rPr>
          <w:rFonts w:hint="eastAsia"/>
        </w:rPr>
        <w:t>ą</w:t>
      </w:r>
      <w:r w:rsidRPr="001B0A21">
        <w:t xml:space="preserve">zku </w:t>
      </w:r>
      <w:r w:rsidR="00F45325">
        <w:br/>
      </w:r>
      <w:r w:rsidRPr="001B0A21">
        <w:t xml:space="preserve">z art. 13 ust. l i 2 </w:t>
      </w:r>
      <w:r w:rsidR="00741919">
        <w:t xml:space="preserve">oraz </w:t>
      </w:r>
      <w:r w:rsidR="00741919" w:rsidRPr="00031BF0">
        <w:t>art. 11 ust. 2 w zwi</w:t>
      </w:r>
      <w:r w:rsidR="00741919" w:rsidRPr="00031BF0">
        <w:rPr>
          <w:rFonts w:hint="eastAsia"/>
        </w:rPr>
        <w:t>ą</w:t>
      </w:r>
      <w:r w:rsidR="00741919" w:rsidRPr="00031BF0">
        <w:t xml:space="preserve">zku z art. 12 ust. l </w:t>
      </w:r>
      <w:r w:rsidRPr="001B0A21">
        <w:t>ustawy o KRS.</w:t>
      </w:r>
      <w:r>
        <w:t xml:space="preserve"> </w:t>
      </w:r>
      <w:r w:rsidR="00031BF0" w:rsidRPr="00031BF0">
        <w:t>Nale</w:t>
      </w:r>
      <w:r w:rsidR="00031BF0" w:rsidRPr="00031BF0">
        <w:rPr>
          <w:rFonts w:hint="eastAsia"/>
        </w:rPr>
        <w:t>ż</w:t>
      </w:r>
      <w:r w:rsidR="00031BF0" w:rsidRPr="00031BF0">
        <w:t>y zatem stwierdzi</w:t>
      </w:r>
      <w:r w:rsidR="00031BF0" w:rsidRPr="00031BF0">
        <w:rPr>
          <w:rFonts w:hint="eastAsia"/>
        </w:rPr>
        <w:t>ć</w:t>
      </w:r>
      <w:r w:rsidR="00031BF0" w:rsidRPr="00031BF0">
        <w:t xml:space="preserve">, </w:t>
      </w:r>
      <w:r w:rsidR="00031BF0" w:rsidRPr="00031BF0">
        <w:rPr>
          <w:rFonts w:hint="eastAsia"/>
        </w:rPr>
        <w:t>ż</w:t>
      </w:r>
      <w:r w:rsidR="00031BF0" w:rsidRPr="00031BF0">
        <w:t>e art. 11 ust. 3 i 4 w zwi</w:t>
      </w:r>
      <w:r w:rsidR="00031BF0" w:rsidRPr="00031BF0">
        <w:rPr>
          <w:rFonts w:hint="eastAsia"/>
        </w:rPr>
        <w:t>ą</w:t>
      </w:r>
      <w:r w:rsidR="00031BF0" w:rsidRPr="00031BF0">
        <w:t>zku z art. 13 ust. l i 2 oraz art. 11 ust. 2 w zwi</w:t>
      </w:r>
      <w:r w:rsidR="00031BF0" w:rsidRPr="00031BF0">
        <w:rPr>
          <w:rFonts w:hint="eastAsia"/>
        </w:rPr>
        <w:t>ą</w:t>
      </w:r>
      <w:r w:rsidR="00031BF0" w:rsidRPr="00031BF0">
        <w:t xml:space="preserve">zku </w:t>
      </w:r>
      <w:r w:rsidR="00F45325">
        <w:br/>
      </w:r>
      <w:r w:rsidR="00031BF0" w:rsidRPr="00031BF0">
        <w:t>z art. 12 ust. l ustawy o KRS nie s</w:t>
      </w:r>
      <w:r w:rsidR="00031BF0" w:rsidRPr="00031BF0">
        <w:rPr>
          <w:rFonts w:hint="eastAsia"/>
        </w:rPr>
        <w:t>ą</w:t>
      </w:r>
      <w:r w:rsidR="00031BF0" w:rsidRPr="00031BF0">
        <w:t xml:space="preserve"> niezgodne z </w:t>
      </w:r>
      <w:r w:rsidR="00741919">
        <w:t xml:space="preserve">art. 178 ust. l oraz </w:t>
      </w:r>
      <w:r w:rsidR="00031BF0" w:rsidRPr="00031BF0">
        <w:t>art. 187 ust. l pkt 2 i ust. 4 w zwi</w:t>
      </w:r>
      <w:r w:rsidR="00031BF0" w:rsidRPr="00031BF0">
        <w:rPr>
          <w:rFonts w:hint="eastAsia"/>
        </w:rPr>
        <w:t>ą</w:t>
      </w:r>
      <w:r w:rsidR="00031BF0" w:rsidRPr="00031BF0">
        <w:t>zku z art. 32 ust. l i 2 Konstytucji RP.</w:t>
      </w:r>
    </w:p>
    <w:p w:rsidR="001B0A21" w:rsidRDefault="00031BF0" w:rsidP="001B2E37">
      <w:pPr>
        <w:spacing w:after="120"/>
        <w:jc w:val="both"/>
      </w:pPr>
      <w:r>
        <w:tab/>
      </w:r>
      <w:r w:rsidR="001B0A21">
        <w:t>W ocenie Rady, ustawodawca w zaskarżonych przepisach wybrał jedną</w:t>
      </w:r>
      <w:r w:rsidR="00741919">
        <w:br/>
      </w:r>
      <w:r w:rsidR="001B0A21">
        <w:t xml:space="preserve">z konstytucyjnie dopuszczalnych opcji trybu wyboru sędziów w skład KRS. W doktrynie prawa konstytucyjnego </w:t>
      </w:r>
      <w:r w:rsidR="00F23269">
        <w:t xml:space="preserve">(L. Garlicki, teza 7 do art. 187 Konstytucji [w:] </w:t>
      </w:r>
      <w:r w:rsidR="00F23269" w:rsidRPr="00F23269">
        <w:rPr>
          <w:i/>
        </w:rPr>
        <w:t>Konstytucja Rzeczypospolitej Polskiej. Komentarz</w:t>
      </w:r>
      <w:r w:rsidR="00F23269">
        <w:t xml:space="preserve"> pod red. L. Garlickiego, Wydawnictwo Sejmowe) </w:t>
      </w:r>
      <w:r w:rsidR="001B0A21">
        <w:t>wskazuje się bowiem, że</w:t>
      </w:r>
      <w:r w:rsidR="00907F04">
        <w:t xml:space="preserve"> z art. 187 ust. 1 pkt 2 Konstytucji wynikają następujące zasady wyboru sędziów w skład KRS:</w:t>
      </w:r>
    </w:p>
    <w:p w:rsidR="00907F04" w:rsidRDefault="00907F04" w:rsidP="001B2E37">
      <w:pPr>
        <w:pStyle w:val="Akapitzlist"/>
        <w:numPr>
          <w:ilvl w:val="0"/>
          <w:numId w:val="6"/>
        </w:numPr>
        <w:spacing w:after="120"/>
        <w:ind w:left="426"/>
        <w:contextualSpacing w:val="0"/>
        <w:jc w:val="both"/>
      </w:pPr>
      <w:r>
        <w:t xml:space="preserve">członkowie KRS, o których mowa w tym przepisie muszą zostać </w:t>
      </w:r>
      <w:r w:rsidR="00F45325">
        <w:t>„</w:t>
      </w:r>
      <w:r>
        <w:t>wybrani</w:t>
      </w:r>
      <w:r w:rsidR="00F45325">
        <w:t>”</w:t>
      </w:r>
      <w:r>
        <w:t xml:space="preserve">, co oznacza, że </w:t>
      </w:r>
      <w:r w:rsidR="00F45325">
        <w:t>„</w:t>
      </w:r>
      <w:r>
        <w:t>musi zostać przeprowadzone sformalizowane postępowanie wyborcze</w:t>
      </w:r>
      <w:r w:rsidR="00F45325">
        <w:t>”</w:t>
      </w:r>
      <w:r>
        <w:t xml:space="preserve">, </w:t>
      </w:r>
      <w:r w:rsidR="00F45325">
        <w:br/>
      </w:r>
      <w:r>
        <w:t xml:space="preserve">co z tej strony wyklucza możliwość ich mianowania przez jakikolwiek organ </w:t>
      </w:r>
      <w:r w:rsidR="00741919">
        <w:t>władzy publicznej</w:t>
      </w:r>
      <w:r>
        <w:t xml:space="preserve">, a z drugiej strony pozostawia ustawodawcy swobodę, </w:t>
      </w:r>
      <w:r w:rsidR="00F23269">
        <w:t xml:space="preserve">który o ile respektuje zasadę wyboru sędziów przez sędziów wynikającą z odrębności sądownictwa od innych władz (zob. wyrok TK </w:t>
      </w:r>
      <w:r w:rsidR="00F23269" w:rsidRPr="00F23269">
        <w:t>z 18 lipca 2007 r. o sygn. akt K 25/0</w:t>
      </w:r>
      <w:r w:rsidR="00F23269">
        <w:t xml:space="preserve">7), może powierzyć </w:t>
      </w:r>
      <w:r w:rsidR="00F45325">
        <w:br/>
      </w:r>
      <w:r w:rsidR="00F23269">
        <w:t>tę kompetencję organom samorządu sędziowskiego albo zdecydować się na organizację wyborów powszechnych, w których prawo głosowania przysługuje wszystkim sędziom pozostającym w służbie czynnej</w:t>
      </w:r>
      <w:r w:rsidR="00463B20">
        <w:t>;</w:t>
      </w:r>
    </w:p>
    <w:p w:rsidR="00F23269" w:rsidRDefault="00F23269" w:rsidP="001B2E37">
      <w:pPr>
        <w:pStyle w:val="Akapitzlist"/>
        <w:numPr>
          <w:ilvl w:val="0"/>
          <w:numId w:val="6"/>
        </w:numPr>
        <w:spacing w:after="120"/>
        <w:ind w:left="426"/>
        <w:contextualSpacing w:val="0"/>
        <w:jc w:val="both"/>
      </w:pPr>
      <w:r>
        <w:t xml:space="preserve">w skład KRS powinni zostać wybrani sędziowie należący do każdej z grup wskazanych w art. 187 ust. 1 pkt 2 Konstytucji, a zatem co najmniej jeden sędzia spośród sędziów Sądu Najwyższego, sądów administracyjnych, sądów powszechnych i sądów wojskowych </w:t>
      </w:r>
      <w:r w:rsidR="002F561F">
        <w:t>–</w:t>
      </w:r>
      <w:r>
        <w:t xml:space="preserve"> w</w:t>
      </w:r>
      <w:r w:rsidR="002F561F">
        <w:t xml:space="preserve"> </w:t>
      </w:r>
      <w:r>
        <w:t xml:space="preserve">tym zakresie ustawodawca może określić proporcje miejsc w Radzie, przysługujących poszczególnym grupom sędziów (w szczególności, może odwołać </w:t>
      </w:r>
      <w:r w:rsidR="00553EA0">
        <w:br/>
      </w:r>
      <w:r>
        <w:t>się do pozycji ustrojowej i doświadczenia</w:t>
      </w:r>
      <w:r w:rsidR="001B2E37">
        <w:t xml:space="preserve"> zawodowego charakterystycznego </w:t>
      </w:r>
      <w:r w:rsidR="00F45325">
        <w:br/>
      </w:r>
      <w:r w:rsidR="001B2E37">
        <w:t xml:space="preserve">dla </w:t>
      </w:r>
      <w:r>
        <w:t xml:space="preserve">poszczególnych grup sędziów, przyznając sędziom Sądu Najwyższego i sądów wyższego szczebla większej liczby miejsc w KRS niż sędziom posiadającym mniejsze doświadczenie zawodowe </w:t>
      </w:r>
      <w:r w:rsidR="002F561F">
        <w:t>–</w:t>
      </w:r>
      <w:r>
        <w:t xml:space="preserve"> ustawodawca</w:t>
      </w:r>
      <w:r w:rsidR="002F561F">
        <w:t xml:space="preserve"> </w:t>
      </w:r>
      <w:r>
        <w:t xml:space="preserve">może również zdecydować o przydziale </w:t>
      </w:r>
      <w:r w:rsidR="00463B20">
        <w:t xml:space="preserve">liczby </w:t>
      </w:r>
      <w:r>
        <w:t>mandatów odpowiadając</w:t>
      </w:r>
      <w:r w:rsidR="00463B20">
        <w:t>ej</w:t>
      </w:r>
      <w:r>
        <w:t xml:space="preserve"> liczebnoś</w:t>
      </w:r>
      <w:r w:rsidR="00553EA0">
        <w:t>ci poszczególnych grup sędziów), a to z uwagi</w:t>
      </w:r>
      <w:r w:rsidR="00553EA0">
        <w:br/>
        <w:t>na fakt, że Rada nie jest organem przedstawicielskim samorządu sędziowskiego,</w:t>
      </w:r>
      <w:r w:rsidR="00553EA0">
        <w:br/>
        <w:t>ale konstytucyjnym organem państwa, stojącym na straży niezależności sądów</w:t>
      </w:r>
      <w:r w:rsidR="00553EA0">
        <w:br/>
        <w:t>i niezawisłości sędziów.</w:t>
      </w:r>
    </w:p>
    <w:p w:rsidR="00677063" w:rsidRDefault="00677063" w:rsidP="00C83FA2">
      <w:pPr>
        <w:spacing w:after="120"/>
        <w:ind w:firstLine="708"/>
        <w:jc w:val="both"/>
      </w:pPr>
      <w:r>
        <w:t xml:space="preserve">Należy w tym miejscu stwierdzić ponadto, że z przepisów konstytucyjnych o Krajowej Radzie Sądownictwa nie sposób wyprowadzić konieczności </w:t>
      </w:r>
      <w:r w:rsidR="00463B20">
        <w:t xml:space="preserve">zachowania </w:t>
      </w:r>
      <w:r>
        <w:t xml:space="preserve">proporcjonalnej reprezentacji sędziów poszczególnych segmentów sądownictwa w KRS. Ustrojodawca </w:t>
      </w:r>
      <w:r w:rsidR="00D54CED">
        <w:br/>
      </w:r>
      <w:r>
        <w:t xml:space="preserve">nie zdecydował bowiem również o wprowadzeniu proporcjonalnej reprezentacji posłów </w:t>
      </w:r>
      <w:r w:rsidR="00D54CED">
        <w:br/>
      </w:r>
      <w:r>
        <w:t xml:space="preserve">i senatorów w KRS. Zarówno poseł, jak i senator – bez względu na wielkość okręgu wyborczego, z którego pochodzi, jak i na liczbę głosów, które uzyskał w wyborach parlamentarnych – jest w równym stopniu przedstawicielem Narodu (art. 104 i 108 Konstytucji RP). Tymczasem w skład KRS wchodzi 2 senatorów (spośród ustawowej liczby 100 senatorów) i 4 posłów (spośród ustawowej liczby 460 posłów). Z Konstytucji RP wynika zatem, że posłowie i senatorowie wchodzący w skład KRS nie stanowią proporcjonalnej reprezentacji swoich izb (1 senator-członek KRS przypada na 50 senatorów, natomiast </w:t>
      </w:r>
      <w:r w:rsidR="00D54CED">
        <w:br/>
      </w:r>
      <w:r>
        <w:t xml:space="preserve">1 poseł-członek KRS na 115 posłów), toteż nie można </w:t>
      </w:r>
      <w:r w:rsidR="00177CD8">
        <w:t xml:space="preserve">uznać konieczności zachowania </w:t>
      </w:r>
      <w:r>
        <w:t xml:space="preserve">proporcjonalnej reprezentacji </w:t>
      </w:r>
      <w:r w:rsidR="007B3638">
        <w:t>od członków KRS wybranych spośród sędziów. Ustawodawca może co prawda wprowadzić takie rozwiązanie, ale nie jest do tego konstytucyjnie zobowiązany.</w:t>
      </w:r>
    </w:p>
    <w:p w:rsidR="0091152E" w:rsidRDefault="007B3638" w:rsidP="007B3638">
      <w:pPr>
        <w:spacing w:after="120"/>
        <w:ind w:firstLine="708"/>
        <w:jc w:val="both"/>
      </w:pPr>
      <w:r>
        <w:t>Rada zauważa, że w</w:t>
      </w:r>
      <w:r w:rsidR="00031BF0">
        <w:t xml:space="preserve"> zaskarżonych przepisach, ustawodawca przyznał kompetencję </w:t>
      </w:r>
      <w:r w:rsidR="00D54CED">
        <w:br/>
      </w:r>
      <w:r w:rsidR="00031BF0">
        <w:t>do wyboru członków KRS organom samorządu sędziowskiego, stosownie do charakterystyki poszczególnych segmentów sądownictwa. W ramach sądów powszechnych</w:t>
      </w:r>
      <w:r>
        <w:br/>
      </w:r>
      <w:r w:rsidR="00031BF0">
        <w:t xml:space="preserve">i administracyjnych z uwagi na liczebność tych grup oraz różnice w strukturze tych pionów sądownictwa, zasady wyboru sędziów zostały uregulowane w sposób odpowiadający </w:t>
      </w:r>
      <w:r w:rsidR="00D54CED">
        <w:br/>
      </w:r>
      <w:r w:rsidR="00031BF0">
        <w:t xml:space="preserve">ich uwarunkowaniom. Wszyscy sędziowie sądów powszechnych mogą ubiegać się o wybór </w:t>
      </w:r>
      <w:r w:rsidR="00D54CED">
        <w:br/>
      </w:r>
      <w:r w:rsidR="00031BF0">
        <w:t xml:space="preserve">w skład KRS i wszyscy sędziowie, którzy przejdą ustawowo określoną ścieżkę wyborczą mogą zostać w skład KRS wybrani. Oczywistym jest, że w najmniej licznych grupach sędziów (tj. sędziów Sądu Najwyższego i sądów wojskowych), procedura wyborcza jest maksymalnie uproszczona, a ustawodawca </w:t>
      </w:r>
      <w:r w:rsidR="00677063">
        <w:t>nie był zmuszony do wprowadzania rozbudowanej procedury wyborczej</w:t>
      </w:r>
      <w:r w:rsidR="00031BF0">
        <w:t xml:space="preserve">. W odniesieniu do </w:t>
      </w:r>
      <w:r w:rsidR="00677063">
        <w:t xml:space="preserve">bardziej licznych grup sędziów (okręgowych </w:t>
      </w:r>
      <w:r w:rsidR="00D54CED">
        <w:br/>
      </w:r>
      <w:r w:rsidR="00677063">
        <w:t xml:space="preserve">i rejonowych), zaskarżone rozwiązania przewidują podwójną weryfikację poparcia udzielonego członkom KRS, wzmacniając tym samym ich legitymację w środowisku sędziowskim – sędziowie ci cieszą się bowiem poparciem nie tylko ogólnopolskiego organu samorządowego, ale również zgromadzeń </w:t>
      </w:r>
      <w:r w:rsidR="00463B20">
        <w:t xml:space="preserve">ogólnych </w:t>
      </w:r>
      <w:r w:rsidR="00677063">
        <w:t>sędziów lub przedstawicieli okręgów.</w:t>
      </w:r>
    </w:p>
    <w:p w:rsidR="00177CD8" w:rsidRDefault="008003C2" w:rsidP="001B2E37">
      <w:pPr>
        <w:spacing w:after="120"/>
        <w:jc w:val="both"/>
      </w:pPr>
      <w:r>
        <w:tab/>
        <w:t xml:space="preserve">Krajowa Rada Sądownictwa zauważa, że o konieczności poddania się kandydatów </w:t>
      </w:r>
      <w:r w:rsidR="00D81614">
        <w:br/>
      </w:r>
      <w:r>
        <w:t xml:space="preserve">na członków KRS procesowi wyborczemu zdecydował ustawodawca konstytucyjny, który musiał wziąć pod uwagę, że sędziowie uprawnieni do głosowania mogą kierować się podczas głosowania czynnikami związanymi ze sposobem wykonywania władzy publicznej </w:t>
      </w:r>
      <w:r w:rsidR="00D81614">
        <w:br/>
      </w:r>
      <w:r>
        <w:t>(np. stabilnością orzecznictwa kandydata) lub innymi kryteriami (np. doświadczeniem kandydata w działalności na rzecz samorządu sędziowskiego)</w:t>
      </w:r>
      <w:r w:rsidR="00177CD8">
        <w:t>, w tym cechami osobowości kandydata</w:t>
      </w:r>
      <w:r>
        <w:t xml:space="preserve">. Ocena kandydatury sędziego ubiegającego się o </w:t>
      </w:r>
      <w:r w:rsidR="00177CD8">
        <w:t>członkowstwo  w</w:t>
      </w:r>
      <w:r>
        <w:t xml:space="preserve"> KRS, o ile jest dokonywana przez innych sędziów, nie narusza tym samym zasady niezawisłości sędziowskiej. </w:t>
      </w:r>
    </w:p>
    <w:p w:rsidR="008003C2" w:rsidRDefault="008003C2" w:rsidP="008B57A8">
      <w:pPr>
        <w:spacing w:after="120"/>
        <w:ind w:firstLine="708"/>
        <w:jc w:val="both"/>
      </w:pPr>
      <w:r>
        <w:t xml:space="preserve">Każdy sędzia </w:t>
      </w:r>
      <w:r w:rsidR="00D81614">
        <w:t>–</w:t>
      </w:r>
      <w:r w:rsidR="00B65151">
        <w:t xml:space="preserve"> nie</w:t>
      </w:r>
      <w:r w:rsidR="00D81614">
        <w:t xml:space="preserve"> </w:t>
      </w:r>
      <w:r w:rsidR="00B65151">
        <w:t>tylko</w:t>
      </w:r>
      <w:r w:rsidR="0086579F">
        <w:t xml:space="preserve"> </w:t>
      </w:r>
      <w:r w:rsidR="00B65151">
        <w:t xml:space="preserve">ten ubiegający się o wybór w skład KRS </w:t>
      </w:r>
      <w:r w:rsidR="00D54CED">
        <w:t>–</w:t>
      </w:r>
      <w:r w:rsidR="00B65151">
        <w:t xml:space="preserve"> </w:t>
      </w:r>
      <w:r>
        <w:t xml:space="preserve">podlega permanentnej ocenie dokonywanej </w:t>
      </w:r>
      <w:r w:rsidR="00B65151">
        <w:t xml:space="preserve">przez sąd rozpatrujący środki zaskarżenia od wydanych przez niego orzeczeń, jak również ocenie merytorycznej dokonywanej przez sędziów wizytatorów okresowo lub przy okazji ubiegania się o kolejną nominację sędziowską. Spośród trzech gałęzi władz, tylko w ramach władzy sądowniczej istnieje procedura </w:t>
      </w:r>
      <w:r w:rsidR="00D54CED">
        <w:br/>
      </w:r>
      <w:r w:rsidR="00B65151">
        <w:t xml:space="preserve">w ramach której dokonywana jest ocena kompetencji osoby sprawującej władzę, dokonywana przez innych sędziów, charakteryzujących się większym doświadczeniem orzeczniczym. Takiej merytorycznej oceny nie sposób odnaleźć w funkcjonowaniu władzy ustawodawczej czy wykonawczej. Toteż zarzut Prokuratora Generalnego, który twierdzi, że poddanie </w:t>
      </w:r>
      <w:r w:rsidR="00D54CED">
        <w:br/>
      </w:r>
      <w:r w:rsidR="00B65151">
        <w:t>się sędziego procesowi wyborczemu dokonywanemu m.in. przez osoby, które rozpatrują środki odwoławcze od jego orzeczeń, narusza zasadę niezawisłości sędziowskiej, nie znajduje żadnego uzasadnienia.</w:t>
      </w:r>
      <w:r w:rsidR="00677063">
        <w:t xml:space="preserve"> Dodatkowo, zarzut ten może oznaczać, że Prokurator Generalny </w:t>
      </w:r>
      <w:r w:rsidR="00177CD8">
        <w:t xml:space="preserve">kwestionuje </w:t>
      </w:r>
      <w:r w:rsidR="00677063">
        <w:t xml:space="preserve">podstawową zasadę sądownictwa, tj. zasadę dwuinstancyjności, z której wynika wieloszczeblowa struktura sądownictwa i możliwość oceny sprawy i sposobu jej rozpoznania przez sędziów wyższej instancji. </w:t>
      </w:r>
    </w:p>
    <w:p w:rsidR="001B6E6B" w:rsidRDefault="00741919" w:rsidP="001B2E37">
      <w:pPr>
        <w:spacing w:after="120"/>
        <w:jc w:val="both"/>
      </w:pPr>
      <w:r>
        <w:tab/>
        <w:t xml:space="preserve">Pozostawiając na marginesie zgłoszoną przez wnioskodawcę propozycję stosowania katalogu praw i wolności człowieka i obywatela do zasad sprawowania władzy sędziowskiej, Krajowa Rada Sądownictwa zauważa, że odwoływanie się przez Prokuratora Generalnego </w:t>
      </w:r>
      <w:r w:rsidR="00D81614">
        <w:br/>
      </w:r>
      <w:r>
        <w:t xml:space="preserve">do zasady równości nie </w:t>
      </w:r>
      <w:r w:rsidR="002F561F">
        <w:t>znajduje również podstaw na gruncie „</w:t>
      </w:r>
      <w:r w:rsidR="001C378F">
        <w:t>ogólnego</w:t>
      </w:r>
      <w:r w:rsidR="002F561F">
        <w:t xml:space="preserve"> prawa wyborczego”. Już bowiem wynik wykładni językowej, wyraźnie preferowanej przez wnioskodawcę, pozwala na stwierdzenie, że „zasada równych wyborów” nie jest immanentną cechą każdego procesu wyborczego. Należy zauważyć, że ustrojodawca normuje zasady prawa wyborczego w przepisach szczególnych (art. 96 ust. 2, 97 ust. 2 i art. 127 ust. 1 Konstytucji</w:t>
      </w:r>
      <w:r w:rsidR="001B6E6B">
        <w:t xml:space="preserve"> RP)</w:t>
      </w:r>
      <w:r w:rsidR="009732BA">
        <w:t>.</w:t>
      </w:r>
      <w:r w:rsidR="002F561F">
        <w:t xml:space="preserve"> </w:t>
      </w:r>
      <w:r w:rsidR="001C378F">
        <w:br/>
      </w:r>
      <w:r w:rsidR="009732BA">
        <w:t>W</w:t>
      </w:r>
      <w:r w:rsidR="001B6E6B">
        <w:t xml:space="preserve"> odniesieniu do wyborów sędziów w skład KRS</w:t>
      </w:r>
      <w:r w:rsidR="009732BA">
        <w:t>, ustrojodawca</w:t>
      </w:r>
      <w:r w:rsidR="001C378F">
        <w:t xml:space="preserve"> </w:t>
      </w:r>
      <w:r w:rsidR="001B6E6B">
        <w:t xml:space="preserve">nie zdecydował </w:t>
      </w:r>
      <w:r w:rsidR="001C378F">
        <w:br/>
      </w:r>
      <w:r w:rsidR="001B6E6B">
        <w:t xml:space="preserve">się </w:t>
      </w:r>
      <w:r w:rsidR="009732BA">
        <w:t>natomiast na</w:t>
      </w:r>
      <w:r w:rsidR="001B6E6B">
        <w:t xml:space="preserve"> wprowadzenie żadnej ze znanych polskiemu prawu wyborczemu zasad</w:t>
      </w:r>
      <w:r w:rsidR="009732BA">
        <w:t xml:space="preserve"> ogólnych</w:t>
      </w:r>
      <w:r w:rsidR="001B6E6B">
        <w:t xml:space="preserve">: równości, bezpośredniości, powszechności, proporcjonalności ani zasady wyborów większościowych. </w:t>
      </w:r>
      <w:r w:rsidR="002F561F">
        <w:t xml:space="preserve">Niemniej </w:t>
      </w:r>
      <w:r w:rsidR="001B6E6B">
        <w:t xml:space="preserve">jednak w ramach </w:t>
      </w:r>
      <w:r w:rsidR="002F561F">
        <w:t xml:space="preserve">obowiązującej ustawy o KRS, żaden sędzia Sądu Najwyższego, sądu administracyjnego, sądu powszechnego ani sądu wojskowego </w:t>
      </w:r>
      <w:r w:rsidR="001C378F">
        <w:br/>
      </w:r>
      <w:r w:rsidR="002F561F">
        <w:t>nie został pozbawiony biernego ani czynnego prawa wyborczego w wyborach członków KRS, o których mowa w art. 187 ust. 1</w:t>
      </w:r>
      <w:r w:rsidR="001B6E6B">
        <w:t xml:space="preserve"> pkt 2 Konstytucji – </w:t>
      </w:r>
      <w:r w:rsidR="009732BA">
        <w:t>zakaz ograniczania biernego prawa wyborczego w tym zakresie został potwierdzony w</w:t>
      </w:r>
      <w:r w:rsidR="001B6E6B">
        <w:t xml:space="preserve"> wyroku TK z 18 lipca 2007 r. </w:t>
      </w:r>
      <w:r w:rsidR="001C378F">
        <w:br/>
      </w:r>
      <w:r w:rsidR="001B6E6B">
        <w:t>w sprawie K 25/07.</w:t>
      </w:r>
      <w:r w:rsidR="002F561F">
        <w:t xml:space="preserve"> </w:t>
      </w:r>
      <w:r w:rsidR="001B6E6B">
        <w:t xml:space="preserve">W tym samym wyroku, Trybunał Konstytucyjny wyraźnie uznał, </w:t>
      </w:r>
      <w:r w:rsidR="001C378F">
        <w:br/>
      </w:r>
      <w:r w:rsidR="001B6E6B">
        <w:t>że procedura wyborcza określona w poprzednio obowiązującej ustawie z dnia 27 lipca 2001 r.</w:t>
      </w:r>
      <w:r w:rsidR="001B6E6B" w:rsidRPr="001B6E6B">
        <w:t xml:space="preserve"> </w:t>
      </w:r>
      <w:r w:rsidR="001B6E6B">
        <w:t>o Krajowej Radzie Sądownictwa, mieści</w:t>
      </w:r>
      <w:r w:rsidR="009732BA">
        <w:t xml:space="preserve"> </w:t>
      </w:r>
      <w:r w:rsidR="001B6E6B">
        <w:t>się w ramach art. 187 ust. 1 pkt 2 Konstytucji. Trzeba podkreślić, że również pod rządami tamtej ustawy (art. 7 ust. 4), z</w:t>
      </w:r>
      <w:r w:rsidR="001B6E6B" w:rsidRPr="001B6E6B">
        <w:t>ebranie przedstawicieli zgromadzeń ogólnych sędziów okręgów wybiera</w:t>
      </w:r>
      <w:r w:rsidR="001B6E6B">
        <w:t>ło członków KRS</w:t>
      </w:r>
      <w:r w:rsidR="001B6E6B" w:rsidRPr="001B6E6B">
        <w:t xml:space="preserve"> </w:t>
      </w:r>
      <w:r w:rsidR="001B6E6B">
        <w:t>„</w:t>
      </w:r>
      <w:r w:rsidR="001B6E6B" w:rsidRPr="001B6E6B">
        <w:t>spośród swego grona</w:t>
      </w:r>
      <w:r w:rsidR="001B6E6B">
        <w:t xml:space="preserve">”, a nie spośród ogółu sędziów okręgów (sędziów sądów rejonowych i sędziów sądów okręgowych). </w:t>
      </w:r>
      <w:r w:rsidR="009732BA">
        <w:t>Trybunał Konstytucyjny zaakceptował zatem konstytucyjność regulacji, która obecnie jest kwestionowana przez Prokuratora Generalnego. Dlatego należy podkreślić, że</w:t>
      </w:r>
      <w:r w:rsidR="001B6E6B">
        <w:t xml:space="preserve"> każdy sędzia ma prawo ubiegania się o mandat członka KRS i każdy sędzia może zostać wybrany w skład KRS po przejściu procedury wyborczej, właściwej</w:t>
      </w:r>
      <w:r w:rsidR="009732BA">
        <w:t xml:space="preserve"> </w:t>
      </w:r>
      <w:r w:rsidR="001B6E6B">
        <w:t>dla segmentu sądownictwa, w którym sprawuje swój urząd.</w:t>
      </w:r>
    </w:p>
    <w:p w:rsidR="00031BF0" w:rsidRDefault="00677063" w:rsidP="001B2E37">
      <w:pPr>
        <w:spacing w:after="120"/>
        <w:jc w:val="both"/>
      </w:pPr>
      <w:r>
        <w:tab/>
      </w:r>
    </w:p>
    <w:p w:rsidR="00E77405" w:rsidRDefault="001B2E37" w:rsidP="001B2E37">
      <w:pPr>
        <w:spacing w:after="120"/>
        <w:jc w:val="both"/>
      </w:pPr>
      <w:r w:rsidRPr="001B2E37">
        <w:rPr>
          <w:b/>
        </w:rPr>
        <w:t>3</w:t>
      </w:r>
      <w:r w:rsidR="00E77405" w:rsidRPr="001B2E37">
        <w:rPr>
          <w:b/>
        </w:rPr>
        <w:t>.</w:t>
      </w:r>
      <w:r w:rsidR="00E77405" w:rsidRPr="001B2E37">
        <w:rPr>
          <w:b/>
        </w:rPr>
        <w:tab/>
      </w:r>
      <w:r w:rsidR="00E77405">
        <w:t xml:space="preserve">Prokurator Generalny zarzucił ponadto niezgodność </w:t>
      </w:r>
      <w:r w:rsidR="00E77405" w:rsidRPr="00E77405">
        <w:t>art. 11 ust. l, 2, 3, 4 i 5 w zwi</w:t>
      </w:r>
      <w:r w:rsidR="00E77405" w:rsidRPr="00E77405">
        <w:rPr>
          <w:rFonts w:hint="eastAsia"/>
        </w:rPr>
        <w:t>ą</w:t>
      </w:r>
      <w:r w:rsidR="00E77405" w:rsidRPr="00E77405">
        <w:t>zku z art. 13 ust. 3 i 4 zdanie pierwsze ustawy o KRS, w zakresie, w jakim przepisy te pomijaj</w:t>
      </w:r>
      <w:r w:rsidR="00E77405" w:rsidRPr="00E77405">
        <w:rPr>
          <w:rFonts w:hint="eastAsia"/>
        </w:rPr>
        <w:t>ą</w:t>
      </w:r>
      <w:r w:rsidR="00E77405" w:rsidRPr="00E77405">
        <w:t xml:space="preserve"> regulacj</w:t>
      </w:r>
      <w:r w:rsidR="00E77405" w:rsidRPr="00E77405">
        <w:rPr>
          <w:rFonts w:hint="eastAsia"/>
        </w:rPr>
        <w:t>ę</w:t>
      </w:r>
      <w:r w:rsidR="00E77405" w:rsidRPr="00E77405">
        <w:t>, zgodnie z któr</w:t>
      </w:r>
      <w:r w:rsidR="00E77405" w:rsidRPr="00E77405">
        <w:rPr>
          <w:rFonts w:hint="eastAsia"/>
        </w:rPr>
        <w:t>ą</w:t>
      </w:r>
      <w:r w:rsidR="00E77405" w:rsidRPr="00E77405">
        <w:t xml:space="preserve"> kadencja wszystkich wybranych w trybie tych unormowa</w:t>
      </w:r>
      <w:r w:rsidR="00E77405" w:rsidRPr="00E77405">
        <w:rPr>
          <w:rFonts w:hint="eastAsia"/>
        </w:rPr>
        <w:t>ń</w:t>
      </w:r>
      <w:r w:rsidR="00E77405" w:rsidRPr="00E77405">
        <w:t xml:space="preserve"> cz</w:t>
      </w:r>
      <w:r w:rsidR="00E77405" w:rsidRPr="00E77405">
        <w:rPr>
          <w:rFonts w:hint="eastAsia"/>
        </w:rPr>
        <w:t>ł</w:t>
      </w:r>
      <w:r w:rsidR="00E77405" w:rsidRPr="00E77405">
        <w:t>onków Rady winna rozpoczyna</w:t>
      </w:r>
      <w:r w:rsidR="00E77405" w:rsidRPr="00E77405">
        <w:rPr>
          <w:rFonts w:hint="eastAsia"/>
        </w:rPr>
        <w:t>ć</w:t>
      </w:r>
      <w:r w:rsidR="00E77405" w:rsidRPr="00E77405">
        <w:t xml:space="preserve"> si</w:t>
      </w:r>
      <w:r w:rsidR="00E77405" w:rsidRPr="00E77405">
        <w:rPr>
          <w:rFonts w:hint="eastAsia"/>
        </w:rPr>
        <w:t>ę</w:t>
      </w:r>
      <w:r w:rsidR="00E77405" w:rsidRPr="00E77405">
        <w:t xml:space="preserve"> w tym samym czasie – z art. 187 ust. 3 i 4 Konstytucji RP w zwi</w:t>
      </w:r>
      <w:r w:rsidR="00E77405" w:rsidRPr="00E77405">
        <w:rPr>
          <w:rFonts w:hint="eastAsia"/>
        </w:rPr>
        <w:t>ą</w:t>
      </w:r>
      <w:r w:rsidR="00E77405" w:rsidRPr="00E77405">
        <w:t>zku z zasad</w:t>
      </w:r>
      <w:r w:rsidR="00E77405" w:rsidRPr="00E77405">
        <w:rPr>
          <w:rFonts w:hint="eastAsia"/>
        </w:rPr>
        <w:t>ą</w:t>
      </w:r>
      <w:r w:rsidR="00E77405" w:rsidRPr="00E77405">
        <w:t xml:space="preserve"> okre</w:t>
      </w:r>
      <w:r w:rsidR="00E77405" w:rsidRPr="00E77405">
        <w:rPr>
          <w:rFonts w:hint="eastAsia"/>
        </w:rPr>
        <w:t>ś</w:t>
      </w:r>
      <w:r w:rsidR="00E77405" w:rsidRPr="00E77405">
        <w:t>lono</w:t>
      </w:r>
      <w:r w:rsidR="00E77405" w:rsidRPr="00E77405">
        <w:rPr>
          <w:rFonts w:hint="eastAsia"/>
        </w:rPr>
        <w:t>ś</w:t>
      </w:r>
      <w:r w:rsidR="00E77405" w:rsidRPr="00E77405">
        <w:t>ci przepisów prawnych, wynikaj</w:t>
      </w:r>
      <w:r w:rsidR="00E77405" w:rsidRPr="00E77405">
        <w:rPr>
          <w:rFonts w:hint="eastAsia"/>
        </w:rPr>
        <w:t>ą</w:t>
      </w:r>
      <w:r w:rsidR="00E77405" w:rsidRPr="00E77405">
        <w:t>c</w:t>
      </w:r>
      <w:r w:rsidR="00E77405" w:rsidRPr="00E77405">
        <w:rPr>
          <w:rFonts w:hint="eastAsia"/>
        </w:rPr>
        <w:t>ą</w:t>
      </w:r>
      <w:r w:rsidR="00E77405" w:rsidRPr="00E77405">
        <w:t xml:space="preserve"> z art. 2, i zasad</w:t>
      </w:r>
      <w:r w:rsidR="00E77405" w:rsidRPr="00E77405">
        <w:rPr>
          <w:rFonts w:hint="eastAsia"/>
        </w:rPr>
        <w:t>ą</w:t>
      </w:r>
      <w:r w:rsidR="00E77405" w:rsidRPr="00E77405">
        <w:t xml:space="preserve"> legalizmu, okre</w:t>
      </w:r>
      <w:r w:rsidR="00E77405" w:rsidRPr="00E77405">
        <w:rPr>
          <w:rFonts w:hint="eastAsia"/>
        </w:rPr>
        <w:t>ś</w:t>
      </w:r>
      <w:r w:rsidR="00E77405" w:rsidRPr="00E77405">
        <w:t>lon</w:t>
      </w:r>
      <w:r w:rsidR="00E77405" w:rsidRPr="00E77405">
        <w:rPr>
          <w:rFonts w:hint="eastAsia"/>
        </w:rPr>
        <w:t>ą</w:t>
      </w:r>
      <w:r w:rsidR="00E77405" w:rsidRPr="00E77405">
        <w:t xml:space="preserve"> wart. 7 Konstytucji RP</w:t>
      </w:r>
      <w:r w:rsidR="00E77405">
        <w:t>.</w:t>
      </w:r>
    </w:p>
    <w:p w:rsidR="005A2A1E" w:rsidRDefault="00E77405" w:rsidP="001B2E37">
      <w:pPr>
        <w:spacing w:after="120"/>
        <w:jc w:val="both"/>
      </w:pPr>
      <w:r>
        <w:tab/>
      </w:r>
      <w:r w:rsidR="00403782">
        <w:t xml:space="preserve">Krajowa Rada Sądownictwa zauważa, że </w:t>
      </w:r>
      <w:r>
        <w:t xml:space="preserve">w tej części wniosku, </w:t>
      </w:r>
      <w:r w:rsidR="00403782">
        <w:t>Prokurator Generalny</w:t>
      </w:r>
      <w:r w:rsidR="0091152E">
        <w:t xml:space="preserve"> jako przedmiot zaskarżenia powołał „związkowo” art. 11 ust. l, 2, 3, 4 i 5 w związku </w:t>
      </w:r>
      <w:r w:rsidR="00D54CED">
        <w:br/>
      </w:r>
      <w:r w:rsidR="0091152E">
        <w:t xml:space="preserve">z art. 13 ust. 3 i 4 zdanie pierwsze ustawy o KRS. </w:t>
      </w:r>
      <w:r>
        <w:t xml:space="preserve">Oznacza to, że wnioskodawca </w:t>
      </w:r>
      <w:r w:rsidR="00D54CED">
        <w:br/>
      </w:r>
      <w:r>
        <w:t xml:space="preserve">ze wskazanych przez niego jednostek redakcyjnych ustawy o KRS wywodzi istnienie określonej normy prawnej. </w:t>
      </w:r>
      <w:r w:rsidR="0091152E">
        <w:t xml:space="preserve">Tymczasem art. 13 ust. 3 i 4 ustawy o KRS odnoszą się wyłącznie do wyboru członków KRS spośród sędziów sądów powszechnych. Przepisy te regulują bowiem jedynie tryb wyboru </w:t>
      </w:r>
      <w:r w:rsidR="0091152E">
        <w:rPr>
          <w:rFonts w:cs="A"/>
        </w:rPr>
        <w:t xml:space="preserve">przedstawicieli zebrań sędziów sądów apelacyjnych oraz przedstawicieli zgromadzeń ogólnych sędziów okręgów (sędziów sądów okręgowych </w:t>
      </w:r>
      <w:r w:rsidR="00D54CED">
        <w:rPr>
          <w:rFonts w:cs="A"/>
        </w:rPr>
        <w:br/>
      </w:r>
      <w:r w:rsidR="0091152E">
        <w:rPr>
          <w:rFonts w:cs="A"/>
        </w:rPr>
        <w:t>i sędziów sądów rejonowych).</w:t>
      </w:r>
      <w:r w:rsidR="00D54CED">
        <w:rPr>
          <w:rFonts w:cs="A"/>
        </w:rPr>
        <w:t xml:space="preserve"> </w:t>
      </w:r>
      <w:r w:rsidR="0091152E">
        <w:rPr>
          <w:rFonts w:cs="A"/>
        </w:rPr>
        <w:t xml:space="preserve">Z uwagi na tak sformułowane petitum wniosku, należy stwierdzić, że </w:t>
      </w:r>
      <w:r w:rsidR="0091152E">
        <w:t>art. 11 ust. l, 2 i 5 ustawy o KRS leżą w istocie poza zakresem zaskarżenia. Również bowiem w uzasadnieniu wniosku, Prokurator Generalny</w:t>
      </w:r>
      <w:r w:rsidR="00403782">
        <w:t xml:space="preserve"> przedstawił </w:t>
      </w:r>
      <w:r w:rsidR="0091152E">
        <w:t>argumentację</w:t>
      </w:r>
      <w:r w:rsidR="00403782">
        <w:t xml:space="preserve"> zarzutu dotyczącego indywidualnych kadencji członków KRS</w:t>
      </w:r>
      <w:r w:rsidR="0091152E">
        <w:t xml:space="preserve"> w zasadzie jedynie spośród sędziów sądów powszechnych.</w:t>
      </w:r>
      <w:r>
        <w:t xml:space="preserve"> </w:t>
      </w:r>
      <w:r w:rsidR="0091152E">
        <w:t>Z tych względów wydanie orzeczenia w zakresie dotyczącym art. 11 ust. l, 2</w:t>
      </w:r>
      <w:r w:rsidR="00D54CED">
        <w:t xml:space="preserve"> </w:t>
      </w:r>
      <w:r w:rsidR="0091152E">
        <w:t xml:space="preserve">i 5 związku z art. 13 ust. 3 i 4 ustawy o KRS jest niedopuszczalne. Trybunał Konstytucyjny jest bowiem związany zakresem zaskarżenia (art. 67 ust. 1 ustawy o TK) </w:t>
      </w:r>
      <w:r w:rsidR="00D54CED">
        <w:br/>
      </w:r>
      <w:r w:rsidR="0091152E">
        <w:t>i nie może zastępować wnioskodawcy w konstruowaniu argumentacji na poparcie jego gołosłownych twierdzeń.</w:t>
      </w:r>
      <w:r w:rsidR="005A2A1E">
        <w:t xml:space="preserve"> W tym zakresie postępowanie podlega zatem umorzeniu </w:t>
      </w:r>
      <w:r w:rsidR="00D54CED">
        <w:br/>
      </w:r>
      <w:r w:rsidR="005A2A1E" w:rsidRPr="005A2A1E">
        <w:t xml:space="preserve">na podstawie art. 59 ust. 1 pkt 2 ustawy </w:t>
      </w:r>
      <w:r w:rsidR="005435C2">
        <w:t>o TK.</w:t>
      </w:r>
    </w:p>
    <w:p w:rsidR="00E77405" w:rsidRDefault="00E77405" w:rsidP="001B2E37">
      <w:pPr>
        <w:spacing w:after="120"/>
        <w:jc w:val="both"/>
      </w:pPr>
      <w:r>
        <w:tab/>
        <w:t xml:space="preserve">W ocenie Rady należy zatem odnieść się wyłącznie do zarzutu niezgodności </w:t>
      </w:r>
      <w:r w:rsidR="00D54CED">
        <w:br/>
      </w:r>
      <w:r>
        <w:t>art. 11 ust. 3 i 4 w zwi</w:t>
      </w:r>
      <w:r>
        <w:rPr>
          <w:rFonts w:hint="eastAsia"/>
        </w:rPr>
        <w:t>ą</w:t>
      </w:r>
      <w:r>
        <w:t xml:space="preserve">zku z art. 13 ust. 3 i 4 zdanie pierwsze ustawy o KRS, w zakresie, </w:t>
      </w:r>
      <w:r w:rsidR="00D54CED">
        <w:br/>
      </w:r>
      <w:r>
        <w:t>w jakim przepisy te pomijaj</w:t>
      </w:r>
      <w:r>
        <w:rPr>
          <w:rFonts w:hint="eastAsia"/>
        </w:rPr>
        <w:t>ą</w:t>
      </w:r>
      <w:r>
        <w:t xml:space="preserve"> regulacj</w:t>
      </w:r>
      <w:r>
        <w:rPr>
          <w:rFonts w:hint="eastAsia"/>
        </w:rPr>
        <w:t>ę</w:t>
      </w:r>
      <w:r>
        <w:t>, zgodnie z któr</w:t>
      </w:r>
      <w:r>
        <w:rPr>
          <w:rFonts w:hint="eastAsia"/>
        </w:rPr>
        <w:t>ą</w:t>
      </w:r>
      <w:r>
        <w:t xml:space="preserve"> kadencja cz</w:t>
      </w:r>
      <w:r>
        <w:rPr>
          <w:rFonts w:hint="eastAsia"/>
        </w:rPr>
        <w:t>ł</w:t>
      </w:r>
      <w:r>
        <w:t>onków Rady wybranych spo</w:t>
      </w:r>
      <w:r>
        <w:rPr>
          <w:rFonts w:hint="eastAsia"/>
        </w:rPr>
        <w:t>ś</w:t>
      </w:r>
      <w:r>
        <w:t>ród s</w:t>
      </w:r>
      <w:r>
        <w:rPr>
          <w:rFonts w:hint="eastAsia"/>
        </w:rPr>
        <w:t>ę</w:t>
      </w:r>
      <w:r>
        <w:t>dziów s</w:t>
      </w:r>
      <w:r>
        <w:rPr>
          <w:rFonts w:hint="eastAsia"/>
        </w:rPr>
        <w:t>ą</w:t>
      </w:r>
      <w:r>
        <w:t>dów powszechnych winna rozpoczyna</w:t>
      </w:r>
      <w:r>
        <w:rPr>
          <w:rFonts w:hint="eastAsia"/>
        </w:rPr>
        <w:t>ć</w:t>
      </w:r>
      <w:r>
        <w:t xml:space="preserve"> si</w:t>
      </w:r>
      <w:r>
        <w:rPr>
          <w:rFonts w:hint="eastAsia"/>
        </w:rPr>
        <w:t>ę</w:t>
      </w:r>
      <w:r>
        <w:t xml:space="preserve"> w tym samym czasie. </w:t>
      </w:r>
      <w:r w:rsidR="00D54CED">
        <w:br/>
      </w:r>
      <w:r>
        <w:t>W ocenie Rady, regulacja ta jest zgodna z art. 187 ust. 3 i 4 Konstytucji RP w zwi</w:t>
      </w:r>
      <w:r>
        <w:rPr>
          <w:rFonts w:hint="eastAsia"/>
        </w:rPr>
        <w:t>ą</w:t>
      </w:r>
      <w:r>
        <w:t xml:space="preserve">zku </w:t>
      </w:r>
      <w:r w:rsidR="00D54CED">
        <w:br/>
      </w:r>
      <w:r>
        <w:t>z zasad</w:t>
      </w:r>
      <w:r>
        <w:rPr>
          <w:rFonts w:hint="eastAsia"/>
        </w:rPr>
        <w:t>ą</w:t>
      </w:r>
      <w:r>
        <w:t xml:space="preserve"> okre</w:t>
      </w:r>
      <w:r>
        <w:rPr>
          <w:rFonts w:hint="eastAsia"/>
        </w:rPr>
        <w:t>ś</w:t>
      </w:r>
      <w:r>
        <w:t>lono</w:t>
      </w:r>
      <w:r>
        <w:rPr>
          <w:rFonts w:hint="eastAsia"/>
        </w:rPr>
        <w:t>ś</w:t>
      </w:r>
      <w:r>
        <w:t>ci prawa, wynikaj</w:t>
      </w:r>
      <w:r>
        <w:rPr>
          <w:rFonts w:hint="eastAsia"/>
        </w:rPr>
        <w:t>ą</w:t>
      </w:r>
      <w:r>
        <w:t>c</w:t>
      </w:r>
      <w:r>
        <w:rPr>
          <w:rFonts w:hint="eastAsia"/>
        </w:rPr>
        <w:t>ą</w:t>
      </w:r>
      <w:r>
        <w:t xml:space="preserve"> z art. 2 i zasad</w:t>
      </w:r>
      <w:r>
        <w:rPr>
          <w:rFonts w:hint="eastAsia"/>
        </w:rPr>
        <w:t>ą</w:t>
      </w:r>
      <w:r>
        <w:t xml:space="preserve"> legalizmu, okre</w:t>
      </w:r>
      <w:r>
        <w:rPr>
          <w:rFonts w:hint="eastAsia"/>
        </w:rPr>
        <w:t>ś</w:t>
      </w:r>
      <w:r>
        <w:t>lon</w:t>
      </w:r>
      <w:r>
        <w:rPr>
          <w:rFonts w:hint="eastAsia"/>
        </w:rPr>
        <w:t>ą</w:t>
      </w:r>
      <w:r>
        <w:t xml:space="preserve"> </w:t>
      </w:r>
      <w:r w:rsidR="00D54CED">
        <w:br/>
      </w:r>
      <w:r>
        <w:t>w art. 7 Konstytucji RP.</w:t>
      </w:r>
    </w:p>
    <w:p w:rsidR="00E77405" w:rsidRDefault="00E77405" w:rsidP="001B2E37">
      <w:pPr>
        <w:spacing w:after="120"/>
        <w:jc w:val="both"/>
      </w:pPr>
      <w:r>
        <w:tab/>
        <w:t xml:space="preserve">Krajowa Rada Sądownictwa zauważa, że zgodnie z art. 187 ust. 3 Konstytucji, kadencja wybranych członków KRS trwa cztery lata. Oznacza to, że członkowie KRS wybrani spośród sędziów, posłów i senatorów sprawują swoją funkcję w ramach konstytucyjnie zdeterminowanej kadencji. Rada popiera pogląd, z którego wynika, </w:t>
      </w:r>
      <w:r w:rsidR="00D81614">
        <w:br/>
      </w:r>
      <w:r>
        <w:t>że ustawodawca określając tryb wyboru członków KRS (na mocy art. 187 ust. 4 Konstytucji), musi respektować zasadę czter</w:t>
      </w:r>
      <w:r w:rsidR="002E440D">
        <w:t xml:space="preserve">oletniej kadencji członków KRS. </w:t>
      </w:r>
      <w:r w:rsidR="001B2E37">
        <w:t xml:space="preserve">W drodze ustawy nie można manipulować długością tej kadencji – ustawodawca nie może jej skrócić ani przerwać. </w:t>
      </w:r>
      <w:r w:rsidR="002E440D">
        <w:t xml:space="preserve">Należy jednak wyraźnie stwierdzić, że z art. 187 ust. 3 Konstytucji nie wynika kadencyjny charakter Krajowej Rady Sądownictwa </w:t>
      </w:r>
      <w:r w:rsidR="001B2E37">
        <w:t>–</w:t>
      </w:r>
      <w:r w:rsidR="002E440D">
        <w:t xml:space="preserve"> jest</w:t>
      </w:r>
      <w:r w:rsidR="001B2E37">
        <w:t xml:space="preserve"> </w:t>
      </w:r>
      <w:r w:rsidR="002E440D">
        <w:t>to organ funkcjonujący permanentnie o mieszanym składzie, okresowo odnawialnym.</w:t>
      </w:r>
      <w:r w:rsidR="00FF7164">
        <w:t xml:space="preserve"> </w:t>
      </w:r>
    </w:p>
    <w:p w:rsidR="00FC4D10" w:rsidRDefault="002E440D" w:rsidP="001B2E37">
      <w:pPr>
        <w:spacing w:after="120"/>
        <w:jc w:val="both"/>
      </w:pPr>
      <w:r>
        <w:tab/>
        <w:t xml:space="preserve">Podstawowym twierdzeniem wnioskodawcy jest teza, zgodnie z którą kadencja wszystkich wybranych członków KRS powinna rozpoczynać się w tym samym czasie. </w:t>
      </w:r>
      <w:r w:rsidR="00FC4D10">
        <w:t>Przedstawione przez wnioskodawcę rozumienie art. 187 ust. 3 Konstytucji sprowadza</w:t>
      </w:r>
      <w:r w:rsidR="001B2E37">
        <w:br/>
      </w:r>
      <w:r w:rsidR="00FC4D10">
        <w:t xml:space="preserve">się w zasadzie do odczytania tekstu tego przepisu, z pominięciem celu jego wprowadzenia </w:t>
      </w:r>
      <w:r w:rsidR="001B2E37">
        <w:br/>
      </w:r>
      <w:r w:rsidR="00FC4D10">
        <w:t xml:space="preserve">i kontekstu interpretacyjnego. </w:t>
      </w:r>
      <w:r w:rsidR="005A2A1E">
        <w:t xml:space="preserve">Rada zauważa, że prawidłowa wykładnia Konstytucji nie może ograniczać się do </w:t>
      </w:r>
      <w:r w:rsidR="001B2E37">
        <w:t xml:space="preserve">rezultatu </w:t>
      </w:r>
      <w:r w:rsidR="005A2A1E">
        <w:t>tzw. wykładni językowej i nie może być pozbawiona szerokiej</w:t>
      </w:r>
      <w:r w:rsidR="001B2E37">
        <w:br/>
      </w:r>
      <w:r w:rsidR="005A2A1E">
        <w:t>i gruntownej analizy całokształtu norm konstytucyjnych.</w:t>
      </w:r>
    </w:p>
    <w:p w:rsidR="005A2A1E" w:rsidRDefault="00FC4D10" w:rsidP="001B2E37">
      <w:pPr>
        <w:spacing w:after="120"/>
        <w:jc w:val="both"/>
      </w:pPr>
      <w:r>
        <w:tab/>
        <w:t xml:space="preserve">Trybunał Konstytucyjny stwierdził, że </w:t>
      </w:r>
      <w:r w:rsidR="001B2E37">
        <w:t>„</w:t>
      </w:r>
      <w:r>
        <w:t>a</w:t>
      </w:r>
      <w:r w:rsidRPr="00FC4D10">
        <w:t xml:space="preserve">naliza Konstytucji prowadzi do wniosku, </w:t>
      </w:r>
      <w:r w:rsidR="00D81614">
        <w:br/>
      </w:r>
      <w:r w:rsidRPr="00FC4D10">
        <w:rPr>
          <w:rFonts w:hint="eastAsia"/>
        </w:rPr>
        <w:t>ż</w:t>
      </w:r>
      <w:r w:rsidRPr="00FC4D10">
        <w:t>e zarówno regulacje dotycz</w:t>
      </w:r>
      <w:r w:rsidRPr="00FC4D10">
        <w:rPr>
          <w:rFonts w:hint="eastAsia"/>
        </w:rPr>
        <w:t>ą</w:t>
      </w:r>
      <w:r w:rsidRPr="00FC4D10">
        <w:t>ce kadencji ca</w:t>
      </w:r>
      <w:r w:rsidRPr="00FC4D10">
        <w:rPr>
          <w:rFonts w:hint="eastAsia"/>
        </w:rPr>
        <w:t>ł</w:t>
      </w:r>
      <w:r w:rsidRPr="00FC4D10">
        <w:t>ych organów kolegialnych, jak i kadencji indywidualnych osób wchodz</w:t>
      </w:r>
      <w:r w:rsidRPr="00FC4D10">
        <w:rPr>
          <w:rFonts w:hint="eastAsia"/>
        </w:rPr>
        <w:t>ą</w:t>
      </w:r>
      <w:r w:rsidRPr="00FC4D10">
        <w:t>cych w ich sk</w:t>
      </w:r>
      <w:r w:rsidRPr="00FC4D10">
        <w:rPr>
          <w:rFonts w:hint="eastAsia"/>
        </w:rPr>
        <w:t>ł</w:t>
      </w:r>
      <w:r w:rsidRPr="00FC4D10">
        <w:t>ad nie s</w:t>
      </w:r>
      <w:r w:rsidRPr="00FC4D10">
        <w:rPr>
          <w:rFonts w:hint="eastAsia"/>
        </w:rPr>
        <w:t>ą</w:t>
      </w:r>
      <w:r w:rsidRPr="00FC4D10">
        <w:t xml:space="preserve"> ukszta</w:t>
      </w:r>
      <w:r w:rsidRPr="00FC4D10">
        <w:rPr>
          <w:rFonts w:hint="eastAsia"/>
        </w:rPr>
        <w:t>ł</w:t>
      </w:r>
      <w:r w:rsidRPr="00FC4D10">
        <w:t>towane wed</w:t>
      </w:r>
      <w:r w:rsidRPr="00FC4D10">
        <w:rPr>
          <w:rFonts w:hint="eastAsia"/>
        </w:rPr>
        <w:t>ł</w:t>
      </w:r>
      <w:r w:rsidRPr="00FC4D10">
        <w:t>ug jednego schematu. W</w:t>
      </w:r>
      <w:r w:rsidRPr="00FC4D10">
        <w:rPr>
          <w:rFonts w:hint="eastAsia"/>
        </w:rPr>
        <w:t>ł</w:t>
      </w:r>
      <w:r w:rsidRPr="00FC4D10">
        <w:t>a</w:t>
      </w:r>
      <w:r w:rsidRPr="00FC4D10">
        <w:rPr>
          <w:rFonts w:hint="eastAsia"/>
        </w:rPr>
        <w:t>ś</w:t>
      </w:r>
      <w:r w:rsidRPr="00FC4D10">
        <w:t>ciwie ka</w:t>
      </w:r>
      <w:r w:rsidRPr="00FC4D10">
        <w:rPr>
          <w:rFonts w:hint="eastAsia"/>
        </w:rPr>
        <w:t>ż</w:t>
      </w:r>
      <w:r w:rsidRPr="00FC4D10">
        <w:t>dy niepochodz</w:t>
      </w:r>
      <w:r w:rsidRPr="00FC4D10">
        <w:rPr>
          <w:rFonts w:hint="eastAsia"/>
        </w:rPr>
        <w:t>ą</w:t>
      </w:r>
      <w:r w:rsidRPr="00FC4D10">
        <w:t>cy z wyborów powszechnych konstytucyjny organ kolegialny powo</w:t>
      </w:r>
      <w:r w:rsidRPr="00FC4D10">
        <w:rPr>
          <w:rFonts w:hint="eastAsia"/>
        </w:rPr>
        <w:t>ł</w:t>
      </w:r>
      <w:r w:rsidRPr="00FC4D10">
        <w:t>ywany jest w odmienny sposób. Niew</w:t>
      </w:r>
      <w:r w:rsidRPr="00FC4D10">
        <w:rPr>
          <w:rFonts w:hint="eastAsia"/>
        </w:rPr>
        <w:t>ą</w:t>
      </w:r>
      <w:r w:rsidRPr="00FC4D10">
        <w:t>tpliwie w</w:t>
      </w:r>
      <w:r w:rsidRPr="00FC4D10">
        <w:rPr>
          <w:rFonts w:hint="eastAsia"/>
        </w:rPr>
        <w:t>ś</w:t>
      </w:r>
      <w:r w:rsidRPr="00FC4D10">
        <w:t>ród czynników, które mia</w:t>
      </w:r>
      <w:r w:rsidRPr="00FC4D10">
        <w:rPr>
          <w:rFonts w:hint="eastAsia"/>
        </w:rPr>
        <w:t>ł</w:t>
      </w:r>
      <w:r w:rsidRPr="00FC4D10">
        <w:t>y na to wp</w:t>
      </w:r>
      <w:r w:rsidRPr="00FC4D10">
        <w:rPr>
          <w:rFonts w:hint="eastAsia"/>
        </w:rPr>
        <w:t>ł</w:t>
      </w:r>
      <w:r w:rsidRPr="00FC4D10">
        <w:t>yw wymieni</w:t>
      </w:r>
      <w:r w:rsidRPr="00FC4D10">
        <w:rPr>
          <w:rFonts w:hint="eastAsia"/>
        </w:rPr>
        <w:t>ć</w:t>
      </w:r>
      <w:r w:rsidRPr="00FC4D10">
        <w:t xml:space="preserve"> nale</w:t>
      </w:r>
      <w:r w:rsidRPr="00FC4D10">
        <w:rPr>
          <w:rFonts w:hint="eastAsia"/>
        </w:rPr>
        <w:t>ż</w:t>
      </w:r>
      <w:r w:rsidRPr="00FC4D10">
        <w:t>y ró</w:t>
      </w:r>
      <w:r w:rsidRPr="00FC4D10">
        <w:rPr>
          <w:rFonts w:hint="eastAsia"/>
        </w:rPr>
        <w:t>ż</w:t>
      </w:r>
      <w:r w:rsidRPr="00FC4D10">
        <w:t>n</w:t>
      </w:r>
      <w:r w:rsidRPr="00FC4D10">
        <w:rPr>
          <w:rFonts w:hint="eastAsia"/>
        </w:rPr>
        <w:t>ą</w:t>
      </w:r>
      <w:r w:rsidRPr="00FC4D10">
        <w:t xml:space="preserve"> pozycj</w:t>
      </w:r>
      <w:r w:rsidRPr="00FC4D10">
        <w:rPr>
          <w:rFonts w:hint="eastAsia"/>
        </w:rPr>
        <w:t>ę</w:t>
      </w:r>
      <w:r w:rsidRPr="00FC4D10">
        <w:t xml:space="preserve"> ustrojow</w:t>
      </w:r>
      <w:r w:rsidRPr="00FC4D10">
        <w:rPr>
          <w:rFonts w:hint="eastAsia"/>
        </w:rPr>
        <w:t>ą</w:t>
      </w:r>
      <w:r w:rsidRPr="00FC4D10">
        <w:t xml:space="preserve"> i funkcje poszczególnych organów, co uzasadnia tak</w:t>
      </w:r>
      <w:r w:rsidRPr="00FC4D10">
        <w:rPr>
          <w:rFonts w:hint="eastAsia"/>
        </w:rPr>
        <w:t>ż</w:t>
      </w:r>
      <w:r w:rsidRPr="00FC4D10">
        <w:t>e zró</w:t>
      </w:r>
      <w:r w:rsidRPr="00FC4D10">
        <w:rPr>
          <w:rFonts w:hint="eastAsia"/>
        </w:rPr>
        <w:t>ż</w:t>
      </w:r>
      <w:r w:rsidRPr="00FC4D10">
        <w:t>nicowanie przez ustrojodawc</w:t>
      </w:r>
      <w:r w:rsidRPr="00FC4D10">
        <w:rPr>
          <w:rFonts w:hint="eastAsia"/>
        </w:rPr>
        <w:t>ę</w:t>
      </w:r>
      <w:r w:rsidRPr="00FC4D10">
        <w:t xml:space="preserve"> stopnia szczegó</w:t>
      </w:r>
      <w:r w:rsidRPr="00FC4D10">
        <w:rPr>
          <w:rFonts w:hint="eastAsia"/>
        </w:rPr>
        <w:t>ł</w:t>
      </w:r>
      <w:r w:rsidRPr="00FC4D10">
        <w:t>owo</w:t>
      </w:r>
      <w:r w:rsidRPr="00FC4D10">
        <w:rPr>
          <w:rFonts w:hint="eastAsia"/>
        </w:rPr>
        <w:t>ś</w:t>
      </w:r>
      <w:r w:rsidRPr="00FC4D10">
        <w:t>ci przepisów dotycz</w:t>
      </w:r>
      <w:r w:rsidRPr="00FC4D10">
        <w:rPr>
          <w:rFonts w:hint="eastAsia"/>
        </w:rPr>
        <w:t>ą</w:t>
      </w:r>
      <w:r w:rsidRPr="00FC4D10">
        <w:t>cych aspektów instytucjonalnych owych organów.</w:t>
      </w:r>
      <w:r w:rsidR="00FE069C">
        <w:t xml:space="preserve"> </w:t>
      </w:r>
      <w:r w:rsidR="00FE069C" w:rsidRPr="00FE069C">
        <w:t>W omawianym zakresie jednoznaczne i najbardziej wyczerpuj</w:t>
      </w:r>
      <w:r w:rsidR="00FE069C" w:rsidRPr="00FE069C">
        <w:rPr>
          <w:rFonts w:hint="eastAsia"/>
        </w:rPr>
        <w:t>ą</w:t>
      </w:r>
      <w:r w:rsidR="00FE069C" w:rsidRPr="00FE069C">
        <w:t>ce s</w:t>
      </w:r>
      <w:r w:rsidR="00FE069C" w:rsidRPr="00FE069C">
        <w:rPr>
          <w:rFonts w:hint="eastAsia"/>
        </w:rPr>
        <w:t>ą</w:t>
      </w:r>
      <w:r w:rsidR="00FE069C" w:rsidRPr="00FE069C">
        <w:t xml:space="preserve"> regulacje konstytucyjne odnosz</w:t>
      </w:r>
      <w:r w:rsidR="00FE069C" w:rsidRPr="00FE069C">
        <w:rPr>
          <w:rFonts w:hint="eastAsia"/>
        </w:rPr>
        <w:t>ą</w:t>
      </w:r>
      <w:r w:rsidR="00FE069C" w:rsidRPr="00FE069C">
        <w:t xml:space="preserve">ce </w:t>
      </w:r>
      <w:r w:rsidR="001B2E37">
        <w:br/>
      </w:r>
      <w:r w:rsidR="00FE069C" w:rsidRPr="00FE069C">
        <w:t>si</w:t>
      </w:r>
      <w:r w:rsidR="00FE069C" w:rsidRPr="00FE069C">
        <w:rPr>
          <w:rFonts w:hint="eastAsia"/>
        </w:rPr>
        <w:t>ę</w:t>
      </w:r>
      <w:r w:rsidR="00FE069C" w:rsidRPr="00FE069C">
        <w:t xml:space="preserve"> do Trybuna</w:t>
      </w:r>
      <w:r w:rsidR="00FE069C" w:rsidRPr="00FE069C">
        <w:rPr>
          <w:rFonts w:hint="eastAsia"/>
        </w:rPr>
        <w:t>ł</w:t>
      </w:r>
      <w:r w:rsidR="00FE069C" w:rsidRPr="00FE069C">
        <w:t>u Konstytucyjnego</w:t>
      </w:r>
      <w:r w:rsidR="001B2E37">
        <w:t>”</w:t>
      </w:r>
      <w:r>
        <w:t xml:space="preserve"> (wyrok TK </w:t>
      </w:r>
      <w:r w:rsidRPr="00FC4D10">
        <w:t xml:space="preserve">z dnia 24 listopada 2003 r. </w:t>
      </w:r>
      <w:r w:rsidR="00D81614">
        <w:t xml:space="preserve">o </w:t>
      </w:r>
      <w:r w:rsidRPr="00FC4D10">
        <w:t xml:space="preserve">sygn. </w:t>
      </w:r>
      <w:r w:rsidR="00D54CED">
        <w:br/>
      </w:r>
      <w:r w:rsidRPr="00FC4D10">
        <w:t>akt K 26/03</w:t>
      </w:r>
      <w:r w:rsidR="005A2A1E">
        <w:t>).</w:t>
      </w:r>
    </w:p>
    <w:p w:rsidR="005A2A1E" w:rsidRDefault="001B2E37" w:rsidP="001B2E37">
      <w:pPr>
        <w:spacing w:after="120"/>
        <w:ind w:firstLine="708"/>
        <w:jc w:val="both"/>
      </w:pPr>
      <w:r>
        <w:t>Z</w:t>
      </w:r>
      <w:r w:rsidR="00FE069C">
        <w:t xml:space="preserve">godnie z art. 194 ust. 1 Konstytucji, sędziowie Trybunału są wybierani </w:t>
      </w:r>
      <w:r>
        <w:t>„</w:t>
      </w:r>
      <w:r w:rsidR="00FE069C">
        <w:t>indywidualnie</w:t>
      </w:r>
      <w:r>
        <w:t>”</w:t>
      </w:r>
      <w:r w:rsidR="00FE069C">
        <w:t xml:space="preserve"> na 9 lat. Zdaniem wnioskodawcy, treść tego przepisu miałaby wyraźnie wskazywać, że indywidualny wybór może dotyczyć wyłącznie sędziów Trybunału, skoro ustrojodawca tylko w tym przypadku wyraźnie wp</w:t>
      </w:r>
      <w:r>
        <w:t xml:space="preserve">rowadził taką zasadę. Tymczasem, </w:t>
      </w:r>
      <w:r>
        <w:br/>
      </w:r>
      <w:r w:rsidR="00FE069C">
        <w:t xml:space="preserve">jak wskazał Trybunał w cytowanym wyżej uzasadnieniu, Konstytucja </w:t>
      </w:r>
      <w:r>
        <w:t xml:space="preserve">RP </w:t>
      </w:r>
      <w:r w:rsidR="00FE069C">
        <w:t xml:space="preserve">określa kadencyjność poszczególnych organów lub </w:t>
      </w:r>
      <w:r>
        <w:t>osób tworzących te organy</w:t>
      </w:r>
      <w:r w:rsidR="00FE069C">
        <w:t xml:space="preserve"> w sposób niejednolity. Trybunał wyraźnie wskazał, że przepisy te nie są skonstruowane według jednego schematu, toteż w ocenie Rady wnioskowanie </w:t>
      </w:r>
      <w:r w:rsidR="00FE069C">
        <w:rPr>
          <w:i/>
        </w:rPr>
        <w:t>a contrario</w:t>
      </w:r>
      <w:r w:rsidR="00FE069C">
        <w:t xml:space="preserve">, na którym oparto omawiany zarzut </w:t>
      </w:r>
      <w:r w:rsidR="007B3638">
        <w:t>Ministra Sprawiedliwości-</w:t>
      </w:r>
      <w:r w:rsidR="00FE069C">
        <w:t xml:space="preserve">Prokuratora Generalnego, jest nieuprawnione. </w:t>
      </w:r>
    </w:p>
    <w:p w:rsidR="00A73B7B" w:rsidRDefault="005A2A1E" w:rsidP="001B2E37">
      <w:pPr>
        <w:spacing w:after="120"/>
        <w:jc w:val="both"/>
      </w:pPr>
      <w:r>
        <w:tab/>
        <w:t xml:space="preserve">Zdaniem Krajowej Rady Sądownictwa, obecne brzmienie przepisów regulujących </w:t>
      </w:r>
      <w:r w:rsidR="004E3822">
        <w:t>bieg</w:t>
      </w:r>
      <w:r>
        <w:t xml:space="preserve"> kadencji poszczególnych członków KRS mieści się w granicach Konstytucji.</w:t>
      </w:r>
      <w:r w:rsidR="004E3822">
        <w:t xml:space="preserve"> </w:t>
      </w:r>
      <w:r>
        <w:t>Indywidualny charakter kadencji członków KRS pochodzących z wyboru sprzyja ponadto realizacji zasady pluralizmu w pracach KRS i w sposób optymalny koresponduje z trybem wyboru członków KRS. To zaś oznacza, że art. 11 ust. 3 i 4 w zwi</w:t>
      </w:r>
      <w:r>
        <w:rPr>
          <w:rFonts w:hint="eastAsia"/>
        </w:rPr>
        <w:t>ą</w:t>
      </w:r>
      <w:r>
        <w:t>zku z art. 13 ust. 3 i 4 zdanie pierwsze ustawy o Krajowej Radzie S</w:t>
      </w:r>
      <w:r>
        <w:rPr>
          <w:rFonts w:hint="eastAsia"/>
        </w:rPr>
        <w:t>ą</w:t>
      </w:r>
      <w:r>
        <w:t xml:space="preserve">downictwa, w zakresie, w jakim przepisy </w:t>
      </w:r>
      <w:r w:rsidR="004E3822">
        <w:br/>
      </w:r>
      <w:r>
        <w:t>te pomijaj</w:t>
      </w:r>
      <w:r>
        <w:rPr>
          <w:rFonts w:hint="eastAsia"/>
        </w:rPr>
        <w:t>ą</w:t>
      </w:r>
      <w:r>
        <w:t xml:space="preserve"> regulacj</w:t>
      </w:r>
      <w:r>
        <w:rPr>
          <w:rFonts w:hint="eastAsia"/>
        </w:rPr>
        <w:t>ę</w:t>
      </w:r>
      <w:r>
        <w:t>, zgodnie z któr</w:t>
      </w:r>
      <w:r>
        <w:rPr>
          <w:rFonts w:hint="eastAsia"/>
        </w:rPr>
        <w:t>ą</w:t>
      </w:r>
      <w:r>
        <w:t xml:space="preserve"> kadencja cz</w:t>
      </w:r>
      <w:r>
        <w:rPr>
          <w:rFonts w:hint="eastAsia"/>
        </w:rPr>
        <w:t>ł</w:t>
      </w:r>
      <w:r>
        <w:t>onków Rady wybranych spo</w:t>
      </w:r>
      <w:r>
        <w:rPr>
          <w:rFonts w:hint="eastAsia"/>
        </w:rPr>
        <w:t>ś</w:t>
      </w:r>
      <w:r>
        <w:t>ród s</w:t>
      </w:r>
      <w:r>
        <w:rPr>
          <w:rFonts w:hint="eastAsia"/>
        </w:rPr>
        <w:t>ę</w:t>
      </w:r>
      <w:r>
        <w:t>dziów s</w:t>
      </w:r>
      <w:r>
        <w:rPr>
          <w:rFonts w:hint="eastAsia"/>
        </w:rPr>
        <w:t>ą</w:t>
      </w:r>
      <w:r>
        <w:t>dów powszechnych winna rozpoczyna</w:t>
      </w:r>
      <w:r>
        <w:rPr>
          <w:rFonts w:hint="eastAsia"/>
        </w:rPr>
        <w:t>ć</w:t>
      </w:r>
      <w:r>
        <w:t xml:space="preserve"> si</w:t>
      </w:r>
      <w:r>
        <w:rPr>
          <w:rFonts w:hint="eastAsia"/>
        </w:rPr>
        <w:t>ę</w:t>
      </w:r>
      <w:r>
        <w:t xml:space="preserve"> w tym samym czasie s</w:t>
      </w:r>
      <w:r>
        <w:rPr>
          <w:rFonts w:hint="eastAsia"/>
        </w:rPr>
        <w:t>ą</w:t>
      </w:r>
      <w:r>
        <w:t xml:space="preserve"> zgodne z art. 187 ust. 3 i 4 Konstytucji RP w zwi</w:t>
      </w:r>
      <w:r>
        <w:rPr>
          <w:rFonts w:hint="eastAsia"/>
        </w:rPr>
        <w:t>ą</w:t>
      </w:r>
      <w:r>
        <w:t>zku z zasad</w:t>
      </w:r>
      <w:r>
        <w:rPr>
          <w:rFonts w:hint="eastAsia"/>
        </w:rPr>
        <w:t>ą</w:t>
      </w:r>
      <w:r>
        <w:t xml:space="preserve"> okre</w:t>
      </w:r>
      <w:r>
        <w:rPr>
          <w:rFonts w:hint="eastAsia"/>
        </w:rPr>
        <w:t>ś</w:t>
      </w:r>
      <w:r>
        <w:t>lono</w:t>
      </w:r>
      <w:r>
        <w:rPr>
          <w:rFonts w:hint="eastAsia"/>
        </w:rPr>
        <w:t>ś</w:t>
      </w:r>
      <w:r>
        <w:t>ci prawa, wynikaj</w:t>
      </w:r>
      <w:r>
        <w:rPr>
          <w:rFonts w:hint="eastAsia"/>
        </w:rPr>
        <w:t>ą</w:t>
      </w:r>
      <w:r>
        <w:t>c</w:t>
      </w:r>
      <w:r>
        <w:rPr>
          <w:rFonts w:hint="eastAsia"/>
        </w:rPr>
        <w:t>ą</w:t>
      </w:r>
      <w:r>
        <w:t xml:space="preserve"> z art. 2 i zasad</w:t>
      </w:r>
      <w:r>
        <w:rPr>
          <w:rFonts w:hint="eastAsia"/>
        </w:rPr>
        <w:t>ą</w:t>
      </w:r>
      <w:r>
        <w:t xml:space="preserve"> legalizmu, okre</w:t>
      </w:r>
      <w:r>
        <w:rPr>
          <w:rFonts w:hint="eastAsia"/>
        </w:rPr>
        <w:t>ś</w:t>
      </w:r>
      <w:r>
        <w:t>lon</w:t>
      </w:r>
      <w:r>
        <w:rPr>
          <w:rFonts w:hint="eastAsia"/>
        </w:rPr>
        <w:t>ą</w:t>
      </w:r>
      <w:r>
        <w:t xml:space="preserve"> w art. 7 Konstytucji RP</w:t>
      </w:r>
      <w:r w:rsidR="00B65151">
        <w:t>.</w:t>
      </w:r>
    </w:p>
    <w:p w:rsidR="007B3638" w:rsidRDefault="007B3638" w:rsidP="001B2E37">
      <w:pPr>
        <w:spacing w:after="120"/>
        <w:jc w:val="both"/>
      </w:pPr>
      <w:r>
        <w:tab/>
        <w:t xml:space="preserve">Krajowa Rada Sądownictwa wskazuje ponadto, że 12 lutego 2002 r. wydała uchwałę, w której zajęła stanowisko w przedmiocie wykładni art. 187 ust. 1 pkt 2 Konstytucji </w:t>
      </w:r>
      <w:r w:rsidR="00D54CED">
        <w:br/>
      </w:r>
      <w:r>
        <w:t xml:space="preserve">RP w zakresie sposobu liczenia kadencji członków KRS wybranych spośród sędziów. Rada przypomina, że uchwała ta wyrażała stanowisko członków KRS w tym zakresie. Należy jednak pamiętać, że w świetle obowiązujących przepisów, to nie Krajowa Rada Sądownictwa, a Minister Sprawiedliwości organizuje wybory członków KRS. To zaś oznacza, że Minister Sprawiedliwości oraz organy samorządu sędziowskiego na przestrzeni ostatnich </w:t>
      </w:r>
      <w:r w:rsidR="00D54CED">
        <w:br/>
      </w:r>
      <w:r>
        <w:t>15 lat (również w latach 2005-2007) podzielały ww. stanowisko Rady, do czego nie były zobowiązane.</w:t>
      </w:r>
    </w:p>
    <w:p w:rsidR="007B3638" w:rsidRDefault="007B3638" w:rsidP="001B2E37">
      <w:pPr>
        <w:spacing w:after="120"/>
        <w:jc w:val="both"/>
      </w:pPr>
      <w:r>
        <w:tab/>
      </w:r>
    </w:p>
    <w:p w:rsidR="001B2E37" w:rsidRPr="00B65151" w:rsidRDefault="001B2E37" w:rsidP="001B2E37">
      <w:pPr>
        <w:spacing w:after="120"/>
        <w:ind w:left="3402"/>
        <w:jc w:val="center"/>
      </w:pPr>
    </w:p>
    <w:p w:rsidR="00A73B7B" w:rsidRPr="00A73B7B" w:rsidRDefault="00A73B7B" w:rsidP="001B2E37">
      <w:pPr>
        <w:spacing w:after="120"/>
        <w:jc w:val="both"/>
      </w:pPr>
    </w:p>
    <w:p w:rsidR="000D6E24" w:rsidRDefault="000D6E24" w:rsidP="001B2E37">
      <w:pPr>
        <w:spacing w:after="120"/>
        <w:jc w:val="both"/>
      </w:pPr>
    </w:p>
    <w:sectPr w:rsidR="000D6E24" w:rsidSect="00C83FA2">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9DF" w:rsidRDefault="00CC19DF" w:rsidP="007B152F">
      <w:pPr>
        <w:spacing w:after="0" w:line="240" w:lineRule="auto"/>
      </w:pPr>
      <w:r>
        <w:separator/>
      </w:r>
    </w:p>
  </w:endnote>
  <w:endnote w:type="continuationSeparator" w:id="0">
    <w:p w:rsidR="00CC19DF" w:rsidRDefault="00CC19DF" w:rsidP="007B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299507"/>
      <w:docPartObj>
        <w:docPartGallery w:val="Page Numbers (Bottom of Page)"/>
        <w:docPartUnique/>
      </w:docPartObj>
    </w:sdtPr>
    <w:sdtEndPr/>
    <w:sdtContent>
      <w:p w:rsidR="009732BA" w:rsidRDefault="009732BA">
        <w:pPr>
          <w:pStyle w:val="Stopka"/>
          <w:jc w:val="right"/>
        </w:pPr>
        <w:r>
          <w:fldChar w:fldCharType="begin"/>
        </w:r>
        <w:r>
          <w:instrText>PAGE   \* MERGEFORMAT</w:instrText>
        </w:r>
        <w:r>
          <w:fldChar w:fldCharType="separate"/>
        </w:r>
        <w:r w:rsidR="00FB1769">
          <w:rPr>
            <w:noProof/>
          </w:rPr>
          <w:t>2</w:t>
        </w:r>
        <w:r>
          <w:fldChar w:fldCharType="end"/>
        </w:r>
      </w:p>
    </w:sdtContent>
  </w:sdt>
  <w:p w:rsidR="009732BA" w:rsidRDefault="009732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9DF" w:rsidRDefault="00CC19DF" w:rsidP="007B152F">
      <w:pPr>
        <w:spacing w:after="0" w:line="240" w:lineRule="auto"/>
      </w:pPr>
      <w:r>
        <w:separator/>
      </w:r>
    </w:p>
  </w:footnote>
  <w:footnote w:type="continuationSeparator" w:id="0">
    <w:p w:rsidR="00CC19DF" w:rsidRDefault="00CC19DF" w:rsidP="007B15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4E03"/>
    <w:multiLevelType w:val="hybridMultilevel"/>
    <w:tmpl w:val="420E8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C250EC"/>
    <w:multiLevelType w:val="hybridMultilevel"/>
    <w:tmpl w:val="84FA0E50"/>
    <w:lvl w:ilvl="0" w:tplc="E264C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5A221B"/>
    <w:multiLevelType w:val="hybridMultilevel"/>
    <w:tmpl w:val="1F8C85C6"/>
    <w:lvl w:ilvl="0" w:tplc="D9FE84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D97CD7"/>
    <w:multiLevelType w:val="hybridMultilevel"/>
    <w:tmpl w:val="119E2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674FF4"/>
    <w:multiLevelType w:val="hybridMultilevel"/>
    <w:tmpl w:val="420E8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1F92D0C"/>
    <w:multiLevelType w:val="hybridMultilevel"/>
    <w:tmpl w:val="420E8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E24"/>
    <w:rsid w:val="00023B03"/>
    <w:rsid w:val="00031BF0"/>
    <w:rsid w:val="000D6E24"/>
    <w:rsid w:val="000E205D"/>
    <w:rsid w:val="001131AF"/>
    <w:rsid w:val="001373D4"/>
    <w:rsid w:val="001611EB"/>
    <w:rsid w:val="00163F2C"/>
    <w:rsid w:val="00177CD8"/>
    <w:rsid w:val="001B0A21"/>
    <w:rsid w:val="001B276D"/>
    <w:rsid w:val="001B2E37"/>
    <w:rsid w:val="001B6E6B"/>
    <w:rsid w:val="001C378F"/>
    <w:rsid w:val="00214F72"/>
    <w:rsid w:val="00245297"/>
    <w:rsid w:val="0026518A"/>
    <w:rsid w:val="002B2A44"/>
    <w:rsid w:val="002E440D"/>
    <w:rsid w:val="002F561F"/>
    <w:rsid w:val="003643D4"/>
    <w:rsid w:val="003B497E"/>
    <w:rsid w:val="00403782"/>
    <w:rsid w:val="004040EF"/>
    <w:rsid w:val="00463B20"/>
    <w:rsid w:val="004C4175"/>
    <w:rsid w:val="004E3822"/>
    <w:rsid w:val="005075AB"/>
    <w:rsid w:val="005435C2"/>
    <w:rsid w:val="0054623C"/>
    <w:rsid w:val="00553EA0"/>
    <w:rsid w:val="005A2A1E"/>
    <w:rsid w:val="005F2B10"/>
    <w:rsid w:val="00603A7F"/>
    <w:rsid w:val="00604CBE"/>
    <w:rsid w:val="006156B7"/>
    <w:rsid w:val="00677063"/>
    <w:rsid w:val="0068723B"/>
    <w:rsid w:val="00741919"/>
    <w:rsid w:val="007B152F"/>
    <w:rsid w:val="007B3638"/>
    <w:rsid w:val="008003C2"/>
    <w:rsid w:val="0086579F"/>
    <w:rsid w:val="00896BB3"/>
    <w:rsid w:val="008B57A8"/>
    <w:rsid w:val="00907F04"/>
    <w:rsid w:val="0091152E"/>
    <w:rsid w:val="009732BA"/>
    <w:rsid w:val="00A0777A"/>
    <w:rsid w:val="00A1504A"/>
    <w:rsid w:val="00A366B4"/>
    <w:rsid w:val="00A73B7B"/>
    <w:rsid w:val="00B20B62"/>
    <w:rsid w:val="00B24ACB"/>
    <w:rsid w:val="00B65151"/>
    <w:rsid w:val="00C217CB"/>
    <w:rsid w:val="00C83FA2"/>
    <w:rsid w:val="00CC19DF"/>
    <w:rsid w:val="00CC2A8A"/>
    <w:rsid w:val="00CC7E7D"/>
    <w:rsid w:val="00CD7D9E"/>
    <w:rsid w:val="00D05E2B"/>
    <w:rsid w:val="00D15703"/>
    <w:rsid w:val="00D54CED"/>
    <w:rsid w:val="00D81614"/>
    <w:rsid w:val="00E2242B"/>
    <w:rsid w:val="00E22B9C"/>
    <w:rsid w:val="00E2331F"/>
    <w:rsid w:val="00E45FB3"/>
    <w:rsid w:val="00E55ED3"/>
    <w:rsid w:val="00E71DD1"/>
    <w:rsid w:val="00E728A7"/>
    <w:rsid w:val="00E77405"/>
    <w:rsid w:val="00ED25C7"/>
    <w:rsid w:val="00ED5C0A"/>
    <w:rsid w:val="00F23269"/>
    <w:rsid w:val="00F323D9"/>
    <w:rsid w:val="00F45325"/>
    <w:rsid w:val="00F66F76"/>
    <w:rsid w:val="00F852CE"/>
    <w:rsid w:val="00FB1769"/>
    <w:rsid w:val="00FC4D10"/>
    <w:rsid w:val="00FE069C"/>
    <w:rsid w:val="00FF71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C0A"/>
    <w:pPr>
      <w:spacing w:line="360" w:lineRule="auto"/>
    </w:pPr>
    <w:rPr>
      <w:rFonts w:ascii="Times" w:hAnsi="Time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3B7B"/>
    <w:pPr>
      <w:ind w:left="720"/>
      <w:contextualSpacing/>
    </w:pPr>
  </w:style>
  <w:style w:type="paragraph" w:styleId="Tekstdymka">
    <w:name w:val="Balloon Text"/>
    <w:basedOn w:val="Normalny"/>
    <w:link w:val="TekstdymkaZnak"/>
    <w:uiPriority w:val="99"/>
    <w:semiHidden/>
    <w:unhideWhenUsed/>
    <w:rsid w:val="001B6E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E6B"/>
    <w:rPr>
      <w:rFonts w:ascii="Tahoma" w:hAnsi="Tahoma" w:cs="Tahoma"/>
      <w:sz w:val="16"/>
      <w:szCs w:val="16"/>
    </w:rPr>
  </w:style>
  <w:style w:type="paragraph" w:styleId="Nagwek">
    <w:name w:val="header"/>
    <w:basedOn w:val="Normalny"/>
    <w:link w:val="NagwekZnak"/>
    <w:uiPriority w:val="99"/>
    <w:unhideWhenUsed/>
    <w:rsid w:val="007B15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52F"/>
    <w:rPr>
      <w:rFonts w:ascii="Times" w:hAnsi="Times"/>
      <w:sz w:val="24"/>
    </w:rPr>
  </w:style>
  <w:style w:type="paragraph" w:styleId="Stopka">
    <w:name w:val="footer"/>
    <w:basedOn w:val="Normalny"/>
    <w:link w:val="StopkaZnak"/>
    <w:uiPriority w:val="99"/>
    <w:unhideWhenUsed/>
    <w:rsid w:val="007B15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52F"/>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5C0A"/>
    <w:pPr>
      <w:spacing w:line="360" w:lineRule="auto"/>
    </w:pPr>
    <w:rPr>
      <w:rFonts w:ascii="Times" w:hAnsi="Time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3B7B"/>
    <w:pPr>
      <w:ind w:left="720"/>
      <w:contextualSpacing/>
    </w:pPr>
  </w:style>
  <w:style w:type="paragraph" w:styleId="Tekstdymka">
    <w:name w:val="Balloon Text"/>
    <w:basedOn w:val="Normalny"/>
    <w:link w:val="TekstdymkaZnak"/>
    <w:uiPriority w:val="99"/>
    <w:semiHidden/>
    <w:unhideWhenUsed/>
    <w:rsid w:val="001B6E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6E6B"/>
    <w:rPr>
      <w:rFonts w:ascii="Tahoma" w:hAnsi="Tahoma" w:cs="Tahoma"/>
      <w:sz w:val="16"/>
      <w:szCs w:val="16"/>
    </w:rPr>
  </w:style>
  <w:style w:type="paragraph" w:styleId="Nagwek">
    <w:name w:val="header"/>
    <w:basedOn w:val="Normalny"/>
    <w:link w:val="NagwekZnak"/>
    <w:uiPriority w:val="99"/>
    <w:unhideWhenUsed/>
    <w:rsid w:val="007B15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52F"/>
    <w:rPr>
      <w:rFonts w:ascii="Times" w:hAnsi="Times"/>
      <w:sz w:val="24"/>
    </w:rPr>
  </w:style>
  <w:style w:type="paragraph" w:styleId="Stopka">
    <w:name w:val="footer"/>
    <w:basedOn w:val="Normalny"/>
    <w:link w:val="StopkaZnak"/>
    <w:uiPriority w:val="99"/>
    <w:unhideWhenUsed/>
    <w:rsid w:val="007B15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52F"/>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48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3582</Words>
  <Characters>21493</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Podsiadło</dc:creator>
  <cp:lastModifiedBy>Gostkiewicz Marta</cp:lastModifiedBy>
  <cp:revision>2</cp:revision>
  <cp:lastPrinted>2017-06-06T10:53:00Z</cp:lastPrinted>
  <dcterms:created xsi:type="dcterms:W3CDTF">2017-06-06T13:36:00Z</dcterms:created>
  <dcterms:modified xsi:type="dcterms:W3CDTF">2017-06-06T13:36:00Z</dcterms:modified>
</cp:coreProperties>
</file>