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F1" w:rsidRPr="009446C9" w:rsidRDefault="005D0EF1" w:rsidP="009446C9">
      <w:pPr>
        <w:pStyle w:val="Nagwek1"/>
        <w:numPr>
          <w:ilvl w:val="0"/>
          <w:numId w:val="0"/>
        </w:numPr>
        <w:jc w:val="left"/>
        <w:rPr>
          <w:rFonts w:ascii="Arial Narrow" w:hAnsi="Arial Narrow"/>
          <w:color w:val="auto"/>
        </w:rPr>
      </w:pPr>
      <w:bookmarkStart w:id="0" w:name="_Toc477849343"/>
      <w:bookmarkStart w:id="1" w:name="_Ref413405367"/>
      <w:bookmarkStart w:id="2" w:name="_Ref413405230"/>
      <w:bookmarkStart w:id="3" w:name="_Toc383696253"/>
      <w:r w:rsidRPr="009446C9">
        <w:rPr>
          <w:rFonts w:ascii="Arial Narrow" w:hAnsi="Arial Narrow"/>
        </w:rPr>
        <w:t xml:space="preserve">NIK o realizacji projektu </w:t>
      </w:r>
      <w:r w:rsidR="009446C9">
        <w:rPr>
          <w:rFonts w:ascii="Arial Narrow" w:hAnsi="Arial Narrow"/>
        </w:rPr>
        <w:t xml:space="preserve">budowy mostu </w:t>
      </w:r>
      <w:r w:rsidRPr="009446C9">
        <w:rPr>
          <w:rFonts w:ascii="Arial Narrow" w:hAnsi="Arial Narrow"/>
        </w:rPr>
        <w:t>energetycznego Polska-Litwa</w:t>
      </w:r>
    </w:p>
    <w:p w:rsidR="005D0EF1" w:rsidRDefault="00263C40" w:rsidP="00355344">
      <w:pPr>
        <w:pStyle w:val="Nagwek1"/>
        <w:numPr>
          <w:ilvl w:val="0"/>
          <w:numId w:val="0"/>
        </w:numPr>
        <w:rPr>
          <w:rFonts w:ascii="Arial Narrow" w:hAnsi="Arial Narrow"/>
          <w:color w:val="auto"/>
        </w:rPr>
      </w:pPr>
      <w:r>
        <w:rPr>
          <w:rFonts w:ascii="Arial Narrow" w:hAnsi="Arial Narrow"/>
          <w:color w:val="auto"/>
        </w:rPr>
        <w:t>P</w:t>
      </w:r>
      <w:r w:rsidR="00355344">
        <w:rPr>
          <w:rFonts w:ascii="Arial Narrow" w:hAnsi="Arial Narrow"/>
          <w:color w:val="auto"/>
        </w:rPr>
        <w:t>ierwszy etap budowy mostu energetyczne</w:t>
      </w:r>
      <w:r>
        <w:rPr>
          <w:rFonts w:ascii="Arial Narrow" w:hAnsi="Arial Narrow"/>
          <w:color w:val="auto"/>
        </w:rPr>
        <w:t>go</w:t>
      </w:r>
      <w:r w:rsidR="00355344">
        <w:rPr>
          <w:rFonts w:ascii="Arial Narrow" w:hAnsi="Arial Narrow"/>
          <w:color w:val="auto"/>
        </w:rPr>
        <w:t xml:space="preserve"> Polska-Litwa </w:t>
      </w:r>
      <w:r>
        <w:rPr>
          <w:rFonts w:ascii="Arial Narrow" w:hAnsi="Arial Narrow"/>
          <w:color w:val="auto"/>
        </w:rPr>
        <w:t xml:space="preserve">zakończył się w przewidzianym terminie i w ramach zakładanych kosztów. Osiągnięto </w:t>
      </w:r>
      <w:r w:rsidR="00A3293C">
        <w:rPr>
          <w:rFonts w:ascii="Arial Narrow" w:hAnsi="Arial Narrow"/>
          <w:color w:val="auto"/>
        </w:rPr>
        <w:t xml:space="preserve"> zaplanowane </w:t>
      </w:r>
      <w:r>
        <w:rPr>
          <w:rFonts w:ascii="Arial Narrow" w:hAnsi="Arial Narrow"/>
          <w:color w:val="auto"/>
        </w:rPr>
        <w:t>cele:</w:t>
      </w:r>
      <w:r w:rsidR="00A05CAC">
        <w:rPr>
          <w:rFonts w:ascii="Arial Narrow" w:hAnsi="Arial Narrow"/>
          <w:color w:val="auto"/>
        </w:rPr>
        <w:t xml:space="preserve"> możliwość </w:t>
      </w:r>
      <w:proofErr w:type="spellStart"/>
      <w:r w:rsidR="00A05CAC">
        <w:rPr>
          <w:rFonts w:ascii="Arial Narrow" w:hAnsi="Arial Narrow"/>
          <w:color w:val="auto"/>
        </w:rPr>
        <w:t>przesyłu</w:t>
      </w:r>
      <w:proofErr w:type="spellEnd"/>
      <w:r w:rsidR="00A05CAC">
        <w:rPr>
          <w:rFonts w:ascii="Arial Narrow" w:hAnsi="Arial Narrow"/>
          <w:color w:val="auto"/>
        </w:rPr>
        <w:t xml:space="preserve"> energii elektrycznej o mocy</w:t>
      </w:r>
      <w:r>
        <w:rPr>
          <w:rFonts w:ascii="Arial Narrow" w:hAnsi="Arial Narrow"/>
          <w:color w:val="auto"/>
        </w:rPr>
        <w:t xml:space="preserve"> 500 MW </w:t>
      </w:r>
      <w:r w:rsidR="00355344">
        <w:rPr>
          <w:rFonts w:ascii="Arial Narrow" w:hAnsi="Arial Narrow"/>
          <w:color w:val="auto"/>
        </w:rPr>
        <w:t>i z</w:t>
      </w:r>
      <w:r>
        <w:rPr>
          <w:rFonts w:ascii="Arial Narrow" w:hAnsi="Arial Narrow"/>
          <w:color w:val="auto"/>
        </w:rPr>
        <w:t xml:space="preserve">większenie bezpieczeństwa energetycznego kraju. </w:t>
      </w:r>
      <w:r w:rsidR="00A3293C">
        <w:rPr>
          <w:rFonts w:ascii="Arial Narrow" w:hAnsi="Arial Narrow"/>
          <w:color w:val="auto"/>
        </w:rPr>
        <w:t xml:space="preserve">Także </w:t>
      </w:r>
      <w:r w:rsidR="00A05CAC">
        <w:rPr>
          <w:rFonts w:ascii="Arial Narrow" w:hAnsi="Arial Narrow"/>
          <w:color w:val="auto"/>
        </w:rPr>
        <w:t>w</w:t>
      </w:r>
      <w:r w:rsidRPr="00263C40">
        <w:rPr>
          <w:rFonts w:ascii="Arial Narrow" w:hAnsi="Arial Narrow"/>
          <w:color w:val="auto"/>
        </w:rPr>
        <w:t xml:space="preserve">ybór wykonawców i dostawców oraz nadzór nad inwestycją </w:t>
      </w:r>
      <w:r w:rsidR="00A3293C">
        <w:rPr>
          <w:rFonts w:ascii="Arial Narrow" w:hAnsi="Arial Narrow"/>
          <w:color w:val="auto"/>
        </w:rPr>
        <w:t xml:space="preserve">były </w:t>
      </w:r>
      <w:r w:rsidRPr="00263C40">
        <w:rPr>
          <w:rFonts w:ascii="Arial Narrow" w:hAnsi="Arial Narrow"/>
          <w:color w:val="auto"/>
        </w:rPr>
        <w:t xml:space="preserve">prowadzone prawidłowo. </w:t>
      </w:r>
      <w:r w:rsidR="002C3AE1">
        <w:rPr>
          <w:rFonts w:ascii="Arial Narrow" w:hAnsi="Arial Narrow"/>
          <w:color w:val="auto"/>
        </w:rPr>
        <w:t>Izba negatywnie oceni</w:t>
      </w:r>
      <w:r w:rsidR="008E11F9">
        <w:rPr>
          <w:rFonts w:ascii="Arial Narrow" w:hAnsi="Arial Narrow"/>
          <w:color w:val="auto"/>
        </w:rPr>
        <w:t>ł</w:t>
      </w:r>
      <w:r w:rsidR="002C3AE1">
        <w:rPr>
          <w:rFonts w:ascii="Arial Narrow" w:hAnsi="Arial Narrow"/>
          <w:color w:val="auto"/>
        </w:rPr>
        <w:t xml:space="preserve">a natomiast </w:t>
      </w:r>
      <w:r w:rsidRPr="00263C40">
        <w:rPr>
          <w:rFonts w:ascii="Arial Narrow" w:hAnsi="Arial Narrow"/>
          <w:color w:val="auto"/>
        </w:rPr>
        <w:t>sposób rozliczenia przez P</w:t>
      </w:r>
      <w:r>
        <w:rPr>
          <w:rFonts w:ascii="Arial Narrow" w:hAnsi="Arial Narrow"/>
          <w:color w:val="auto"/>
        </w:rPr>
        <w:t xml:space="preserve">olskie </w:t>
      </w:r>
      <w:r w:rsidRPr="00263C40">
        <w:rPr>
          <w:rFonts w:ascii="Arial Narrow" w:hAnsi="Arial Narrow"/>
          <w:color w:val="auto"/>
        </w:rPr>
        <w:t>S</w:t>
      </w:r>
      <w:r>
        <w:rPr>
          <w:rFonts w:ascii="Arial Narrow" w:hAnsi="Arial Narrow"/>
          <w:color w:val="auto"/>
        </w:rPr>
        <w:t xml:space="preserve">ieci </w:t>
      </w:r>
      <w:r w:rsidRPr="00263C40">
        <w:rPr>
          <w:rFonts w:ascii="Arial Narrow" w:hAnsi="Arial Narrow"/>
          <w:color w:val="auto"/>
        </w:rPr>
        <w:t>E</w:t>
      </w:r>
      <w:r>
        <w:rPr>
          <w:rFonts w:ascii="Arial Narrow" w:hAnsi="Arial Narrow"/>
          <w:color w:val="auto"/>
        </w:rPr>
        <w:t>lektroenergetyczne</w:t>
      </w:r>
      <w:r w:rsidRPr="00263C40">
        <w:rPr>
          <w:rFonts w:ascii="Arial Narrow" w:hAnsi="Arial Narrow"/>
          <w:color w:val="auto"/>
        </w:rPr>
        <w:t xml:space="preserve"> </w:t>
      </w:r>
      <w:r w:rsidR="00B41B44">
        <w:rPr>
          <w:rFonts w:ascii="Arial Narrow" w:hAnsi="Arial Narrow"/>
          <w:color w:val="auto"/>
        </w:rPr>
        <w:t>SA</w:t>
      </w:r>
      <w:r w:rsidR="00863D59">
        <w:rPr>
          <w:rFonts w:ascii="Arial Narrow" w:hAnsi="Arial Narrow"/>
          <w:color w:val="auto"/>
        </w:rPr>
        <w:t xml:space="preserve"> </w:t>
      </w:r>
      <w:r w:rsidRPr="00263C40">
        <w:rPr>
          <w:rFonts w:ascii="Arial Narrow" w:hAnsi="Arial Narrow"/>
          <w:color w:val="auto"/>
        </w:rPr>
        <w:t xml:space="preserve">oraz Instytut Nafty i Gazu </w:t>
      </w:r>
      <w:r w:rsidR="008E11F9">
        <w:rPr>
          <w:rFonts w:ascii="Arial Narrow" w:hAnsi="Arial Narrow"/>
          <w:color w:val="auto"/>
        </w:rPr>
        <w:t xml:space="preserve">unijnego </w:t>
      </w:r>
      <w:r w:rsidRPr="00263C40">
        <w:rPr>
          <w:rFonts w:ascii="Arial Narrow" w:hAnsi="Arial Narrow"/>
          <w:color w:val="auto"/>
        </w:rPr>
        <w:t xml:space="preserve">dofinansowania </w:t>
      </w:r>
      <w:r>
        <w:rPr>
          <w:rFonts w:ascii="Arial Narrow" w:hAnsi="Arial Narrow"/>
          <w:color w:val="auto"/>
        </w:rPr>
        <w:t>na zakup</w:t>
      </w:r>
      <w:r w:rsidRPr="00263C40">
        <w:rPr>
          <w:rFonts w:ascii="Arial Narrow" w:hAnsi="Arial Narrow"/>
          <w:color w:val="auto"/>
        </w:rPr>
        <w:t xml:space="preserve"> gruntów pod budowę </w:t>
      </w:r>
      <w:r>
        <w:rPr>
          <w:rFonts w:ascii="Arial Narrow" w:hAnsi="Arial Narrow"/>
          <w:color w:val="auto"/>
        </w:rPr>
        <w:t xml:space="preserve">jednej ze stacji </w:t>
      </w:r>
      <w:r w:rsidRPr="00263C40">
        <w:rPr>
          <w:rFonts w:ascii="Arial Narrow" w:hAnsi="Arial Narrow"/>
          <w:color w:val="auto"/>
        </w:rPr>
        <w:t>elektroenergetyczn</w:t>
      </w:r>
      <w:r>
        <w:rPr>
          <w:rFonts w:ascii="Arial Narrow" w:hAnsi="Arial Narrow"/>
          <w:color w:val="auto"/>
        </w:rPr>
        <w:t>ych</w:t>
      </w:r>
      <w:r w:rsidRPr="00263C40">
        <w:rPr>
          <w:rFonts w:ascii="Arial Narrow" w:hAnsi="Arial Narrow"/>
          <w:color w:val="auto"/>
        </w:rPr>
        <w:t>.</w:t>
      </w:r>
      <w:r w:rsidR="0036386A">
        <w:rPr>
          <w:rFonts w:ascii="Arial Narrow" w:hAnsi="Arial Narrow"/>
          <w:color w:val="auto"/>
        </w:rPr>
        <w:t xml:space="preserve"> Przyjęta w r</w:t>
      </w:r>
      <w:r w:rsidR="002C3AE1">
        <w:rPr>
          <w:rFonts w:ascii="Arial Narrow" w:hAnsi="Arial Narrow"/>
          <w:color w:val="auto"/>
        </w:rPr>
        <w:t>ozliczeniu cena rynkowa</w:t>
      </w:r>
      <w:r w:rsidR="00773857">
        <w:rPr>
          <w:rFonts w:ascii="Arial Narrow" w:hAnsi="Arial Narrow"/>
          <w:color w:val="auto"/>
        </w:rPr>
        <w:t xml:space="preserve"> </w:t>
      </w:r>
      <w:r w:rsidR="008E11F9">
        <w:rPr>
          <w:rFonts w:ascii="Arial Narrow" w:hAnsi="Arial Narrow"/>
          <w:color w:val="auto"/>
        </w:rPr>
        <w:t>zakupionych</w:t>
      </w:r>
      <w:r w:rsidR="002C3AE1">
        <w:rPr>
          <w:rFonts w:ascii="Arial Narrow" w:hAnsi="Arial Narrow"/>
          <w:color w:val="auto"/>
        </w:rPr>
        <w:t xml:space="preserve"> gruntów była </w:t>
      </w:r>
      <w:r w:rsidR="00764DA0">
        <w:rPr>
          <w:rFonts w:ascii="Arial Narrow" w:hAnsi="Arial Narrow"/>
          <w:color w:val="auto"/>
        </w:rPr>
        <w:t>wyższa od wynikającej z wyceny</w:t>
      </w:r>
      <w:r w:rsidR="00773857">
        <w:rPr>
          <w:rFonts w:ascii="Arial Narrow" w:hAnsi="Arial Narrow"/>
          <w:color w:val="auto"/>
        </w:rPr>
        <w:t xml:space="preserve"> </w:t>
      </w:r>
      <w:r w:rsidR="008D6812">
        <w:rPr>
          <w:rFonts w:ascii="Arial Narrow" w:hAnsi="Arial Narrow"/>
          <w:color w:val="auto"/>
        </w:rPr>
        <w:t>(</w:t>
      </w:r>
      <w:r w:rsidR="00B41B44">
        <w:rPr>
          <w:rFonts w:ascii="Arial Narrow" w:hAnsi="Arial Narrow"/>
          <w:color w:val="auto"/>
        </w:rPr>
        <w:t>aktualnej na moment zakupu</w:t>
      </w:r>
      <w:r w:rsidR="008D6812">
        <w:rPr>
          <w:rFonts w:ascii="Arial Narrow" w:hAnsi="Arial Narrow"/>
          <w:color w:val="auto"/>
        </w:rPr>
        <w:t>)</w:t>
      </w:r>
      <w:r w:rsidR="00863D59">
        <w:rPr>
          <w:rFonts w:ascii="Arial Narrow" w:hAnsi="Arial Narrow"/>
          <w:color w:val="auto"/>
        </w:rPr>
        <w:t xml:space="preserve">, </w:t>
      </w:r>
      <w:r w:rsidR="00773857">
        <w:rPr>
          <w:rFonts w:ascii="Arial Narrow" w:hAnsi="Arial Narrow"/>
          <w:color w:val="auto"/>
        </w:rPr>
        <w:t>co spowodowało zawyżenie</w:t>
      </w:r>
      <w:r w:rsidR="00CC5706">
        <w:rPr>
          <w:rFonts w:ascii="Arial Narrow" w:hAnsi="Arial Narrow"/>
          <w:color w:val="auto"/>
        </w:rPr>
        <w:t xml:space="preserve"> dofinansowania o </w:t>
      </w:r>
      <w:r w:rsidR="008E11F9">
        <w:rPr>
          <w:rFonts w:ascii="Arial Narrow" w:hAnsi="Arial Narrow"/>
          <w:color w:val="auto"/>
        </w:rPr>
        <w:t>ponad 2 miliony</w:t>
      </w:r>
      <w:r w:rsidR="00CB6FE2">
        <w:rPr>
          <w:rFonts w:ascii="Arial Narrow" w:hAnsi="Arial Narrow"/>
          <w:color w:val="auto"/>
        </w:rPr>
        <w:t xml:space="preserve"> zł</w:t>
      </w:r>
      <w:r w:rsidR="008E11F9">
        <w:rPr>
          <w:rFonts w:ascii="Arial Narrow" w:hAnsi="Arial Narrow"/>
          <w:color w:val="auto"/>
        </w:rPr>
        <w:t>otych</w:t>
      </w:r>
      <w:r w:rsidR="003A7C98">
        <w:rPr>
          <w:rFonts w:ascii="Arial Narrow" w:hAnsi="Arial Narrow"/>
          <w:color w:val="auto"/>
        </w:rPr>
        <w:t>.</w:t>
      </w:r>
    </w:p>
    <w:p w:rsidR="00263C40" w:rsidRDefault="00263C40" w:rsidP="00263C40"/>
    <w:p w:rsidR="00A447D4" w:rsidRDefault="00A447D4" w:rsidP="005504F6">
      <w:pPr>
        <w:pStyle w:val="AN12normalny"/>
        <w:spacing w:before="120" w:after="0"/>
      </w:pPr>
      <w:r w:rsidRPr="005504F6">
        <w:t>Całkowity koszt przygotowania i realizacji projektu mostu elektroenergetycznego Polska</w:t>
      </w:r>
      <w:r>
        <w:t>-</w:t>
      </w:r>
      <w:r w:rsidRPr="005504F6">
        <w:t>Litwa wyniósł 2 139 758,4 tys. zł (planowano 2 706 709 tys. zł), a kwota dofinansowania ze</w:t>
      </w:r>
      <w:r>
        <w:t xml:space="preserve"> </w:t>
      </w:r>
      <w:r w:rsidRPr="005504F6">
        <w:t xml:space="preserve">środków Programu Operacyjnego Infrastruktura i Środowisko 2007-2013 oraz Programu </w:t>
      </w:r>
      <w:r w:rsidRPr="005504F6">
        <w:rPr>
          <w:bCs/>
        </w:rPr>
        <w:t>Transeuropejskie Sieci Energetyczne</w:t>
      </w:r>
      <w:r w:rsidRPr="005504F6">
        <w:t xml:space="preserve"> wyniosła 904 409,5 tys. zł. W </w:t>
      </w:r>
      <w:r>
        <w:t>toku</w:t>
      </w:r>
      <w:r w:rsidRPr="005504F6">
        <w:t xml:space="preserve"> 14 postępowań o udzielenie zamówień publicznych</w:t>
      </w:r>
      <w:r>
        <w:t xml:space="preserve"> </w:t>
      </w:r>
      <w:r w:rsidR="00D721B4">
        <w:t xml:space="preserve">PSE </w:t>
      </w:r>
      <w:r>
        <w:t xml:space="preserve">SA </w:t>
      </w:r>
      <w:r w:rsidR="00D721B4">
        <w:t>(</w:t>
      </w:r>
      <w:r w:rsidR="00D721B4" w:rsidRPr="00962107">
        <w:t>Polskie Sieci Elektroenergetyczne</w:t>
      </w:r>
      <w:r w:rsidR="00B41B44">
        <w:t xml:space="preserve"> SA </w:t>
      </w:r>
      <w:r w:rsidR="00D721B4">
        <w:t xml:space="preserve">) </w:t>
      </w:r>
      <w:r>
        <w:t>zawarł</w:t>
      </w:r>
      <w:r w:rsidR="00D721B4">
        <w:t>a</w:t>
      </w:r>
      <w:r w:rsidRPr="005504F6">
        <w:t xml:space="preserve"> 16</w:t>
      </w:r>
      <w:r>
        <w:t xml:space="preserve"> </w:t>
      </w:r>
      <w:r w:rsidRPr="005504F6">
        <w:t>umów na realizację inwestycji i dostawy o łącznej wart</w:t>
      </w:r>
      <w:r w:rsidR="002B7DF2">
        <w:t xml:space="preserve">ości brutto 2158 014,8 tys. zł. </w:t>
      </w:r>
      <w:r w:rsidRPr="005504F6">
        <w:t>Na potrzeby realizacji zadań inwestycyjnych</w:t>
      </w:r>
      <w:r w:rsidRPr="005504F6">
        <w:rPr>
          <w:i/>
        </w:rPr>
        <w:t xml:space="preserve"> </w:t>
      </w:r>
      <w:r w:rsidR="006A32FA">
        <w:t>PSE</w:t>
      </w:r>
      <w:r w:rsidR="002B7DF2" w:rsidRPr="00962107">
        <w:t> </w:t>
      </w:r>
      <w:r w:rsidRPr="005504F6">
        <w:t>SA zakupił</w:t>
      </w:r>
      <w:r w:rsidR="00B41B44">
        <w:t>a</w:t>
      </w:r>
      <w:r w:rsidRPr="005504F6">
        <w:t xml:space="preserve"> 499 895 m</w:t>
      </w:r>
      <w:r w:rsidRPr="005504F6">
        <w:rPr>
          <w:vertAlign w:val="superscript"/>
        </w:rPr>
        <w:t>2</w:t>
      </w:r>
      <w:r w:rsidRPr="005504F6">
        <w:t xml:space="preserve"> gruntów za łączną kwotę 21 919,1 tys. zł.</w:t>
      </w:r>
    </w:p>
    <w:p w:rsidR="00263C40" w:rsidRDefault="005C7840" w:rsidP="005504F6">
      <w:pPr>
        <w:pStyle w:val="AN12normalny"/>
        <w:spacing w:before="120" w:after="0"/>
      </w:pPr>
      <w:r>
        <w:t>W pierwszym etapie z</w:t>
      </w:r>
      <w:r w:rsidRPr="005504F6">
        <w:t>budowano cztery linie elektroenergetyczne o łącznej długości torów prądowych 602,2 km i pięć stacji elektroenergetycznych oraz rozbudowano dwie stacje elektroenergetyczne.</w:t>
      </w:r>
      <w:r w:rsidR="002B7DF2">
        <w:t xml:space="preserve"> </w:t>
      </w:r>
      <w:r w:rsidR="002479D2" w:rsidRPr="005504F6">
        <w:t xml:space="preserve">Inwestycja </w:t>
      </w:r>
      <w:r w:rsidR="00E067F4">
        <w:t>wpisywała się w c</w:t>
      </w:r>
      <w:r w:rsidR="005504F6" w:rsidRPr="005504F6">
        <w:t xml:space="preserve">el, </w:t>
      </w:r>
      <w:r w:rsidR="00AC2FB5" w:rsidRPr="005504F6">
        <w:t>określon</w:t>
      </w:r>
      <w:r w:rsidR="00AC2FB5">
        <w:t>y</w:t>
      </w:r>
      <w:r w:rsidR="00AC2FB5" w:rsidRPr="005504F6">
        <w:t xml:space="preserve"> </w:t>
      </w:r>
      <w:r w:rsidR="005504F6" w:rsidRPr="005504F6">
        <w:t xml:space="preserve">w Polityce energetycznej do 2030 r., </w:t>
      </w:r>
      <w:r w:rsidR="00B260D9">
        <w:t xml:space="preserve">dotyczący </w:t>
      </w:r>
      <w:r w:rsidR="00AC2FB5" w:rsidRPr="005504F6">
        <w:t>rozbudow</w:t>
      </w:r>
      <w:r w:rsidR="00AC2FB5">
        <w:t>y</w:t>
      </w:r>
      <w:r w:rsidR="00AC2FB5" w:rsidRPr="005504F6">
        <w:t xml:space="preserve"> </w:t>
      </w:r>
      <w:r w:rsidR="005504F6" w:rsidRPr="005504F6">
        <w:t>możliwości wymiany energii przez Polskę z sąsiednimi systemami elektroenergetycznymi.</w:t>
      </w:r>
    </w:p>
    <w:p w:rsidR="005504F6" w:rsidRDefault="005504F6" w:rsidP="005504F6">
      <w:pPr>
        <w:pStyle w:val="AN12normalny"/>
        <w:spacing w:before="120" w:after="0"/>
      </w:pPr>
      <w:r w:rsidRPr="005504F6">
        <w:t xml:space="preserve">Nie potwierdziły się przewidywania analityków, że po połączeniu </w:t>
      </w:r>
      <w:r w:rsidR="002C3AE1">
        <w:t>krajowego</w:t>
      </w:r>
      <w:r w:rsidR="002C3AE1" w:rsidRPr="00962107">
        <w:t xml:space="preserve"> system</w:t>
      </w:r>
      <w:r w:rsidR="002C3AE1">
        <w:t>u elektroenergetycznego</w:t>
      </w:r>
      <w:r w:rsidR="002C3AE1" w:rsidRPr="00962107">
        <w:t xml:space="preserve"> </w:t>
      </w:r>
      <w:r w:rsidRPr="005504F6">
        <w:t xml:space="preserve">Polski i Litwy energia elektryczna będzie przesyłana do Polski tylko w okresach szczytowego zapotrzebowania, a saldo wymiany będzie zrównoważone. Po pierwszych miesiącach funkcjonowania </w:t>
      </w:r>
      <w:r>
        <w:t>mostu</w:t>
      </w:r>
      <w:r w:rsidRPr="005504F6">
        <w:t xml:space="preserve"> </w:t>
      </w:r>
      <w:proofErr w:type="spellStart"/>
      <w:r w:rsidRPr="005504F6">
        <w:t>przesył</w:t>
      </w:r>
      <w:proofErr w:type="spellEnd"/>
      <w:r w:rsidRPr="005504F6">
        <w:t xml:space="preserve"> energii elektrycznej z Litwy do Polski trzykrotnie </w:t>
      </w:r>
      <w:r>
        <w:t xml:space="preserve">przewyższał </w:t>
      </w:r>
      <w:proofErr w:type="spellStart"/>
      <w:r>
        <w:t>przesył</w:t>
      </w:r>
      <w:proofErr w:type="spellEnd"/>
      <w:r>
        <w:t xml:space="preserve"> w przeciwnym kierunku</w:t>
      </w:r>
      <w:r w:rsidRPr="005504F6">
        <w:t xml:space="preserve">. </w:t>
      </w:r>
      <w:r>
        <w:t>Mogło to wynikać z obniżenia cen energii na Litwie w efekcie uruchomienia</w:t>
      </w:r>
      <w:r w:rsidRPr="005504F6">
        <w:t xml:space="preserve"> połączenia elektroenergetycznego Szwecja</w:t>
      </w:r>
      <w:r>
        <w:t>-</w:t>
      </w:r>
      <w:r w:rsidRPr="005504F6">
        <w:t>Litwa.  Stosunkowo krótki okres funkcjonowania połączenia Polska–Litwa, do czasu zakończenia kontroli NIK, był niewystarczający dla wyciągnięcia pełnych wniosków odnośnie ekonomicznego wpływu tej inwestycji na krajowy rynek energii.</w:t>
      </w:r>
    </w:p>
    <w:p w:rsidR="003A7C98" w:rsidRDefault="003A7C98" w:rsidP="005504F6">
      <w:pPr>
        <w:pStyle w:val="AN12normalny"/>
        <w:spacing w:before="120" w:after="0"/>
      </w:pPr>
    </w:p>
    <w:p w:rsidR="003A7C98" w:rsidRDefault="003A7C98" w:rsidP="005504F6">
      <w:pPr>
        <w:pStyle w:val="AN12normalny"/>
        <w:spacing w:before="120" w:after="0"/>
      </w:pPr>
      <w:r w:rsidRPr="003A7C98">
        <w:lastRenderedPageBreak/>
        <w:drawing>
          <wp:inline distT="0" distB="0" distL="0" distR="0" wp14:anchorId="16858D47" wp14:editId="1C89A1BB">
            <wp:extent cx="5760720" cy="2327316"/>
            <wp:effectExtent l="0" t="0" r="11430" b="15875"/>
            <wp:docPr id="1" name="Wykres 1" title="Saldo wymiany energii elektrycznej z Litwą w MWh"/>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7C98" w:rsidRDefault="003A7C98" w:rsidP="005504F6">
      <w:pPr>
        <w:pStyle w:val="AN12normalny"/>
        <w:spacing w:before="120" w:after="0"/>
      </w:pPr>
      <w:bookmarkStart w:id="4" w:name="_GoBack"/>
      <w:bookmarkEnd w:id="4"/>
    </w:p>
    <w:p w:rsidR="0095338D" w:rsidRPr="0095338D" w:rsidRDefault="0095338D" w:rsidP="0095338D">
      <w:pPr>
        <w:pStyle w:val="AN12normalny"/>
        <w:spacing w:before="120" w:after="0"/>
      </w:pPr>
      <w:r w:rsidRPr="0095338D">
        <w:t xml:space="preserve">Kolejni ministrowie właściwi do spraw energii prawidłowo nadzorowali realizację </w:t>
      </w:r>
      <w:r>
        <w:t>inwestycji i</w:t>
      </w:r>
      <w:r w:rsidRPr="0095338D">
        <w:t xml:space="preserve"> rzetelnie wypełniali funkcję Instytucji Pośredniczącej.</w:t>
      </w:r>
      <w:r>
        <w:t xml:space="preserve"> PSE SA prawidłowo wybrał</w:t>
      </w:r>
      <w:r w:rsidR="00D721B4">
        <w:t>a</w:t>
      </w:r>
      <w:r w:rsidRPr="0095338D">
        <w:t xml:space="preserve"> wykonawców poszczególnych linii i stacji elektroenergetycznych oraz dostawców ich wyposażenia. Spółka zapewniła rzetelny nadzór nad realiza</w:t>
      </w:r>
      <w:r>
        <w:t>cją zadań zleconych wykonawcom.</w:t>
      </w:r>
    </w:p>
    <w:p w:rsidR="0095338D" w:rsidRPr="0095338D" w:rsidRDefault="0095338D" w:rsidP="0095338D">
      <w:pPr>
        <w:pStyle w:val="AN12normalny"/>
        <w:spacing w:before="120" w:after="0"/>
      </w:pPr>
      <w:r w:rsidRPr="0095338D">
        <w:t>Negatywna ocena NIK, z punktu widzenia legalności, dotyczy sposobu rozliczenia przez PSE SA i Instytut Nafty i Gazu w Krakowie P</w:t>
      </w:r>
      <w:r w:rsidR="0036386A">
        <w:t xml:space="preserve">aństwowy </w:t>
      </w:r>
      <w:r w:rsidRPr="0095338D">
        <w:t>I</w:t>
      </w:r>
      <w:r w:rsidR="0036386A">
        <w:t xml:space="preserve">nstytut </w:t>
      </w:r>
      <w:r w:rsidRPr="0095338D">
        <w:t>B</w:t>
      </w:r>
      <w:r w:rsidR="0036386A">
        <w:t>adawczy</w:t>
      </w:r>
      <w:r w:rsidRPr="0095338D">
        <w:t xml:space="preserve"> (pełniący rolę Instytucji Wdrażającej) dofinansowania zakupu gruntów pod budowę stacji elektroenergetycznej Ołtarzew ze środków UE. Doszło tam do zawyżenia kosztów kwalifikowalnych, powodujących nieuprawnione zwiększenie dofinansowania o kwotę 2 384,2 tys. zł.</w:t>
      </w:r>
    </w:p>
    <w:p w:rsidR="0095338D" w:rsidRPr="0095338D" w:rsidRDefault="005C7840" w:rsidP="0095338D">
      <w:pPr>
        <w:pStyle w:val="AN12normalny"/>
        <w:spacing w:before="120" w:after="0"/>
      </w:pPr>
      <w:r>
        <w:t xml:space="preserve">Inspektorzy stwierdzili </w:t>
      </w:r>
      <w:r w:rsidR="00044FE7">
        <w:t xml:space="preserve">także </w:t>
      </w:r>
      <w:r w:rsidR="0095338D" w:rsidRPr="0095338D">
        <w:t>nieprzestrzeganie prawa przez organy gminy Bakałarzewo, które nie dostosowały gminnych dokumentów planistycznych do Planu Zagospodarowania Przestrzennego Województwa Podlaskiego i nie zamieściły w nich przebiegu linii przesyłowej, stanowiącej część mostu energetycznego Polska-Litwa</w:t>
      </w:r>
      <w:r>
        <w:t xml:space="preserve">. Program zrealizowano terminowo tylko dzięki temu, że przebieg linii ujęto </w:t>
      </w:r>
      <w:r w:rsidR="0095338D" w:rsidRPr="0095338D">
        <w:t xml:space="preserve">w </w:t>
      </w:r>
      <w:r>
        <w:t xml:space="preserve">gminnych </w:t>
      </w:r>
      <w:r w:rsidR="0095338D" w:rsidRPr="0095338D">
        <w:t>dokumentach planistycznych na podstawie zarządzenia zastępczego Wojewody Podlaskiego.</w:t>
      </w:r>
    </w:p>
    <w:p w:rsidR="005C7840" w:rsidRPr="005C7840" w:rsidRDefault="005C7840" w:rsidP="005C7840">
      <w:pPr>
        <w:pStyle w:val="AN12normalny"/>
        <w:spacing w:before="120" w:after="0"/>
      </w:pPr>
      <w:r w:rsidRPr="005C7840">
        <w:t>Przepisy i prawa społeczności lokalnych nie zostały naruszone w procesie planowania inwestycji</w:t>
      </w:r>
      <w:r w:rsidR="00A447D4">
        <w:t>. PSE SA spełnił</w:t>
      </w:r>
      <w:r w:rsidR="00D721B4">
        <w:t>a</w:t>
      </w:r>
      <w:r w:rsidRPr="005C7840">
        <w:t xml:space="preserve"> wymagania formalne wynikające z obowiązujących przepisów. </w:t>
      </w:r>
      <w:r w:rsidR="00A447D4" w:rsidRPr="005504F6">
        <w:t xml:space="preserve">W trakcie planowania inwestycji zasięgano opinii zarządów województw oraz uzyskiwano opinie i uzgodnienia stosownych organów odnośnie przebiegu linii. W fazie realizacyjnej konsultowano szczegółowy przebieg linii na szczeblu gminnym, a wykonawcy starali się uwzględniać postulaty lokalnych społeczności i w niektórych przypadkach korygowali przebieg linii. Odszkodowania i wynagrodzenia dla właścicieli/użytkowników nieruchomości były ustalane w negocjacjach na podstawie sporządzanych każdorazowo operatów szacunkowych. W przypadku braku porozumienia z właścicielami nieruchomości stosowano przepisy art. 124 </w:t>
      </w:r>
      <w:r w:rsidR="00A447D4" w:rsidRPr="002A580D">
        <w:rPr>
          <w:i/>
        </w:rPr>
        <w:t>ustawy o gospodarce nieruchomościami</w:t>
      </w:r>
      <w:r w:rsidR="00A447D4" w:rsidRPr="005504F6">
        <w:rPr>
          <w:i/>
        </w:rPr>
        <w:t>.</w:t>
      </w:r>
    </w:p>
    <w:p w:rsidR="005D0EF1" w:rsidRPr="005504F6" w:rsidRDefault="005C7840" w:rsidP="00A447D4">
      <w:pPr>
        <w:pStyle w:val="AN12normalny"/>
        <w:spacing w:before="120" w:after="0"/>
      </w:pPr>
      <w:r w:rsidRPr="005C7840">
        <w:t xml:space="preserve">W ocenie NIK celowym było podjęcie przez PSE SA inwestycji przewidywanych do wykonania w drugim etapie projektu (tj. rozbudowy linii przesyłowych), chociaż nie jest ostatecznie przesądzone, że zostanie on przeprowadzony w zakładany początkowo sposób, tj. z wbudowaniem drugiej wstawki stałoprądowej i powiększeniem przepustowości połączenia Polska-Litwa do 1 000 MW. Zasadność ewentualnej budowy drugiego połączenia systemów elektroenergetycznych Polski i Litwy, które pozwoliłoby na ich synchronizację, </w:t>
      </w:r>
      <w:r w:rsidR="00A447D4">
        <w:t>była w trakcie analizowania.</w:t>
      </w:r>
    </w:p>
    <w:p w:rsidR="00877F47" w:rsidRDefault="00877F47" w:rsidP="00A447D4">
      <w:pPr>
        <w:pStyle w:val="Nagwek2"/>
      </w:pPr>
      <w:bookmarkStart w:id="5" w:name="_Toc477849346"/>
      <w:bookmarkStart w:id="6" w:name="_Toc383696406"/>
      <w:bookmarkStart w:id="7" w:name="_Toc383696255"/>
      <w:bookmarkEnd w:id="0"/>
      <w:bookmarkEnd w:id="1"/>
      <w:bookmarkEnd w:id="2"/>
      <w:bookmarkEnd w:id="3"/>
    </w:p>
    <w:p w:rsidR="005D0EF1" w:rsidRPr="00A447D4" w:rsidRDefault="005D0EF1" w:rsidP="00A447D4">
      <w:pPr>
        <w:pStyle w:val="Nagwek2"/>
      </w:pPr>
      <w:r w:rsidRPr="00A447D4">
        <w:t>Uwagi i wnioski</w:t>
      </w:r>
      <w:bookmarkEnd w:id="5"/>
    </w:p>
    <w:bookmarkEnd w:id="6"/>
    <w:bookmarkEnd w:id="7"/>
    <w:p w:rsidR="005D0EF1" w:rsidRPr="005504F6" w:rsidRDefault="005D0EF1" w:rsidP="005D0EF1">
      <w:pPr>
        <w:spacing w:before="120"/>
      </w:pPr>
      <w:r w:rsidRPr="005504F6">
        <w:t xml:space="preserve">1. Ocena skutków realizacji drugiego etapu połączenia jest utrudniona ze względu na brak opracowania aktualnej </w:t>
      </w:r>
      <w:r w:rsidRPr="005504F6">
        <w:rPr>
          <w:i/>
        </w:rPr>
        <w:t>Polityki energetycznej Polsk</w:t>
      </w:r>
      <w:r w:rsidRPr="001E721A">
        <w:rPr>
          <w:i/>
        </w:rPr>
        <w:t>i</w:t>
      </w:r>
      <w:r w:rsidRPr="005504F6">
        <w:t xml:space="preserve">, o której mowa w Rozdziale 3 </w:t>
      </w:r>
      <w:r w:rsidRPr="005504F6">
        <w:rPr>
          <w:i/>
        </w:rPr>
        <w:t>prawa energetycznego</w:t>
      </w:r>
      <w:r w:rsidRPr="005504F6">
        <w:t xml:space="preserve">. </w:t>
      </w:r>
      <w:r w:rsidRPr="005504F6">
        <w:rPr>
          <w:i/>
        </w:rPr>
        <w:t>Polityka energetyczna do 2030 r.</w:t>
      </w:r>
      <w:r w:rsidR="00626B4A">
        <w:t>,</w:t>
      </w:r>
      <w:r w:rsidRPr="005504F6">
        <w:t xml:space="preserve"> przyjęta przez Radę Ministrów 10 listopada 2009 r., zgodnie z art. 15 ust. 2 </w:t>
      </w:r>
      <w:r w:rsidRPr="005504F6">
        <w:rPr>
          <w:i/>
        </w:rPr>
        <w:t>prawa energetycznego</w:t>
      </w:r>
      <w:r w:rsidRPr="005504F6">
        <w:t xml:space="preserve"> powinna zostać zastąpiona nowym dokumentem po czterech latach, czyli termin opracowania nowej polityki energetycznej upłynął w listopadzie 2013 r., co było sygnalizowane przez NIK już w 2015 r</w:t>
      </w:r>
      <w:r w:rsidR="00626B4A">
        <w:t>.</w:t>
      </w:r>
    </w:p>
    <w:p w:rsidR="005D0EF1" w:rsidRPr="005504F6" w:rsidRDefault="005D0EF1" w:rsidP="005D0EF1">
      <w:pPr>
        <w:keepNext/>
        <w:spacing w:before="120"/>
      </w:pPr>
      <w:r w:rsidRPr="005504F6">
        <w:t>2. Po zakończeniu kontroli NIK została opracowana ostateczna wersja analizy rynkowej skutków dokonania połączenia elektr</w:t>
      </w:r>
      <w:r w:rsidR="00626B4A">
        <w:t>oenergetycznego Polski i Litwy</w:t>
      </w:r>
      <w:r w:rsidRPr="005504F6">
        <w:t xml:space="preserve">. Z podsumowania badań przeprowadzonych przez konsultantów wybranych przez PSE SA i </w:t>
      </w:r>
      <w:proofErr w:type="spellStart"/>
      <w:r w:rsidRPr="005504F6">
        <w:t>LitGrid</w:t>
      </w:r>
      <w:proofErr w:type="spellEnd"/>
      <w:r w:rsidRPr="005504F6">
        <w:t xml:space="preserve"> AB wynika, że korzyści ze zwiększenia przepustowości połączenia transgranicznego byłyby relatywnie większe dla Polski niż dla Litwy. </w:t>
      </w:r>
    </w:p>
    <w:p w:rsidR="005D0EF1" w:rsidRPr="005504F6" w:rsidRDefault="005D0EF1" w:rsidP="00A447D4">
      <w:pPr>
        <w:spacing w:before="120"/>
      </w:pPr>
      <w:r w:rsidRPr="005504F6">
        <w:t xml:space="preserve">3. Dotychczas brak </w:t>
      </w:r>
      <w:r w:rsidR="002A580D">
        <w:t xml:space="preserve">ostatecznych </w:t>
      </w:r>
      <w:r w:rsidRPr="005504F6">
        <w:t xml:space="preserve">uzgodnień </w:t>
      </w:r>
      <w:r w:rsidR="00626B4A">
        <w:t>co do</w:t>
      </w:r>
      <w:r w:rsidRPr="005504F6">
        <w:t xml:space="preserve"> realizacji drugiego etapu połączenia międzysystemowego. Minister Energii, Pełnomocnik Rządu do spraw Strategicznej Infrastruktury Energetycznej oraz PSE SA powinni</w:t>
      </w:r>
      <w:r w:rsidR="00626B4A">
        <w:t xml:space="preserve"> </w:t>
      </w:r>
      <w:r w:rsidRPr="005504F6">
        <w:t>zintensyfikować prace nad oceną zasadności dalszego zwiększenia zdolności wymiany transgranicznej z Litwą. Należy przy tym mieć na uwadze zapewnienie bezpieczeństwa energetycznego i gospodarczego kraju, a także interes końcowego odbiorcy energii elektrycznej. Rozbudowa połączeń międzysystemowych zwiększa bezpieczeństwo dostaw energii, a możliwość importu tańszej energii może pozytywnie wpływać na cenę płaconą przez końcowego odbiorcę. Stąd też, przy podejmowaniu dalszych decyzji odnośnie realizacji drugiego etapu analizowanego projektu, Minister Energii powinien rozważyć możliwie szeroki zakres okoliczności, uwzględniający pogodzenie racji wszystkich zainteresowanych stron.</w:t>
      </w:r>
    </w:p>
    <w:sectPr w:rsidR="005D0EF1" w:rsidRPr="005504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FA" w:rsidRDefault="00CB4EFA" w:rsidP="005D0EF1">
      <w:r>
        <w:separator/>
      </w:r>
    </w:p>
  </w:endnote>
  <w:endnote w:type="continuationSeparator" w:id="0">
    <w:p w:rsidR="00CB4EFA" w:rsidRDefault="00CB4EFA" w:rsidP="005D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FA" w:rsidRDefault="00CB4EFA" w:rsidP="005D0EF1">
      <w:r>
        <w:separator/>
      </w:r>
    </w:p>
  </w:footnote>
  <w:footnote w:type="continuationSeparator" w:id="0">
    <w:p w:rsidR="00CB4EFA" w:rsidRDefault="00CB4EFA" w:rsidP="005D0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44C9B"/>
    <w:multiLevelType w:val="multilevel"/>
    <w:tmpl w:val="A21227AE"/>
    <w:lvl w:ilvl="0">
      <w:start w:val="1"/>
      <w:numFmt w:val="decimal"/>
      <w:pStyle w:val="Nagwek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Nagwek3"/>
      <w:lvlText w:val="%1.%2.%3"/>
      <w:lvlJc w:val="left"/>
      <w:pPr>
        <w:ind w:left="1004" w:hanging="720"/>
      </w:pPr>
      <w:rPr>
        <w:rFonts w:ascii="Arial Narrow" w:hAnsi="Arial Narrow" w:cs="Times New Roman" w:hint="default"/>
        <w:b/>
        <w:color w:val="auto"/>
      </w:rPr>
    </w:lvl>
    <w:lvl w:ilvl="3">
      <w:start w:val="1"/>
      <w:numFmt w:val="decimal"/>
      <w:pStyle w:val="Nagwek4"/>
      <w:lvlText w:val="%1.%2.%3.%4"/>
      <w:lvlJc w:val="left"/>
      <w:pPr>
        <w:ind w:left="864" w:hanging="864"/>
      </w:pPr>
      <w:rPr>
        <w:rFonts w:ascii="Arial Narrow" w:hAnsi="Arial Narrow" w:cs="Times New Roman" w:hint="default"/>
        <w:i w:val="0"/>
        <w:color w:val="auto"/>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1">
    <w:nsid w:val="56401D64"/>
    <w:multiLevelType w:val="hybridMultilevel"/>
    <w:tmpl w:val="96F6CBBE"/>
    <w:lvl w:ilvl="0" w:tplc="E49CF0E4">
      <w:start w:val="1"/>
      <w:numFmt w:val="bullet"/>
      <w:lvlText w:val="•"/>
      <w:lvlJc w:val="left"/>
      <w:pPr>
        <w:tabs>
          <w:tab w:val="num" w:pos="720"/>
        </w:tabs>
        <w:ind w:left="720" w:hanging="360"/>
      </w:pPr>
      <w:rPr>
        <w:rFonts w:ascii="Arial" w:hAnsi="Arial" w:hint="default"/>
      </w:rPr>
    </w:lvl>
    <w:lvl w:ilvl="1" w:tplc="192AA0DC" w:tentative="1">
      <w:start w:val="1"/>
      <w:numFmt w:val="bullet"/>
      <w:lvlText w:val="•"/>
      <w:lvlJc w:val="left"/>
      <w:pPr>
        <w:tabs>
          <w:tab w:val="num" w:pos="1440"/>
        </w:tabs>
        <w:ind w:left="1440" w:hanging="360"/>
      </w:pPr>
      <w:rPr>
        <w:rFonts w:ascii="Arial" w:hAnsi="Arial" w:hint="default"/>
      </w:rPr>
    </w:lvl>
    <w:lvl w:ilvl="2" w:tplc="854C54B4" w:tentative="1">
      <w:start w:val="1"/>
      <w:numFmt w:val="bullet"/>
      <w:lvlText w:val="•"/>
      <w:lvlJc w:val="left"/>
      <w:pPr>
        <w:tabs>
          <w:tab w:val="num" w:pos="2160"/>
        </w:tabs>
        <w:ind w:left="2160" w:hanging="360"/>
      </w:pPr>
      <w:rPr>
        <w:rFonts w:ascii="Arial" w:hAnsi="Arial" w:hint="default"/>
      </w:rPr>
    </w:lvl>
    <w:lvl w:ilvl="3" w:tplc="0E86861C" w:tentative="1">
      <w:start w:val="1"/>
      <w:numFmt w:val="bullet"/>
      <w:lvlText w:val="•"/>
      <w:lvlJc w:val="left"/>
      <w:pPr>
        <w:tabs>
          <w:tab w:val="num" w:pos="2880"/>
        </w:tabs>
        <w:ind w:left="2880" w:hanging="360"/>
      </w:pPr>
      <w:rPr>
        <w:rFonts w:ascii="Arial" w:hAnsi="Arial" w:hint="default"/>
      </w:rPr>
    </w:lvl>
    <w:lvl w:ilvl="4" w:tplc="445AB518" w:tentative="1">
      <w:start w:val="1"/>
      <w:numFmt w:val="bullet"/>
      <w:lvlText w:val="•"/>
      <w:lvlJc w:val="left"/>
      <w:pPr>
        <w:tabs>
          <w:tab w:val="num" w:pos="3600"/>
        </w:tabs>
        <w:ind w:left="3600" w:hanging="360"/>
      </w:pPr>
      <w:rPr>
        <w:rFonts w:ascii="Arial" w:hAnsi="Arial" w:hint="default"/>
      </w:rPr>
    </w:lvl>
    <w:lvl w:ilvl="5" w:tplc="CDA83F9C" w:tentative="1">
      <w:start w:val="1"/>
      <w:numFmt w:val="bullet"/>
      <w:lvlText w:val="•"/>
      <w:lvlJc w:val="left"/>
      <w:pPr>
        <w:tabs>
          <w:tab w:val="num" w:pos="4320"/>
        </w:tabs>
        <w:ind w:left="4320" w:hanging="360"/>
      </w:pPr>
      <w:rPr>
        <w:rFonts w:ascii="Arial" w:hAnsi="Arial" w:hint="default"/>
      </w:rPr>
    </w:lvl>
    <w:lvl w:ilvl="6" w:tplc="B316D3E6" w:tentative="1">
      <w:start w:val="1"/>
      <w:numFmt w:val="bullet"/>
      <w:lvlText w:val="•"/>
      <w:lvlJc w:val="left"/>
      <w:pPr>
        <w:tabs>
          <w:tab w:val="num" w:pos="5040"/>
        </w:tabs>
        <w:ind w:left="5040" w:hanging="360"/>
      </w:pPr>
      <w:rPr>
        <w:rFonts w:ascii="Arial" w:hAnsi="Arial" w:hint="default"/>
      </w:rPr>
    </w:lvl>
    <w:lvl w:ilvl="7" w:tplc="C05055CE" w:tentative="1">
      <w:start w:val="1"/>
      <w:numFmt w:val="bullet"/>
      <w:lvlText w:val="•"/>
      <w:lvlJc w:val="left"/>
      <w:pPr>
        <w:tabs>
          <w:tab w:val="num" w:pos="5760"/>
        </w:tabs>
        <w:ind w:left="5760" w:hanging="360"/>
      </w:pPr>
      <w:rPr>
        <w:rFonts w:ascii="Arial" w:hAnsi="Arial" w:hint="default"/>
      </w:rPr>
    </w:lvl>
    <w:lvl w:ilvl="8" w:tplc="59EC44A4" w:tentative="1">
      <w:start w:val="1"/>
      <w:numFmt w:val="bullet"/>
      <w:lvlText w:val="•"/>
      <w:lvlJc w:val="left"/>
      <w:pPr>
        <w:tabs>
          <w:tab w:val="num" w:pos="6480"/>
        </w:tabs>
        <w:ind w:left="6480" w:hanging="360"/>
      </w:pPr>
      <w:rPr>
        <w:rFonts w:ascii="Arial" w:hAnsi="Arial" w:hint="default"/>
      </w:rPr>
    </w:lvl>
  </w:abstractNum>
  <w:abstractNum w:abstractNumId="2">
    <w:nsid w:val="718B298E"/>
    <w:multiLevelType w:val="hybridMultilevel"/>
    <w:tmpl w:val="BA18B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F1"/>
    <w:rsid w:val="00044FE7"/>
    <w:rsid w:val="000A0C77"/>
    <w:rsid w:val="00132F6C"/>
    <w:rsid w:val="001615D7"/>
    <w:rsid w:val="001E721A"/>
    <w:rsid w:val="002479D2"/>
    <w:rsid w:val="00263C40"/>
    <w:rsid w:val="002A580D"/>
    <w:rsid w:val="002B7DF2"/>
    <w:rsid w:val="002C3AE1"/>
    <w:rsid w:val="0031234F"/>
    <w:rsid w:val="00355344"/>
    <w:rsid w:val="0036386A"/>
    <w:rsid w:val="003A7C98"/>
    <w:rsid w:val="0047227E"/>
    <w:rsid w:val="004C78A3"/>
    <w:rsid w:val="004F0E39"/>
    <w:rsid w:val="00511CC7"/>
    <w:rsid w:val="005504F6"/>
    <w:rsid w:val="00571899"/>
    <w:rsid w:val="005C7840"/>
    <w:rsid w:val="005D0EF1"/>
    <w:rsid w:val="005F0086"/>
    <w:rsid w:val="00602351"/>
    <w:rsid w:val="00626B4A"/>
    <w:rsid w:val="00672653"/>
    <w:rsid w:val="006A32FA"/>
    <w:rsid w:val="006E7F8D"/>
    <w:rsid w:val="006F0937"/>
    <w:rsid w:val="00764DA0"/>
    <w:rsid w:val="00773857"/>
    <w:rsid w:val="00812229"/>
    <w:rsid w:val="00841221"/>
    <w:rsid w:val="00863D59"/>
    <w:rsid w:val="00867F1F"/>
    <w:rsid w:val="00877F47"/>
    <w:rsid w:val="008D6812"/>
    <w:rsid w:val="008E11F9"/>
    <w:rsid w:val="00942372"/>
    <w:rsid w:val="009446C9"/>
    <w:rsid w:val="0095338D"/>
    <w:rsid w:val="00A05CAC"/>
    <w:rsid w:val="00A3293C"/>
    <w:rsid w:val="00A44718"/>
    <w:rsid w:val="00A447D4"/>
    <w:rsid w:val="00A625C5"/>
    <w:rsid w:val="00AC2FB5"/>
    <w:rsid w:val="00AD3F5D"/>
    <w:rsid w:val="00B127B0"/>
    <w:rsid w:val="00B260D9"/>
    <w:rsid w:val="00B41B44"/>
    <w:rsid w:val="00B5483B"/>
    <w:rsid w:val="00B95341"/>
    <w:rsid w:val="00C16181"/>
    <w:rsid w:val="00C67268"/>
    <w:rsid w:val="00CA13E6"/>
    <w:rsid w:val="00CB4EFA"/>
    <w:rsid w:val="00CB6FE2"/>
    <w:rsid w:val="00CC5706"/>
    <w:rsid w:val="00D721B4"/>
    <w:rsid w:val="00D96971"/>
    <w:rsid w:val="00DB1640"/>
    <w:rsid w:val="00DB4D4C"/>
    <w:rsid w:val="00E067F4"/>
    <w:rsid w:val="00E43FB3"/>
    <w:rsid w:val="00E47B50"/>
    <w:rsid w:val="00E80B5B"/>
    <w:rsid w:val="00F02010"/>
    <w:rsid w:val="00F13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EF1"/>
    <w:pPr>
      <w:spacing w:after="0" w:line="240" w:lineRule="auto"/>
      <w:jc w:val="both"/>
    </w:pPr>
    <w:rPr>
      <w:rFonts w:ascii="Arial Narrow" w:eastAsia="Times New Roman" w:hAnsi="Arial Narrow" w:cs="Times New Roman"/>
      <w:sz w:val="24"/>
      <w:szCs w:val="24"/>
      <w:lang w:eastAsia="pl-PL"/>
    </w:rPr>
  </w:style>
  <w:style w:type="paragraph" w:styleId="Nagwek1">
    <w:name w:val="heading 1"/>
    <w:basedOn w:val="Normalny"/>
    <w:next w:val="Normalny"/>
    <w:link w:val="Nagwek1Znak"/>
    <w:qFormat/>
    <w:rsid w:val="005D0EF1"/>
    <w:pPr>
      <w:keepNext/>
      <w:keepLines/>
      <w:numPr>
        <w:numId w:val="1"/>
      </w:numPr>
      <w:spacing w:before="480"/>
      <w:outlineLvl w:val="0"/>
    </w:pPr>
    <w:rPr>
      <w:rFonts w:ascii="Cambria" w:hAnsi="Cambria"/>
      <w:b/>
      <w:bCs/>
      <w:color w:val="365F91"/>
      <w:sz w:val="28"/>
      <w:szCs w:val="28"/>
    </w:rPr>
  </w:style>
  <w:style w:type="paragraph" w:styleId="Nagwek2">
    <w:name w:val="heading 2"/>
    <w:basedOn w:val="Normalny"/>
    <w:next w:val="Normalny"/>
    <w:link w:val="Nagwek2Znak"/>
    <w:autoRedefine/>
    <w:unhideWhenUsed/>
    <w:qFormat/>
    <w:rsid w:val="00A447D4"/>
    <w:pPr>
      <w:keepNext/>
      <w:keepLines/>
      <w:spacing w:before="120"/>
      <w:ind w:left="567" w:hanging="567"/>
      <w:outlineLvl w:val="1"/>
    </w:pPr>
    <w:rPr>
      <w:b/>
      <w:bCs/>
    </w:rPr>
  </w:style>
  <w:style w:type="paragraph" w:styleId="Nagwek3">
    <w:name w:val="heading 3"/>
    <w:basedOn w:val="Normalny"/>
    <w:next w:val="Normalny"/>
    <w:link w:val="Nagwek3Znak"/>
    <w:semiHidden/>
    <w:unhideWhenUsed/>
    <w:qFormat/>
    <w:rsid w:val="005D0EF1"/>
    <w:pPr>
      <w:keepNext/>
      <w:keepLines/>
      <w:numPr>
        <w:ilvl w:val="2"/>
        <w:numId w:val="1"/>
      </w:numPr>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5D0EF1"/>
    <w:pPr>
      <w:keepNext/>
      <w:keepLines/>
      <w:numPr>
        <w:ilvl w:val="3"/>
        <w:numId w:val="1"/>
      </w:numPr>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5D0EF1"/>
    <w:pPr>
      <w:keepNext/>
      <w:keepLines/>
      <w:numPr>
        <w:ilvl w:val="4"/>
        <w:numId w:val="1"/>
      </w:numPr>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5D0EF1"/>
    <w:pPr>
      <w:keepNext/>
      <w:keepLines/>
      <w:numPr>
        <w:ilvl w:val="5"/>
        <w:numId w:val="1"/>
      </w:numPr>
      <w:spacing w:before="200"/>
      <w:outlineLvl w:val="5"/>
    </w:pPr>
    <w:rPr>
      <w:rFonts w:ascii="Cambria" w:hAnsi="Cambria"/>
      <w:i/>
      <w:iCs/>
      <w:color w:val="243F60"/>
    </w:rPr>
  </w:style>
  <w:style w:type="paragraph" w:styleId="Nagwek7">
    <w:name w:val="heading 7"/>
    <w:basedOn w:val="Normalny"/>
    <w:next w:val="Normalny"/>
    <w:link w:val="Nagwek7Znak"/>
    <w:semiHidden/>
    <w:unhideWhenUsed/>
    <w:qFormat/>
    <w:rsid w:val="005D0EF1"/>
    <w:pPr>
      <w:keepNext/>
      <w:keepLines/>
      <w:numPr>
        <w:ilvl w:val="6"/>
        <w:numId w:val="1"/>
      </w:numPr>
      <w:spacing w:before="200"/>
      <w:outlineLvl w:val="6"/>
    </w:pPr>
    <w:rPr>
      <w:rFonts w:ascii="Cambria" w:hAnsi="Cambria"/>
      <w:i/>
      <w:iCs/>
      <w:color w:val="404040"/>
    </w:rPr>
  </w:style>
  <w:style w:type="paragraph" w:styleId="Nagwek8">
    <w:name w:val="heading 8"/>
    <w:basedOn w:val="Normalny"/>
    <w:next w:val="Normalny"/>
    <w:link w:val="Nagwek8Znak"/>
    <w:semiHidden/>
    <w:unhideWhenUsed/>
    <w:qFormat/>
    <w:rsid w:val="005D0EF1"/>
    <w:pPr>
      <w:keepNext/>
      <w:keepLines/>
      <w:numPr>
        <w:ilvl w:val="7"/>
        <w:numId w:val="1"/>
      </w:numPr>
      <w:spacing w:before="200"/>
      <w:outlineLvl w:val="7"/>
    </w:pPr>
    <w:rPr>
      <w:rFonts w:ascii="Cambria" w:hAnsi="Cambria"/>
      <w:color w:val="4F81BD"/>
      <w:sz w:val="20"/>
      <w:szCs w:val="20"/>
    </w:rPr>
  </w:style>
  <w:style w:type="paragraph" w:styleId="Nagwek9">
    <w:name w:val="heading 9"/>
    <w:basedOn w:val="Normalny"/>
    <w:next w:val="Normalny"/>
    <w:link w:val="Nagwek9Znak"/>
    <w:semiHidden/>
    <w:unhideWhenUsed/>
    <w:qFormat/>
    <w:rsid w:val="005D0EF1"/>
    <w:pPr>
      <w:keepNext/>
      <w:keepLines/>
      <w:numPr>
        <w:ilvl w:val="8"/>
        <w:numId w:val="1"/>
      </w:numPr>
      <w:spacing w:before="200"/>
      <w:outlineLvl w:val="8"/>
    </w:pPr>
    <w:rPr>
      <w:rFonts w:ascii="Cambria" w:hAnsi="Cambria"/>
      <w:i/>
      <w:iCs/>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0EF1"/>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A447D4"/>
    <w:rPr>
      <w:rFonts w:ascii="Arial Narrow" w:eastAsia="Times New Roman" w:hAnsi="Arial Narrow" w:cs="Times New Roman"/>
      <w:b/>
      <w:bCs/>
      <w:sz w:val="24"/>
      <w:szCs w:val="24"/>
      <w:lang w:eastAsia="pl-PL"/>
    </w:rPr>
  </w:style>
  <w:style w:type="character" w:customStyle="1" w:styleId="Nagwek3Znak">
    <w:name w:val="Nagłówek 3 Znak"/>
    <w:basedOn w:val="Domylnaczcionkaakapitu"/>
    <w:link w:val="Nagwek3"/>
    <w:semiHidden/>
    <w:rsid w:val="005D0EF1"/>
    <w:rPr>
      <w:rFonts w:ascii="Cambria" w:eastAsia="Times New Roman" w:hAnsi="Cambria" w:cs="Times New Roman"/>
      <w:b/>
      <w:bCs/>
      <w:color w:val="4F81BD"/>
      <w:sz w:val="24"/>
      <w:szCs w:val="24"/>
      <w:lang w:eastAsia="pl-PL"/>
    </w:rPr>
  </w:style>
  <w:style w:type="character" w:customStyle="1" w:styleId="Nagwek4Znak">
    <w:name w:val="Nagłówek 4 Znak"/>
    <w:basedOn w:val="Domylnaczcionkaakapitu"/>
    <w:link w:val="Nagwek4"/>
    <w:semiHidden/>
    <w:rsid w:val="005D0EF1"/>
    <w:rPr>
      <w:rFonts w:ascii="Cambria" w:eastAsia="Times New Roman" w:hAnsi="Cambria" w:cs="Times New Roman"/>
      <w:b/>
      <w:bCs/>
      <w:i/>
      <w:iCs/>
      <w:color w:val="4F81BD"/>
      <w:sz w:val="24"/>
      <w:szCs w:val="24"/>
      <w:lang w:eastAsia="pl-PL"/>
    </w:rPr>
  </w:style>
  <w:style w:type="character" w:customStyle="1" w:styleId="Nagwek5Znak">
    <w:name w:val="Nagłówek 5 Znak"/>
    <w:basedOn w:val="Domylnaczcionkaakapitu"/>
    <w:link w:val="Nagwek5"/>
    <w:semiHidden/>
    <w:rsid w:val="005D0EF1"/>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semiHidden/>
    <w:rsid w:val="005D0EF1"/>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semiHidden/>
    <w:rsid w:val="005D0EF1"/>
    <w:rPr>
      <w:rFonts w:ascii="Cambria" w:eastAsia="Times New Roman" w:hAnsi="Cambria" w:cs="Times New Roman"/>
      <w:i/>
      <w:iCs/>
      <w:color w:val="404040"/>
      <w:sz w:val="24"/>
      <w:szCs w:val="24"/>
      <w:lang w:eastAsia="pl-PL"/>
    </w:rPr>
  </w:style>
  <w:style w:type="character" w:customStyle="1" w:styleId="Nagwek8Znak">
    <w:name w:val="Nagłówek 8 Znak"/>
    <w:basedOn w:val="Domylnaczcionkaakapitu"/>
    <w:link w:val="Nagwek8"/>
    <w:semiHidden/>
    <w:rsid w:val="005D0EF1"/>
    <w:rPr>
      <w:rFonts w:ascii="Cambria" w:eastAsia="Times New Roman" w:hAnsi="Cambria" w:cs="Times New Roman"/>
      <w:color w:val="4F81BD"/>
      <w:sz w:val="20"/>
      <w:szCs w:val="20"/>
      <w:lang w:eastAsia="pl-PL"/>
    </w:rPr>
  </w:style>
  <w:style w:type="character" w:customStyle="1" w:styleId="Nagwek9Znak">
    <w:name w:val="Nagłówek 9 Znak"/>
    <w:basedOn w:val="Domylnaczcionkaakapitu"/>
    <w:link w:val="Nagwek9"/>
    <w:semiHidden/>
    <w:rsid w:val="005D0EF1"/>
    <w:rPr>
      <w:rFonts w:ascii="Cambria" w:eastAsia="Times New Roman" w:hAnsi="Cambria" w:cs="Times New Roman"/>
      <w:i/>
      <w:iCs/>
      <w:color w:val="404040"/>
      <w:sz w:val="20"/>
      <w:szCs w:val="20"/>
      <w:lang w:eastAsia="pl-PL"/>
    </w:rPr>
  </w:style>
  <w:style w:type="character" w:customStyle="1" w:styleId="TekstprzypisudolnegoZnak">
    <w:name w:val="Tekst przypisu dolnego Znak"/>
    <w:aliases w:val="Podrozdział Znak,Footnote Znak,Podrozdzia3 Znak,Tekst przypisu Znak,Podrozdzia³ Znak,Tekst przypisu Znak Znak Znak Znak Znak1,Tekst przypisu Znak Znak Znak Znak Znak Znak,Tekst przypisu Znak Znak Znak Znak Znak Znak Znak Znak"/>
    <w:basedOn w:val="Domylnaczcionkaakapitu"/>
    <w:link w:val="Tekstprzypisudolnego"/>
    <w:semiHidden/>
    <w:locked/>
    <w:rsid w:val="005D0EF1"/>
    <w:rPr>
      <w:rFonts w:ascii="Arial Narrow" w:eastAsia="Times New Roman" w:hAnsi="Arial Narrow" w:cs="Times New Roman"/>
      <w:sz w:val="18"/>
    </w:rPr>
  </w:style>
  <w:style w:type="paragraph" w:styleId="Tekstprzypisudolnego">
    <w:name w:val="footnote text"/>
    <w:aliases w:val="Podrozdział,Footnote,Podrozdzia3,Tekst przypisu,Podrozdzia³,Tekst przypisu Znak Znak Znak Znak,Tekst przypisu Znak Znak Znak Znak Znak,Tekst przypisu Znak Znak Znak Znak Znak Znak Znak,Znak,Tekst przypisu dolnego Znak Znak,f"/>
    <w:basedOn w:val="Normalny"/>
    <w:link w:val="TekstprzypisudolnegoZnak"/>
    <w:semiHidden/>
    <w:unhideWhenUsed/>
    <w:qFormat/>
    <w:rsid w:val="005D0EF1"/>
    <w:pPr>
      <w:ind w:left="284" w:hanging="284"/>
    </w:pPr>
    <w:rPr>
      <w:sz w:val="18"/>
      <w:szCs w:val="22"/>
      <w:lang w:eastAsia="en-US"/>
    </w:rPr>
  </w:style>
  <w:style w:type="character" w:customStyle="1" w:styleId="TekstprzypisudolnegoZnak1">
    <w:name w:val="Tekst przypisu dolnego Znak1"/>
    <w:basedOn w:val="Domylnaczcionkaakapitu"/>
    <w:uiPriority w:val="99"/>
    <w:semiHidden/>
    <w:rsid w:val="005D0EF1"/>
    <w:rPr>
      <w:rFonts w:ascii="Arial Narrow" w:eastAsia="Times New Roman" w:hAnsi="Arial Narrow" w:cs="Times New Roman"/>
      <w:sz w:val="20"/>
      <w:szCs w:val="20"/>
      <w:lang w:eastAsia="pl-PL"/>
    </w:rPr>
  </w:style>
  <w:style w:type="character" w:customStyle="1" w:styleId="AkapitzlistZnak">
    <w:name w:val="Akapit z listą Znak"/>
    <w:basedOn w:val="Domylnaczcionkaakapitu"/>
    <w:link w:val="Akapitzlist"/>
    <w:uiPriority w:val="34"/>
    <w:locked/>
    <w:rsid w:val="005D0EF1"/>
    <w:rPr>
      <w:rFonts w:ascii="Arial Narrow" w:eastAsia="Times New Roman" w:hAnsi="Arial Narrow" w:cs="Times New Roman"/>
      <w:sz w:val="24"/>
      <w:szCs w:val="24"/>
    </w:rPr>
  </w:style>
  <w:style w:type="paragraph" w:styleId="Akapitzlist">
    <w:name w:val="List Paragraph"/>
    <w:basedOn w:val="Normalny"/>
    <w:link w:val="AkapitzlistZnak"/>
    <w:uiPriority w:val="34"/>
    <w:qFormat/>
    <w:rsid w:val="005D0EF1"/>
    <w:pPr>
      <w:ind w:left="720"/>
      <w:contextualSpacing/>
    </w:pPr>
    <w:rPr>
      <w:lang w:eastAsia="en-US"/>
    </w:rPr>
  </w:style>
  <w:style w:type="character" w:customStyle="1" w:styleId="AN12normalnyZnak">
    <w:name w:val="AN12_normalny Znak"/>
    <w:link w:val="AN12normalny"/>
    <w:locked/>
    <w:rsid w:val="005D0EF1"/>
    <w:rPr>
      <w:rFonts w:ascii="Arial Narrow" w:eastAsia="Times New Roman" w:hAnsi="Arial Narrow" w:cs="Times New Roman"/>
      <w:sz w:val="24"/>
      <w:szCs w:val="24"/>
    </w:rPr>
  </w:style>
  <w:style w:type="paragraph" w:customStyle="1" w:styleId="AN12normalny">
    <w:name w:val="AN12_normalny"/>
    <w:basedOn w:val="Normalny"/>
    <w:link w:val="AN12normalnyZnak"/>
    <w:qFormat/>
    <w:rsid w:val="005D0EF1"/>
    <w:pPr>
      <w:spacing w:after="120"/>
    </w:pPr>
    <w:rPr>
      <w:lang w:eastAsia="en-US"/>
    </w:rPr>
  </w:style>
  <w:style w:type="character" w:styleId="Odwoanieprzypisudolnego">
    <w:name w:val="footnote reference"/>
    <w:aliases w:val="Odwołanie przypisu,1_przypis,Footnote Reference Number,Footnote symbol,Footnote reference number,note TESI,Footnote Reference Superscript,EN Footnote Reference,Times 10 Point,Exposant 3 Point,fr,IAMO Footnote,SUPERS,ftref,Nota"/>
    <w:semiHidden/>
    <w:unhideWhenUsed/>
    <w:qFormat/>
    <w:rsid w:val="005D0EF1"/>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6E7F8D"/>
    <w:rPr>
      <w:sz w:val="16"/>
      <w:szCs w:val="16"/>
    </w:rPr>
  </w:style>
  <w:style w:type="paragraph" w:styleId="Tekstkomentarza">
    <w:name w:val="annotation text"/>
    <w:basedOn w:val="Normalny"/>
    <w:link w:val="TekstkomentarzaZnak"/>
    <w:uiPriority w:val="99"/>
    <w:semiHidden/>
    <w:unhideWhenUsed/>
    <w:rsid w:val="006E7F8D"/>
    <w:rPr>
      <w:sz w:val="20"/>
      <w:szCs w:val="20"/>
    </w:rPr>
  </w:style>
  <w:style w:type="character" w:customStyle="1" w:styleId="TekstkomentarzaZnak">
    <w:name w:val="Tekst komentarza Znak"/>
    <w:basedOn w:val="Domylnaczcionkaakapitu"/>
    <w:link w:val="Tekstkomentarza"/>
    <w:uiPriority w:val="99"/>
    <w:semiHidden/>
    <w:rsid w:val="006E7F8D"/>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E7F8D"/>
    <w:rPr>
      <w:b/>
      <w:bCs/>
    </w:rPr>
  </w:style>
  <w:style w:type="character" w:customStyle="1" w:styleId="TematkomentarzaZnak">
    <w:name w:val="Temat komentarza Znak"/>
    <w:basedOn w:val="TekstkomentarzaZnak"/>
    <w:link w:val="Tematkomentarza"/>
    <w:uiPriority w:val="99"/>
    <w:semiHidden/>
    <w:rsid w:val="006E7F8D"/>
    <w:rPr>
      <w:rFonts w:ascii="Arial Narrow" w:eastAsia="Times New Roman" w:hAnsi="Arial Narrow" w:cs="Times New Roman"/>
      <w:b/>
      <w:bCs/>
      <w:sz w:val="20"/>
      <w:szCs w:val="20"/>
      <w:lang w:eastAsia="pl-PL"/>
    </w:rPr>
  </w:style>
  <w:style w:type="paragraph" w:styleId="Tekstdymka">
    <w:name w:val="Balloon Text"/>
    <w:basedOn w:val="Normalny"/>
    <w:link w:val="TekstdymkaZnak"/>
    <w:uiPriority w:val="99"/>
    <w:semiHidden/>
    <w:unhideWhenUsed/>
    <w:rsid w:val="006E7F8D"/>
    <w:rPr>
      <w:rFonts w:ascii="Tahoma" w:hAnsi="Tahoma" w:cs="Tahoma"/>
      <w:sz w:val="16"/>
      <w:szCs w:val="16"/>
    </w:rPr>
  </w:style>
  <w:style w:type="character" w:customStyle="1" w:styleId="TekstdymkaZnak">
    <w:name w:val="Tekst dymka Znak"/>
    <w:basedOn w:val="Domylnaczcionkaakapitu"/>
    <w:link w:val="Tekstdymka"/>
    <w:uiPriority w:val="99"/>
    <w:semiHidden/>
    <w:rsid w:val="006E7F8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EF1"/>
    <w:pPr>
      <w:spacing w:after="0" w:line="240" w:lineRule="auto"/>
      <w:jc w:val="both"/>
    </w:pPr>
    <w:rPr>
      <w:rFonts w:ascii="Arial Narrow" w:eastAsia="Times New Roman" w:hAnsi="Arial Narrow" w:cs="Times New Roman"/>
      <w:sz w:val="24"/>
      <w:szCs w:val="24"/>
      <w:lang w:eastAsia="pl-PL"/>
    </w:rPr>
  </w:style>
  <w:style w:type="paragraph" w:styleId="Nagwek1">
    <w:name w:val="heading 1"/>
    <w:basedOn w:val="Normalny"/>
    <w:next w:val="Normalny"/>
    <w:link w:val="Nagwek1Znak"/>
    <w:qFormat/>
    <w:rsid w:val="005D0EF1"/>
    <w:pPr>
      <w:keepNext/>
      <w:keepLines/>
      <w:numPr>
        <w:numId w:val="1"/>
      </w:numPr>
      <w:spacing w:before="480"/>
      <w:outlineLvl w:val="0"/>
    </w:pPr>
    <w:rPr>
      <w:rFonts w:ascii="Cambria" w:hAnsi="Cambria"/>
      <w:b/>
      <w:bCs/>
      <w:color w:val="365F91"/>
      <w:sz w:val="28"/>
      <w:szCs w:val="28"/>
    </w:rPr>
  </w:style>
  <w:style w:type="paragraph" w:styleId="Nagwek2">
    <w:name w:val="heading 2"/>
    <w:basedOn w:val="Normalny"/>
    <w:next w:val="Normalny"/>
    <w:link w:val="Nagwek2Znak"/>
    <w:autoRedefine/>
    <w:unhideWhenUsed/>
    <w:qFormat/>
    <w:rsid w:val="00A447D4"/>
    <w:pPr>
      <w:keepNext/>
      <w:keepLines/>
      <w:spacing w:before="120"/>
      <w:ind w:left="567" w:hanging="567"/>
      <w:outlineLvl w:val="1"/>
    </w:pPr>
    <w:rPr>
      <w:b/>
      <w:bCs/>
    </w:rPr>
  </w:style>
  <w:style w:type="paragraph" w:styleId="Nagwek3">
    <w:name w:val="heading 3"/>
    <w:basedOn w:val="Normalny"/>
    <w:next w:val="Normalny"/>
    <w:link w:val="Nagwek3Znak"/>
    <w:semiHidden/>
    <w:unhideWhenUsed/>
    <w:qFormat/>
    <w:rsid w:val="005D0EF1"/>
    <w:pPr>
      <w:keepNext/>
      <w:keepLines/>
      <w:numPr>
        <w:ilvl w:val="2"/>
        <w:numId w:val="1"/>
      </w:numPr>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5D0EF1"/>
    <w:pPr>
      <w:keepNext/>
      <w:keepLines/>
      <w:numPr>
        <w:ilvl w:val="3"/>
        <w:numId w:val="1"/>
      </w:numPr>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5D0EF1"/>
    <w:pPr>
      <w:keepNext/>
      <w:keepLines/>
      <w:numPr>
        <w:ilvl w:val="4"/>
        <w:numId w:val="1"/>
      </w:numPr>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5D0EF1"/>
    <w:pPr>
      <w:keepNext/>
      <w:keepLines/>
      <w:numPr>
        <w:ilvl w:val="5"/>
        <w:numId w:val="1"/>
      </w:numPr>
      <w:spacing w:before="200"/>
      <w:outlineLvl w:val="5"/>
    </w:pPr>
    <w:rPr>
      <w:rFonts w:ascii="Cambria" w:hAnsi="Cambria"/>
      <w:i/>
      <w:iCs/>
      <w:color w:val="243F60"/>
    </w:rPr>
  </w:style>
  <w:style w:type="paragraph" w:styleId="Nagwek7">
    <w:name w:val="heading 7"/>
    <w:basedOn w:val="Normalny"/>
    <w:next w:val="Normalny"/>
    <w:link w:val="Nagwek7Znak"/>
    <w:semiHidden/>
    <w:unhideWhenUsed/>
    <w:qFormat/>
    <w:rsid w:val="005D0EF1"/>
    <w:pPr>
      <w:keepNext/>
      <w:keepLines/>
      <w:numPr>
        <w:ilvl w:val="6"/>
        <w:numId w:val="1"/>
      </w:numPr>
      <w:spacing w:before="200"/>
      <w:outlineLvl w:val="6"/>
    </w:pPr>
    <w:rPr>
      <w:rFonts w:ascii="Cambria" w:hAnsi="Cambria"/>
      <w:i/>
      <w:iCs/>
      <w:color w:val="404040"/>
    </w:rPr>
  </w:style>
  <w:style w:type="paragraph" w:styleId="Nagwek8">
    <w:name w:val="heading 8"/>
    <w:basedOn w:val="Normalny"/>
    <w:next w:val="Normalny"/>
    <w:link w:val="Nagwek8Znak"/>
    <w:semiHidden/>
    <w:unhideWhenUsed/>
    <w:qFormat/>
    <w:rsid w:val="005D0EF1"/>
    <w:pPr>
      <w:keepNext/>
      <w:keepLines/>
      <w:numPr>
        <w:ilvl w:val="7"/>
        <w:numId w:val="1"/>
      </w:numPr>
      <w:spacing w:before="200"/>
      <w:outlineLvl w:val="7"/>
    </w:pPr>
    <w:rPr>
      <w:rFonts w:ascii="Cambria" w:hAnsi="Cambria"/>
      <w:color w:val="4F81BD"/>
      <w:sz w:val="20"/>
      <w:szCs w:val="20"/>
    </w:rPr>
  </w:style>
  <w:style w:type="paragraph" w:styleId="Nagwek9">
    <w:name w:val="heading 9"/>
    <w:basedOn w:val="Normalny"/>
    <w:next w:val="Normalny"/>
    <w:link w:val="Nagwek9Znak"/>
    <w:semiHidden/>
    <w:unhideWhenUsed/>
    <w:qFormat/>
    <w:rsid w:val="005D0EF1"/>
    <w:pPr>
      <w:keepNext/>
      <w:keepLines/>
      <w:numPr>
        <w:ilvl w:val="8"/>
        <w:numId w:val="1"/>
      </w:numPr>
      <w:spacing w:before="200"/>
      <w:outlineLvl w:val="8"/>
    </w:pPr>
    <w:rPr>
      <w:rFonts w:ascii="Cambria" w:hAnsi="Cambria"/>
      <w:i/>
      <w:iCs/>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0EF1"/>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A447D4"/>
    <w:rPr>
      <w:rFonts w:ascii="Arial Narrow" w:eastAsia="Times New Roman" w:hAnsi="Arial Narrow" w:cs="Times New Roman"/>
      <w:b/>
      <w:bCs/>
      <w:sz w:val="24"/>
      <w:szCs w:val="24"/>
      <w:lang w:eastAsia="pl-PL"/>
    </w:rPr>
  </w:style>
  <w:style w:type="character" w:customStyle="1" w:styleId="Nagwek3Znak">
    <w:name w:val="Nagłówek 3 Znak"/>
    <w:basedOn w:val="Domylnaczcionkaakapitu"/>
    <w:link w:val="Nagwek3"/>
    <w:semiHidden/>
    <w:rsid w:val="005D0EF1"/>
    <w:rPr>
      <w:rFonts w:ascii="Cambria" w:eastAsia="Times New Roman" w:hAnsi="Cambria" w:cs="Times New Roman"/>
      <w:b/>
      <w:bCs/>
      <w:color w:val="4F81BD"/>
      <w:sz w:val="24"/>
      <w:szCs w:val="24"/>
      <w:lang w:eastAsia="pl-PL"/>
    </w:rPr>
  </w:style>
  <w:style w:type="character" w:customStyle="1" w:styleId="Nagwek4Znak">
    <w:name w:val="Nagłówek 4 Znak"/>
    <w:basedOn w:val="Domylnaczcionkaakapitu"/>
    <w:link w:val="Nagwek4"/>
    <w:semiHidden/>
    <w:rsid w:val="005D0EF1"/>
    <w:rPr>
      <w:rFonts w:ascii="Cambria" w:eastAsia="Times New Roman" w:hAnsi="Cambria" w:cs="Times New Roman"/>
      <w:b/>
      <w:bCs/>
      <w:i/>
      <w:iCs/>
      <w:color w:val="4F81BD"/>
      <w:sz w:val="24"/>
      <w:szCs w:val="24"/>
      <w:lang w:eastAsia="pl-PL"/>
    </w:rPr>
  </w:style>
  <w:style w:type="character" w:customStyle="1" w:styleId="Nagwek5Znak">
    <w:name w:val="Nagłówek 5 Znak"/>
    <w:basedOn w:val="Domylnaczcionkaakapitu"/>
    <w:link w:val="Nagwek5"/>
    <w:semiHidden/>
    <w:rsid w:val="005D0EF1"/>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semiHidden/>
    <w:rsid w:val="005D0EF1"/>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semiHidden/>
    <w:rsid w:val="005D0EF1"/>
    <w:rPr>
      <w:rFonts w:ascii="Cambria" w:eastAsia="Times New Roman" w:hAnsi="Cambria" w:cs="Times New Roman"/>
      <w:i/>
      <w:iCs/>
      <w:color w:val="404040"/>
      <w:sz w:val="24"/>
      <w:szCs w:val="24"/>
      <w:lang w:eastAsia="pl-PL"/>
    </w:rPr>
  </w:style>
  <w:style w:type="character" w:customStyle="1" w:styleId="Nagwek8Znak">
    <w:name w:val="Nagłówek 8 Znak"/>
    <w:basedOn w:val="Domylnaczcionkaakapitu"/>
    <w:link w:val="Nagwek8"/>
    <w:semiHidden/>
    <w:rsid w:val="005D0EF1"/>
    <w:rPr>
      <w:rFonts w:ascii="Cambria" w:eastAsia="Times New Roman" w:hAnsi="Cambria" w:cs="Times New Roman"/>
      <w:color w:val="4F81BD"/>
      <w:sz w:val="20"/>
      <w:szCs w:val="20"/>
      <w:lang w:eastAsia="pl-PL"/>
    </w:rPr>
  </w:style>
  <w:style w:type="character" w:customStyle="1" w:styleId="Nagwek9Znak">
    <w:name w:val="Nagłówek 9 Znak"/>
    <w:basedOn w:val="Domylnaczcionkaakapitu"/>
    <w:link w:val="Nagwek9"/>
    <w:semiHidden/>
    <w:rsid w:val="005D0EF1"/>
    <w:rPr>
      <w:rFonts w:ascii="Cambria" w:eastAsia="Times New Roman" w:hAnsi="Cambria" w:cs="Times New Roman"/>
      <w:i/>
      <w:iCs/>
      <w:color w:val="404040"/>
      <w:sz w:val="20"/>
      <w:szCs w:val="20"/>
      <w:lang w:eastAsia="pl-PL"/>
    </w:rPr>
  </w:style>
  <w:style w:type="character" w:customStyle="1" w:styleId="TekstprzypisudolnegoZnak">
    <w:name w:val="Tekst przypisu dolnego Znak"/>
    <w:aliases w:val="Podrozdział Znak,Footnote Znak,Podrozdzia3 Znak,Tekst przypisu Znak,Podrozdzia³ Znak,Tekst przypisu Znak Znak Znak Znak Znak1,Tekst przypisu Znak Znak Znak Znak Znak Znak,Tekst przypisu Znak Znak Znak Znak Znak Znak Znak Znak"/>
    <w:basedOn w:val="Domylnaczcionkaakapitu"/>
    <w:link w:val="Tekstprzypisudolnego"/>
    <w:semiHidden/>
    <w:locked/>
    <w:rsid w:val="005D0EF1"/>
    <w:rPr>
      <w:rFonts w:ascii="Arial Narrow" w:eastAsia="Times New Roman" w:hAnsi="Arial Narrow" w:cs="Times New Roman"/>
      <w:sz w:val="18"/>
    </w:rPr>
  </w:style>
  <w:style w:type="paragraph" w:styleId="Tekstprzypisudolnego">
    <w:name w:val="footnote text"/>
    <w:aliases w:val="Podrozdział,Footnote,Podrozdzia3,Tekst przypisu,Podrozdzia³,Tekst przypisu Znak Znak Znak Znak,Tekst przypisu Znak Znak Znak Znak Znak,Tekst przypisu Znak Znak Znak Znak Znak Znak Znak,Znak,Tekst przypisu dolnego Znak Znak,f"/>
    <w:basedOn w:val="Normalny"/>
    <w:link w:val="TekstprzypisudolnegoZnak"/>
    <w:semiHidden/>
    <w:unhideWhenUsed/>
    <w:qFormat/>
    <w:rsid w:val="005D0EF1"/>
    <w:pPr>
      <w:ind w:left="284" w:hanging="284"/>
    </w:pPr>
    <w:rPr>
      <w:sz w:val="18"/>
      <w:szCs w:val="22"/>
      <w:lang w:eastAsia="en-US"/>
    </w:rPr>
  </w:style>
  <w:style w:type="character" w:customStyle="1" w:styleId="TekstprzypisudolnegoZnak1">
    <w:name w:val="Tekst przypisu dolnego Znak1"/>
    <w:basedOn w:val="Domylnaczcionkaakapitu"/>
    <w:uiPriority w:val="99"/>
    <w:semiHidden/>
    <w:rsid w:val="005D0EF1"/>
    <w:rPr>
      <w:rFonts w:ascii="Arial Narrow" w:eastAsia="Times New Roman" w:hAnsi="Arial Narrow" w:cs="Times New Roman"/>
      <w:sz w:val="20"/>
      <w:szCs w:val="20"/>
      <w:lang w:eastAsia="pl-PL"/>
    </w:rPr>
  </w:style>
  <w:style w:type="character" w:customStyle="1" w:styleId="AkapitzlistZnak">
    <w:name w:val="Akapit z listą Znak"/>
    <w:basedOn w:val="Domylnaczcionkaakapitu"/>
    <w:link w:val="Akapitzlist"/>
    <w:uiPriority w:val="34"/>
    <w:locked/>
    <w:rsid w:val="005D0EF1"/>
    <w:rPr>
      <w:rFonts w:ascii="Arial Narrow" w:eastAsia="Times New Roman" w:hAnsi="Arial Narrow" w:cs="Times New Roman"/>
      <w:sz w:val="24"/>
      <w:szCs w:val="24"/>
    </w:rPr>
  </w:style>
  <w:style w:type="paragraph" w:styleId="Akapitzlist">
    <w:name w:val="List Paragraph"/>
    <w:basedOn w:val="Normalny"/>
    <w:link w:val="AkapitzlistZnak"/>
    <w:uiPriority w:val="34"/>
    <w:qFormat/>
    <w:rsid w:val="005D0EF1"/>
    <w:pPr>
      <w:ind w:left="720"/>
      <w:contextualSpacing/>
    </w:pPr>
    <w:rPr>
      <w:lang w:eastAsia="en-US"/>
    </w:rPr>
  </w:style>
  <w:style w:type="character" w:customStyle="1" w:styleId="AN12normalnyZnak">
    <w:name w:val="AN12_normalny Znak"/>
    <w:link w:val="AN12normalny"/>
    <w:locked/>
    <w:rsid w:val="005D0EF1"/>
    <w:rPr>
      <w:rFonts w:ascii="Arial Narrow" w:eastAsia="Times New Roman" w:hAnsi="Arial Narrow" w:cs="Times New Roman"/>
      <w:sz w:val="24"/>
      <w:szCs w:val="24"/>
    </w:rPr>
  </w:style>
  <w:style w:type="paragraph" w:customStyle="1" w:styleId="AN12normalny">
    <w:name w:val="AN12_normalny"/>
    <w:basedOn w:val="Normalny"/>
    <w:link w:val="AN12normalnyZnak"/>
    <w:qFormat/>
    <w:rsid w:val="005D0EF1"/>
    <w:pPr>
      <w:spacing w:after="120"/>
    </w:pPr>
    <w:rPr>
      <w:lang w:eastAsia="en-US"/>
    </w:rPr>
  </w:style>
  <w:style w:type="character" w:styleId="Odwoanieprzypisudolnego">
    <w:name w:val="footnote reference"/>
    <w:aliases w:val="Odwołanie przypisu,1_przypis,Footnote Reference Number,Footnote symbol,Footnote reference number,note TESI,Footnote Reference Superscript,EN Footnote Reference,Times 10 Point,Exposant 3 Point,fr,IAMO Footnote,SUPERS,ftref,Nota"/>
    <w:semiHidden/>
    <w:unhideWhenUsed/>
    <w:qFormat/>
    <w:rsid w:val="005D0EF1"/>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6E7F8D"/>
    <w:rPr>
      <w:sz w:val="16"/>
      <w:szCs w:val="16"/>
    </w:rPr>
  </w:style>
  <w:style w:type="paragraph" w:styleId="Tekstkomentarza">
    <w:name w:val="annotation text"/>
    <w:basedOn w:val="Normalny"/>
    <w:link w:val="TekstkomentarzaZnak"/>
    <w:uiPriority w:val="99"/>
    <w:semiHidden/>
    <w:unhideWhenUsed/>
    <w:rsid w:val="006E7F8D"/>
    <w:rPr>
      <w:sz w:val="20"/>
      <w:szCs w:val="20"/>
    </w:rPr>
  </w:style>
  <w:style w:type="character" w:customStyle="1" w:styleId="TekstkomentarzaZnak">
    <w:name w:val="Tekst komentarza Znak"/>
    <w:basedOn w:val="Domylnaczcionkaakapitu"/>
    <w:link w:val="Tekstkomentarza"/>
    <w:uiPriority w:val="99"/>
    <w:semiHidden/>
    <w:rsid w:val="006E7F8D"/>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E7F8D"/>
    <w:rPr>
      <w:b/>
      <w:bCs/>
    </w:rPr>
  </w:style>
  <w:style w:type="character" w:customStyle="1" w:styleId="TematkomentarzaZnak">
    <w:name w:val="Temat komentarza Znak"/>
    <w:basedOn w:val="TekstkomentarzaZnak"/>
    <w:link w:val="Tematkomentarza"/>
    <w:uiPriority w:val="99"/>
    <w:semiHidden/>
    <w:rsid w:val="006E7F8D"/>
    <w:rPr>
      <w:rFonts w:ascii="Arial Narrow" w:eastAsia="Times New Roman" w:hAnsi="Arial Narrow" w:cs="Times New Roman"/>
      <w:b/>
      <w:bCs/>
      <w:sz w:val="20"/>
      <w:szCs w:val="20"/>
      <w:lang w:eastAsia="pl-PL"/>
    </w:rPr>
  </w:style>
  <w:style w:type="paragraph" w:styleId="Tekstdymka">
    <w:name w:val="Balloon Text"/>
    <w:basedOn w:val="Normalny"/>
    <w:link w:val="TekstdymkaZnak"/>
    <w:uiPriority w:val="99"/>
    <w:semiHidden/>
    <w:unhideWhenUsed/>
    <w:rsid w:val="006E7F8D"/>
    <w:rPr>
      <w:rFonts w:ascii="Tahoma" w:hAnsi="Tahoma" w:cs="Tahoma"/>
      <w:sz w:val="16"/>
      <w:szCs w:val="16"/>
    </w:rPr>
  </w:style>
  <w:style w:type="character" w:customStyle="1" w:styleId="TekstdymkaZnak">
    <w:name w:val="Tekst dymka Znak"/>
    <w:basedOn w:val="Domylnaczcionkaakapitu"/>
    <w:link w:val="Tekstdymka"/>
    <w:uiPriority w:val="99"/>
    <w:semiHidden/>
    <w:rsid w:val="006E7F8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4086">
      <w:bodyDiv w:val="1"/>
      <w:marLeft w:val="0"/>
      <w:marRight w:val="0"/>
      <w:marTop w:val="0"/>
      <w:marBottom w:val="0"/>
      <w:divBdr>
        <w:top w:val="none" w:sz="0" w:space="0" w:color="auto"/>
        <w:left w:val="none" w:sz="0" w:space="0" w:color="auto"/>
        <w:bottom w:val="none" w:sz="0" w:space="0" w:color="auto"/>
        <w:right w:val="none" w:sz="0" w:space="0" w:color="auto"/>
      </w:divBdr>
    </w:div>
    <w:div w:id="1495414436">
      <w:bodyDiv w:val="1"/>
      <w:marLeft w:val="0"/>
      <w:marRight w:val="0"/>
      <w:marTop w:val="0"/>
      <w:marBottom w:val="0"/>
      <w:divBdr>
        <w:top w:val="none" w:sz="0" w:space="0" w:color="auto"/>
        <w:left w:val="none" w:sz="0" w:space="0" w:color="auto"/>
        <w:bottom w:val="none" w:sz="0" w:space="0" w:color="auto"/>
        <w:right w:val="none" w:sz="0" w:space="0" w:color="auto"/>
      </w:divBdr>
      <w:divsChild>
        <w:div w:id="1739941748">
          <w:marLeft w:val="547"/>
          <w:marRight w:val="0"/>
          <w:marTop w:val="86"/>
          <w:marBottom w:val="0"/>
          <w:divBdr>
            <w:top w:val="none" w:sz="0" w:space="0" w:color="auto"/>
            <w:left w:val="none" w:sz="0" w:space="0" w:color="auto"/>
            <w:bottom w:val="none" w:sz="0" w:space="0" w:color="auto"/>
            <w:right w:val="none" w:sz="0" w:space="0" w:color="auto"/>
          </w:divBdr>
        </w:div>
        <w:div w:id="186144509">
          <w:marLeft w:val="547"/>
          <w:marRight w:val="0"/>
          <w:marTop w:val="86"/>
          <w:marBottom w:val="0"/>
          <w:divBdr>
            <w:top w:val="none" w:sz="0" w:space="0" w:color="auto"/>
            <w:left w:val="none" w:sz="0" w:space="0" w:color="auto"/>
            <w:bottom w:val="none" w:sz="0" w:space="0" w:color="auto"/>
            <w:right w:val="none" w:sz="0" w:space="0" w:color="auto"/>
          </w:divBdr>
        </w:div>
        <w:div w:id="1510675947">
          <w:marLeft w:val="547"/>
          <w:marRight w:val="0"/>
          <w:marTop w:val="86"/>
          <w:marBottom w:val="0"/>
          <w:divBdr>
            <w:top w:val="none" w:sz="0" w:space="0" w:color="auto"/>
            <w:left w:val="none" w:sz="0" w:space="0" w:color="auto"/>
            <w:bottom w:val="none" w:sz="0" w:space="0" w:color="auto"/>
            <w:right w:val="none" w:sz="0" w:space="0" w:color="auto"/>
          </w:divBdr>
        </w:div>
        <w:div w:id="191300850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57660380089064"/>
          <c:y val="0.18242780135787662"/>
          <c:w val="0.81520545768027919"/>
          <c:h val="0.56268030348570341"/>
        </c:manualLayout>
      </c:layout>
      <c:barChart>
        <c:barDir val="col"/>
        <c:grouping val="clustered"/>
        <c:varyColors val="0"/>
        <c:ser>
          <c:idx val="0"/>
          <c:order val="0"/>
          <c:tx>
            <c:strRef>
              <c:f>'[Nowy Arkusz programu Microsoft Excel 97–2003.xls]Arkusz2'!$D$6</c:f>
              <c:strCache>
                <c:ptCount val="1"/>
                <c:pt idx="0">
                  <c:v>import</c:v>
                </c:pt>
              </c:strCache>
            </c:strRef>
          </c:tx>
          <c:invertIfNegative val="0"/>
          <c:cat>
            <c:numRef>
              <c:f>'[Nowy Arkusz programu Microsoft Excel 97–2003.xls]Arkusz2'!$E$5:$F$5</c:f>
              <c:numCache>
                <c:formatCode>General</c:formatCode>
                <c:ptCount val="2"/>
                <c:pt idx="0">
                  <c:v>2016</c:v>
                </c:pt>
                <c:pt idx="1">
                  <c:v>2017</c:v>
                </c:pt>
              </c:numCache>
            </c:numRef>
          </c:cat>
          <c:val>
            <c:numRef>
              <c:f>'[Nowy Arkusz programu Microsoft Excel 97–2003.xls]Arkusz2'!$E$6:$F$6</c:f>
              <c:numCache>
                <c:formatCode>#,##0</c:formatCode>
                <c:ptCount val="2"/>
                <c:pt idx="0">
                  <c:v>1033544</c:v>
                </c:pt>
                <c:pt idx="1">
                  <c:v>226606</c:v>
                </c:pt>
              </c:numCache>
            </c:numRef>
          </c:val>
        </c:ser>
        <c:ser>
          <c:idx val="1"/>
          <c:order val="1"/>
          <c:tx>
            <c:strRef>
              <c:f>'[Nowy Arkusz programu Microsoft Excel 97–2003.xls]Arkusz2'!$D$7</c:f>
              <c:strCache>
                <c:ptCount val="1"/>
                <c:pt idx="0">
                  <c:v>eksport</c:v>
                </c:pt>
              </c:strCache>
            </c:strRef>
          </c:tx>
          <c:invertIfNegative val="0"/>
          <c:cat>
            <c:numRef>
              <c:f>'[Nowy Arkusz programu Microsoft Excel 97–2003.xls]Arkusz2'!$E$5:$F$5</c:f>
              <c:numCache>
                <c:formatCode>General</c:formatCode>
                <c:ptCount val="2"/>
                <c:pt idx="0">
                  <c:v>2016</c:v>
                </c:pt>
                <c:pt idx="1">
                  <c:v>2017</c:v>
                </c:pt>
              </c:numCache>
            </c:numRef>
          </c:cat>
          <c:val>
            <c:numRef>
              <c:f>'[Nowy Arkusz programu Microsoft Excel 97–2003.xls]Arkusz2'!$E$7:$F$7</c:f>
              <c:numCache>
                <c:formatCode>#,##0</c:formatCode>
                <c:ptCount val="2"/>
                <c:pt idx="0">
                  <c:v>440147</c:v>
                </c:pt>
                <c:pt idx="1">
                  <c:v>97900</c:v>
                </c:pt>
              </c:numCache>
            </c:numRef>
          </c:val>
        </c:ser>
        <c:dLbls>
          <c:showLegendKey val="0"/>
          <c:showVal val="0"/>
          <c:showCatName val="0"/>
          <c:showSerName val="0"/>
          <c:showPercent val="0"/>
          <c:showBubbleSize val="0"/>
        </c:dLbls>
        <c:gapWidth val="150"/>
        <c:axId val="42726528"/>
        <c:axId val="42728064"/>
      </c:barChart>
      <c:catAx>
        <c:axId val="42726528"/>
        <c:scaling>
          <c:orientation val="minMax"/>
        </c:scaling>
        <c:delete val="0"/>
        <c:axPos val="b"/>
        <c:numFmt formatCode="General" sourceLinked="1"/>
        <c:majorTickMark val="out"/>
        <c:minorTickMark val="none"/>
        <c:tickLblPos val="nextTo"/>
        <c:txPr>
          <a:bodyPr/>
          <a:lstStyle/>
          <a:p>
            <a:pPr>
              <a:defRPr sz="1200" b="1"/>
            </a:pPr>
            <a:endParaRPr lang="pl-PL"/>
          </a:p>
        </c:txPr>
        <c:crossAx val="42728064"/>
        <c:crosses val="autoZero"/>
        <c:auto val="1"/>
        <c:lblAlgn val="ctr"/>
        <c:lblOffset val="100"/>
        <c:noMultiLvlLbl val="0"/>
      </c:catAx>
      <c:valAx>
        <c:axId val="42728064"/>
        <c:scaling>
          <c:orientation val="minMax"/>
        </c:scaling>
        <c:delete val="0"/>
        <c:axPos val="l"/>
        <c:majorGridlines/>
        <c:numFmt formatCode="#,##0" sourceLinked="1"/>
        <c:majorTickMark val="out"/>
        <c:minorTickMark val="none"/>
        <c:tickLblPos val="nextTo"/>
        <c:txPr>
          <a:bodyPr/>
          <a:lstStyle/>
          <a:p>
            <a:pPr>
              <a:defRPr sz="1200"/>
            </a:pPr>
            <a:endParaRPr lang="pl-PL"/>
          </a:p>
        </c:txPr>
        <c:crossAx val="42726528"/>
        <c:crosses val="autoZero"/>
        <c:crossBetween val="between"/>
      </c:valAx>
    </c:plotArea>
    <c:legend>
      <c:legendPos val="r"/>
      <c:layout>
        <c:manualLayout>
          <c:xMode val="edge"/>
          <c:yMode val="edge"/>
          <c:x val="2.1457377055535149E-2"/>
          <c:y val="0.85743945875948391"/>
          <c:w val="0.96213236830124571"/>
          <c:h val="0.10064164866557865"/>
        </c:manualLayout>
      </c:layout>
      <c:overlay val="0"/>
      <c:txPr>
        <a:bodyPr/>
        <a:lstStyle/>
        <a:p>
          <a:pPr>
            <a:defRPr sz="1200" b="1"/>
          </a:pPr>
          <a:endParaRPr lang="pl-PL"/>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0.01538</cdr:x>
      <cdr:y>0.01672</cdr:y>
    </cdr:from>
    <cdr:to>
      <cdr:x>0.97538</cdr:x>
      <cdr:y>0.13712</cdr:y>
    </cdr:to>
    <cdr:sp macro="" textlink="">
      <cdr:nvSpPr>
        <cdr:cNvPr id="2" name="pole tekstowe 1"/>
        <cdr:cNvSpPr txBox="1"/>
      </cdr:nvSpPr>
      <cdr:spPr>
        <a:xfrm xmlns:a="http://schemas.openxmlformats.org/drawingml/2006/main">
          <a:off x="71438" y="47625"/>
          <a:ext cx="44577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pl-PL" sz="1200" b="1" dirty="0"/>
            <a:t>Saldo wymiany</a:t>
          </a:r>
          <a:r>
            <a:rPr lang="pl-PL" sz="1200" b="1" baseline="0" dirty="0"/>
            <a:t> energii elektrycznej z Litwą w </a:t>
          </a:r>
          <a:r>
            <a:rPr lang="pl-PL" sz="1200" b="1" baseline="0" dirty="0" smtClean="0"/>
            <a:t>MWh (2017 – styczeń i luty)</a:t>
          </a:r>
          <a:endParaRPr lang="pl-PL" sz="1200" b="1" dirty="0"/>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174</TotalTime>
  <Pages>1</Pages>
  <Words>998</Words>
  <Characters>5992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Najwyższa Izba Kontroli</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2017-06-22T06:13:00Z</dcterms:created>
  <dcterms:modified xsi:type="dcterms:W3CDTF">2017-06-23T09:49:00Z</dcterms:modified>
</cp:coreProperties>
</file>