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56" w:rsidRPr="00423E15" w:rsidRDefault="00C11E56" w:rsidP="00C11E5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23E15">
        <w:rPr>
          <w:rFonts w:ascii="Times New Roman" w:hAnsi="Times New Roman" w:cs="Times New Roman"/>
          <w:sz w:val="20"/>
          <w:szCs w:val="20"/>
        </w:rPr>
        <w:t>Podstawa prawna ogólna :</w:t>
      </w:r>
      <w:r w:rsidRPr="00423E15">
        <w:rPr>
          <w:rFonts w:ascii="Times New Roman" w:hAnsi="Times New Roman" w:cs="Times New Roman"/>
          <w:sz w:val="20"/>
          <w:szCs w:val="20"/>
        </w:rPr>
        <w:br/>
        <w:t>art. 56 ust. 1 pkt 2 Ustawy o ofercie; informacje bieżące i okresowe.</w:t>
      </w:r>
    </w:p>
    <w:p w:rsidR="00C11E56" w:rsidRPr="00423E15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6D3" w:rsidRPr="00423E15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Temat: Informacja o zamierzonej zmianie Statutu Spółki Erbud S.A</w:t>
      </w:r>
    </w:p>
    <w:p w:rsidR="00C11E56" w:rsidRPr="00423E15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3E15">
        <w:rPr>
          <w:rFonts w:ascii="Times New Roman" w:hAnsi="Times New Roman" w:cs="Times New Roman"/>
          <w:sz w:val="20"/>
          <w:szCs w:val="20"/>
          <w:u w:val="single"/>
        </w:rPr>
        <w:t>Treść raportu:</w:t>
      </w:r>
    </w:p>
    <w:p w:rsidR="00C11E56" w:rsidRPr="00423E15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1E56" w:rsidRPr="00423E15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Na podstawie § 38 ust. 1 pkt 2) Rozporządzenia Ministra Finansów z dnia 19 lutego 2009 r. </w:t>
      </w:r>
      <w:r w:rsidRPr="00423E15">
        <w:rPr>
          <w:rFonts w:ascii="Times New Roman" w:hAnsi="Times New Roman" w:cs="Times New Roman"/>
          <w:i/>
          <w:sz w:val="20"/>
          <w:szCs w:val="20"/>
        </w:rPr>
        <w:t xml:space="preserve">w sprawie informacji bieżących i okresowych przekazywanych przez emitentów papierów wartościowych oraz warunków uznawania za równoważne informacji wymaganych przepisami prawa państwa niebędącego państwem członkowskim </w:t>
      </w:r>
      <w:r w:rsidRPr="00423E15">
        <w:rPr>
          <w:rFonts w:ascii="Times New Roman" w:hAnsi="Times New Roman" w:cs="Times New Roman"/>
          <w:sz w:val="20"/>
          <w:szCs w:val="20"/>
        </w:rPr>
        <w:t xml:space="preserve">(Dz.U.2014.133 tekst jednolity), Spółka ERBUD S.A. informuje o podjęciu decyzji o zamiarze dokonania zmiany Statutu Spółki Erbud S.A. W związku z powyższym w porządku obrad najbliższego Nadzwyczajnego Walnego Zgromadzenia Erbud S.A., zwołanego na dzień </w:t>
      </w:r>
      <w:r w:rsidR="00B2167F" w:rsidRPr="00423E15">
        <w:rPr>
          <w:rFonts w:ascii="Times New Roman" w:hAnsi="Times New Roman" w:cs="Times New Roman"/>
          <w:sz w:val="20"/>
          <w:szCs w:val="20"/>
        </w:rPr>
        <w:t>19</w:t>
      </w:r>
      <w:r w:rsidRPr="00423E15">
        <w:rPr>
          <w:rFonts w:ascii="Times New Roman" w:hAnsi="Times New Roman" w:cs="Times New Roman"/>
          <w:sz w:val="20"/>
          <w:szCs w:val="20"/>
        </w:rPr>
        <w:t xml:space="preserve"> września 2017 roku, umieszczono punkty dotyczące zmiany Statutu Spółki. </w:t>
      </w:r>
    </w:p>
    <w:p w:rsidR="00C11E56" w:rsidRPr="00423E15" w:rsidRDefault="00C11E56" w:rsidP="00C11E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1E56" w:rsidRPr="00423E15" w:rsidRDefault="00C11E56" w:rsidP="00C11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Spółka Erbud S.A. publikuje </w:t>
      </w:r>
      <w:r w:rsidR="009326D3" w:rsidRPr="00423E15">
        <w:rPr>
          <w:rFonts w:ascii="Times New Roman" w:hAnsi="Times New Roman" w:cs="Times New Roman"/>
          <w:sz w:val="20"/>
          <w:szCs w:val="20"/>
        </w:rPr>
        <w:t xml:space="preserve">dotychczas obowiązujące postanowienia Statutu </w:t>
      </w:r>
      <w:r w:rsidR="00423E15" w:rsidRPr="00423E15">
        <w:rPr>
          <w:rFonts w:ascii="Times New Roman" w:hAnsi="Times New Roman" w:cs="Times New Roman"/>
          <w:sz w:val="20"/>
          <w:szCs w:val="20"/>
        </w:rPr>
        <w:t xml:space="preserve">Spółki Erbud S.A. </w:t>
      </w:r>
      <w:r w:rsidR="009326D3" w:rsidRPr="00423E15">
        <w:rPr>
          <w:rFonts w:ascii="Times New Roman" w:hAnsi="Times New Roman" w:cs="Times New Roman"/>
          <w:sz w:val="20"/>
          <w:szCs w:val="20"/>
        </w:rPr>
        <w:t>oraz treść proponowanych zmian</w:t>
      </w:r>
      <w:r w:rsidRPr="00423E15">
        <w:rPr>
          <w:rFonts w:ascii="Times New Roman" w:hAnsi="Times New Roman" w:cs="Times New Roman"/>
          <w:sz w:val="20"/>
          <w:szCs w:val="20"/>
        </w:rPr>
        <w:t>.</w:t>
      </w:r>
    </w:p>
    <w:p w:rsidR="00C11E56" w:rsidRPr="00423E15" w:rsidRDefault="00C11E56" w:rsidP="00C11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6D3" w:rsidRPr="00423E15" w:rsidRDefault="009326D3" w:rsidP="00423E1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23E15">
        <w:rPr>
          <w:rFonts w:ascii="Times New Roman" w:hAnsi="Times New Roman"/>
          <w:b/>
          <w:sz w:val="20"/>
          <w:szCs w:val="20"/>
        </w:rPr>
        <w:t>Zmiany</w:t>
      </w:r>
      <w:proofErr w:type="spellEnd"/>
      <w:r w:rsidRPr="00423E15">
        <w:rPr>
          <w:rFonts w:ascii="Times New Roman" w:hAnsi="Times New Roman"/>
          <w:b/>
          <w:sz w:val="20"/>
          <w:szCs w:val="20"/>
        </w:rPr>
        <w:t xml:space="preserve"> w</w:t>
      </w:r>
      <w:r w:rsidR="00B2167F" w:rsidRPr="00423E15">
        <w:rPr>
          <w:rFonts w:ascii="Times New Roman" w:hAnsi="Times New Roman"/>
          <w:b/>
          <w:sz w:val="20"/>
          <w:szCs w:val="20"/>
          <w:lang w:val="pl-PL"/>
        </w:rPr>
        <w:t xml:space="preserve"> § 5 Statutu </w:t>
      </w:r>
      <w:r w:rsidRPr="00423E15">
        <w:rPr>
          <w:rFonts w:ascii="Times New Roman" w:hAnsi="Times New Roman"/>
          <w:b/>
          <w:sz w:val="20"/>
          <w:szCs w:val="20"/>
        </w:rPr>
        <w:t>Spółki:</w:t>
      </w:r>
    </w:p>
    <w:p w:rsidR="00423E15" w:rsidRPr="00423E15" w:rsidRDefault="009326D3" w:rsidP="00423E15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3E15">
        <w:rPr>
          <w:rFonts w:ascii="Times New Roman" w:hAnsi="Times New Roman" w:cs="Times New Roman"/>
          <w:b/>
          <w:sz w:val="20"/>
          <w:szCs w:val="20"/>
        </w:rPr>
        <w:t>Dotychczasowa treść § 5 Statutu Spółki:</w:t>
      </w:r>
    </w:p>
    <w:p w:rsidR="009326D3" w:rsidRPr="00423E15" w:rsidRDefault="009326D3" w:rsidP="00423E15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§ 5</w:t>
      </w:r>
    </w:p>
    <w:p w:rsidR="009326D3" w:rsidRPr="00423E15" w:rsidRDefault="009326D3" w:rsidP="009326D3">
      <w:pPr>
        <w:pStyle w:val="Bodytext20"/>
        <w:numPr>
          <w:ilvl w:val="0"/>
          <w:numId w:val="34"/>
        </w:numPr>
        <w:shd w:val="clear" w:color="auto" w:fill="auto"/>
        <w:tabs>
          <w:tab w:val="left" w:pos="339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Kapitał zakładowy Spółki wynosi 1.281.185,90 (słownie: jeden milion dwieście osiemdziesiąt jeden tysięcy sto osiemdziesiąt pięć złotych 90/100) i dzieli się na: -</w:t>
      </w:r>
    </w:p>
    <w:p w:rsidR="009326D3" w:rsidRPr="00423E15" w:rsidRDefault="009326D3" w:rsidP="009326D3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2.000.000 akcji zwykłych na okaziciela serii A,</w:t>
      </w:r>
    </w:p>
    <w:p w:rsidR="009326D3" w:rsidRPr="00423E15" w:rsidRDefault="009326D3" w:rsidP="009326D3">
      <w:pPr>
        <w:pStyle w:val="Bodytext20"/>
        <w:numPr>
          <w:ilvl w:val="0"/>
          <w:numId w:val="6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8.000.000 akcji zwykłych na okaziciela serii B,</w:t>
      </w:r>
    </w:p>
    <w:p w:rsidR="009326D3" w:rsidRPr="00423E15" w:rsidRDefault="009326D3" w:rsidP="009326D3">
      <w:pPr>
        <w:pStyle w:val="Bodytext20"/>
        <w:numPr>
          <w:ilvl w:val="0"/>
          <w:numId w:val="6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71.025 akcji zwykłych na okaziciela serii C,</w:t>
      </w:r>
    </w:p>
    <w:p w:rsidR="009326D3" w:rsidRPr="00423E15" w:rsidRDefault="009326D3" w:rsidP="009326D3">
      <w:pPr>
        <w:pStyle w:val="Bodytext20"/>
        <w:numPr>
          <w:ilvl w:val="0"/>
          <w:numId w:val="6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2.500.000 akcji zwykłych na okaziciela serii D, oraz</w:t>
      </w:r>
    </w:p>
    <w:p w:rsidR="009326D3" w:rsidRPr="00423E15" w:rsidRDefault="009326D3" w:rsidP="009326D3">
      <w:pPr>
        <w:pStyle w:val="Bodytext20"/>
        <w:numPr>
          <w:ilvl w:val="0"/>
          <w:numId w:val="6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31.686 akcji zwykłych na okaziciela serii E,</w:t>
      </w:r>
    </w:p>
    <w:p w:rsidR="009326D3" w:rsidRPr="00423E15" w:rsidRDefault="009326D3" w:rsidP="009326D3">
      <w:pPr>
        <w:pStyle w:val="Bodytext20"/>
        <w:numPr>
          <w:ilvl w:val="0"/>
          <w:numId w:val="6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41.458 akcji zwykłych na okaziciela serii F,</w:t>
      </w:r>
    </w:p>
    <w:p w:rsidR="009326D3" w:rsidRPr="00423E15" w:rsidRDefault="009326D3" w:rsidP="009326D3">
      <w:pPr>
        <w:pStyle w:val="Bodytext20"/>
        <w:numPr>
          <w:ilvl w:val="0"/>
          <w:numId w:val="6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33.787 akcji zwykłych na okaziciela serii G,</w:t>
      </w:r>
    </w:p>
    <w:p w:rsidR="009326D3" w:rsidRPr="00423E15" w:rsidRDefault="009326D3" w:rsidP="009326D3">
      <w:pPr>
        <w:pStyle w:val="Bodytext20"/>
        <w:numPr>
          <w:ilvl w:val="0"/>
          <w:numId w:val="6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36.590 akcji zwykłych na okaziciela serii H,</w:t>
      </w:r>
    </w:p>
    <w:p w:rsidR="009326D3" w:rsidRPr="00423E15" w:rsidRDefault="009326D3" w:rsidP="009326D3">
      <w:pPr>
        <w:pStyle w:val="Bodytext20"/>
        <w:numPr>
          <w:ilvl w:val="0"/>
          <w:numId w:val="6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47.379 akcji zwykłych na okaziciela serii I,</w:t>
      </w:r>
    </w:p>
    <w:p w:rsidR="009326D3" w:rsidRPr="00423E15" w:rsidRDefault="009326D3" w:rsidP="009326D3">
      <w:pPr>
        <w:pStyle w:val="Bodytext20"/>
        <w:numPr>
          <w:ilvl w:val="0"/>
          <w:numId w:val="6"/>
        </w:numPr>
        <w:shd w:val="clear" w:color="auto" w:fill="auto"/>
        <w:tabs>
          <w:tab w:val="left" w:pos="406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49.934 akcji zwykłych na okaziciela serii J,</w:t>
      </w:r>
    </w:p>
    <w:p w:rsidR="009326D3" w:rsidRPr="00423E15" w:rsidRDefault="009326D3" w:rsidP="009326D3">
      <w:pPr>
        <w:pStyle w:val="Bodytext20"/>
        <w:shd w:val="clear" w:color="auto" w:fill="auto"/>
        <w:tabs>
          <w:tab w:val="left" w:leader="dot" w:pos="9023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o wartości nominalnej 0,10 zł (dziesięć groszy) każda akcja.</w:t>
      </w:r>
    </w:p>
    <w:p w:rsidR="009326D3" w:rsidRPr="00423E15" w:rsidRDefault="009326D3" w:rsidP="009326D3">
      <w:pPr>
        <w:pStyle w:val="Bodytext20"/>
        <w:numPr>
          <w:ilvl w:val="0"/>
          <w:numId w:val="34"/>
        </w:numPr>
        <w:shd w:val="clear" w:color="auto" w:fill="auto"/>
        <w:tabs>
          <w:tab w:val="left" w:pos="368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Kapitał zakładowy Spółki został w pełni opłacony przed zarejestrowaniem Spółki. </w:t>
      </w:r>
    </w:p>
    <w:p w:rsidR="009326D3" w:rsidRPr="00423E15" w:rsidRDefault="009326D3" w:rsidP="009326D3">
      <w:pPr>
        <w:pStyle w:val="Bodytext20"/>
        <w:numPr>
          <w:ilvl w:val="0"/>
          <w:numId w:val="34"/>
        </w:numPr>
        <w:shd w:val="clear" w:color="auto" w:fill="auto"/>
        <w:tabs>
          <w:tab w:val="left" w:pos="368"/>
          <w:tab w:val="left" w:leader="dot" w:pos="902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Akcje mogą być umarzane w trybie umorzenia dobrowolnego.</w:t>
      </w:r>
    </w:p>
    <w:p w:rsidR="009326D3" w:rsidRPr="00423E15" w:rsidRDefault="009326D3" w:rsidP="009326D3">
      <w:pPr>
        <w:pStyle w:val="Bodytext20"/>
        <w:numPr>
          <w:ilvl w:val="0"/>
          <w:numId w:val="34"/>
        </w:numPr>
        <w:shd w:val="clear" w:color="auto" w:fill="auto"/>
        <w:tabs>
          <w:tab w:val="left" w:pos="426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Spółka może emitować obligacje zamienne, obligacje z prawem pierwszeństwa oraz warranty subskrypcyjne.</w:t>
      </w:r>
    </w:p>
    <w:p w:rsidR="009326D3" w:rsidRPr="00423E15" w:rsidRDefault="009326D3" w:rsidP="009326D3">
      <w:pPr>
        <w:pStyle w:val="Bodytext20"/>
        <w:numPr>
          <w:ilvl w:val="0"/>
          <w:numId w:val="34"/>
        </w:numPr>
        <w:shd w:val="clear" w:color="auto" w:fill="auto"/>
        <w:tabs>
          <w:tab w:val="left" w:pos="368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Zarząd Spółki jest upoważniony, w okresie do dnia 8 grudnia 2012 roku, do podwyższenia kapitału zakładowego o kwotę nie większą niż 15.000,00 złotych (słownie: piętnaście tysięcy złotych) poprzez emisję akcji o wartości nominalnej 0,10 zł (słownie: dziesięć groszy) każda akcja (kapitał docelowy). Zarząd może wykonywać przyznane mu upoważnienie poprzez dokonanie jednego albo kilku podwyższeń kapitału zakładowego. Zarząd Spółki może wydawać akcje wyłącznie w zamian za wkłady pieniężne. Zarząd Spółki nie może wydawać akcji uprzywilejowanych lub przyznawać akcjonariuszowi osobistych uprawnień, o których mowa w art. 354 Kodeksu spółek handlowych. Niniejsze upoważnienie nie obejmuje uprawnienia do podwyższenia kapitału zakładowego ze środków własnych Spółki.</w:t>
      </w:r>
    </w:p>
    <w:p w:rsidR="009326D3" w:rsidRPr="00423E15" w:rsidRDefault="009326D3" w:rsidP="009326D3">
      <w:pPr>
        <w:pStyle w:val="Bodytext20"/>
        <w:numPr>
          <w:ilvl w:val="0"/>
          <w:numId w:val="34"/>
        </w:numPr>
        <w:shd w:val="clear" w:color="auto" w:fill="auto"/>
        <w:tabs>
          <w:tab w:val="left" w:pos="426"/>
        </w:tabs>
        <w:spacing w:line="298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Uchwała Zarządu Spółki podjęta zgodnie z ust. 5 powyżej, zastępuje uchwałę Walnego Zgromadzenia o podwyższeniu kapitału zakładowego i dla swej ważności wymaga formy aktu notarialnego.</w:t>
      </w:r>
      <w:r w:rsidRPr="00423E15">
        <w:rPr>
          <w:rFonts w:ascii="Times New Roman" w:hAnsi="Times New Roman" w:cs="Times New Roman"/>
          <w:sz w:val="20"/>
          <w:szCs w:val="20"/>
        </w:rPr>
        <w:tab/>
      </w:r>
    </w:p>
    <w:p w:rsidR="009326D3" w:rsidRPr="00423E15" w:rsidRDefault="009326D3" w:rsidP="009326D3">
      <w:pPr>
        <w:pStyle w:val="Bodytext20"/>
        <w:numPr>
          <w:ilvl w:val="0"/>
          <w:numId w:val="34"/>
        </w:numPr>
        <w:shd w:val="clear" w:color="auto" w:fill="auto"/>
        <w:tabs>
          <w:tab w:val="left" w:leader="dot" w:pos="9033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lastRenderedPageBreak/>
        <w:t>Zarząd Spółki może, za zgodą Rady Nadzorczej, wyłączyć lub ograniczyć prawo pierwszeństwa objęcia akcji Spółki przez dotychczasowych akcjonariuszy (prawo poboru) dotyczące podwyższenia kapitału zakładowego dokonywanego w ramach udzielonego Zarządowi w Statucie Spółki upoważnienia do podwyższenia kapitału zakładowego w granicach kapitału docelowego. Zgoda Rady Nadzorczej powinna być wyrażona w formie uchwały podjętej większością 3/4 głosów członków Rady Nadzorczej obecnych na posiedzeniu, w obecności co najmniej połowy liczby członków Rady Nadzorczej.</w:t>
      </w:r>
    </w:p>
    <w:p w:rsidR="009326D3" w:rsidRPr="00423E15" w:rsidRDefault="009326D3" w:rsidP="009326D3">
      <w:pPr>
        <w:pStyle w:val="Bodytext20"/>
        <w:numPr>
          <w:ilvl w:val="0"/>
          <w:numId w:val="34"/>
        </w:numPr>
        <w:shd w:val="clear" w:color="auto" w:fill="auto"/>
        <w:tabs>
          <w:tab w:val="left" w:leader="dot" w:pos="8007"/>
        </w:tabs>
        <w:spacing w:line="276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Zarząd Spółki jest upoważniony, w okresie 3 lat od wpisu upoważnienia do Krajowego Rejestru Sądowego do podwyższenia kapitału zakładowego o kwotę nie większą niż 15.000 zł (słownie: piętnaście tysięcy 00/100) poprzez emisję akcji o wartości nominalnej 0,10 zł (dziesięć groszy) każda akcja (kapitał docelowy). Zarząd może wykonywać przyznane mu upoważnienie poprzez dokonanie jednego albo kilku podwyższeń kapitału zakładowego. Zarząd może wydawać akcje wyłącznie w zamian za wkłady pieniężne. Zarząd spółki nie może wydawać akcji uprzywilejowanych lub przyznawać akcjonariuszowi osobistych uprawnień, o których mowa w art. 354 </w:t>
      </w:r>
      <w:r w:rsidRPr="00423E15">
        <w:rPr>
          <w:rFonts w:ascii="Times New Roman" w:hAnsi="Times New Roman" w:cs="Times New Roman"/>
          <w:i/>
          <w:iCs/>
          <w:sz w:val="20"/>
          <w:szCs w:val="20"/>
        </w:rPr>
        <w:t>Kodeksu spółek handlowych.</w:t>
      </w:r>
      <w:r w:rsidRPr="00423E15">
        <w:rPr>
          <w:rFonts w:ascii="Times New Roman" w:hAnsi="Times New Roman" w:cs="Times New Roman"/>
          <w:sz w:val="20"/>
          <w:szCs w:val="20"/>
        </w:rPr>
        <w:t xml:space="preserve"> Niniejsze upoważnienie nie obejmuje uprawnienia do podwyższenia kapitału zakładowego ze środków własnych Spółki.</w:t>
      </w:r>
    </w:p>
    <w:p w:rsidR="009326D3" w:rsidRPr="00423E15" w:rsidRDefault="009326D3" w:rsidP="009326D3">
      <w:pPr>
        <w:pStyle w:val="Bodytext20"/>
        <w:numPr>
          <w:ilvl w:val="0"/>
          <w:numId w:val="34"/>
        </w:numPr>
        <w:shd w:val="clear" w:color="auto" w:fill="auto"/>
        <w:tabs>
          <w:tab w:val="left" w:leader="dot" w:pos="9033"/>
        </w:tabs>
        <w:spacing w:after="330"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Uchwała Zarządu podjęta zgodnie z ust. 8 powyżej, zastępuje uchwałę Walnego Zgromadzenia o podwyższeniu kapitału zakładowego i dla swej ważności wymaga formy aktu notarialnego.</w:t>
      </w:r>
    </w:p>
    <w:p w:rsidR="009326D3" w:rsidRPr="00423E15" w:rsidRDefault="009326D3" w:rsidP="009326D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3E15">
        <w:rPr>
          <w:rFonts w:ascii="Times New Roman" w:hAnsi="Times New Roman" w:cs="Times New Roman"/>
          <w:b/>
          <w:sz w:val="20"/>
          <w:szCs w:val="20"/>
        </w:rPr>
        <w:t>Proponowane zmiany w § 5 Statutu Spółki:</w:t>
      </w:r>
    </w:p>
    <w:p w:rsidR="009326D3" w:rsidRPr="00423E15" w:rsidRDefault="00B2167F" w:rsidP="009326D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  <w:lang w:val="pl-PL"/>
        </w:rPr>
      </w:pPr>
      <w:r w:rsidRPr="00423E15">
        <w:rPr>
          <w:rFonts w:ascii="Times New Roman" w:hAnsi="Times New Roman"/>
          <w:b/>
          <w:sz w:val="20"/>
          <w:szCs w:val="20"/>
          <w:lang w:val="pl-PL"/>
        </w:rPr>
        <w:t>wykreś</w:t>
      </w:r>
      <w:r w:rsidR="009326D3" w:rsidRPr="00423E15">
        <w:rPr>
          <w:rFonts w:ascii="Times New Roman" w:hAnsi="Times New Roman"/>
          <w:b/>
          <w:sz w:val="20"/>
          <w:szCs w:val="20"/>
          <w:lang w:val="pl-PL"/>
        </w:rPr>
        <w:t>lenie</w:t>
      </w:r>
      <w:r w:rsidRPr="00423E15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9326D3" w:rsidRPr="00423E15">
        <w:rPr>
          <w:rFonts w:ascii="Times New Roman" w:hAnsi="Times New Roman"/>
          <w:b/>
          <w:sz w:val="20"/>
          <w:szCs w:val="20"/>
          <w:lang w:val="pl-PL"/>
        </w:rPr>
        <w:t>ustępów</w:t>
      </w:r>
      <w:r w:rsidRPr="00423E15">
        <w:rPr>
          <w:rFonts w:ascii="Times New Roman" w:hAnsi="Times New Roman"/>
          <w:b/>
          <w:sz w:val="20"/>
          <w:szCs w:val="20"/>
          <w:lang w:val="pl-PL"/>
        </w:rPr>
        <w:t xml:space="preserve"> o numerach: 5; 6; 8;</w:t>
      </w:r>
      <w:r w:rsidR="009326D3" w:rsidRPr="00423E15">
        <w:rPr>
          <w:rFonts w:ascii="Times New Roman" w:hAnsi="Times New Roman"/>
          <w:b/>
          <w:sz w:val="20"/>
          <w:szCs w:val="20"/>
          <w:lang w:val="pl-PL"/>
        </w:rPr>
        <w:t xml:space="preserve"> 9; </w:t>
      </w:r>
      <w:r w:rsidRPr="00423E15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</w:p>
    <w:p w:rsidR="00B2167F" w:rsidRPr="00423E15" w:rsidRDefault="00B2167F" w:rsidP="009326D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  <w:lang w:val="pl-PL"/>
        </w:rPr>
      </w:pPr>
      <w:r w:rsidRPr="00423E15">
        <w:rPr>
          <w:rFonts w:ascii="Times New Roman" w:hAnsi="Times New Roman"/>
          <w:b/>
          <w:sz w:val="20"/>
          <w:szCs w:val="20"/>
          <w:lang w:val="pl-PL"/>
        </w:rPr>
        <w:t xml:space="preserve">w związku </w:t>
      </w:r>
      <w:r w:rsidR="00423E15">
        <w:rPr>
          <w:rFonts w:ascii="Times New Roman" w:hAnsi="Times New Roman"/>
          <w:b/>
          <w:sz w:val="20"/>
          <w:szCs w:val="20"/>
          <w:lang w:val="pl-PL"/>
        </w:rPr>
        <w:t>wykreśleniem ustępów o numerach: 5; 6; 8; 9</w:t>
      </w:r>
      <w:r w:rsidR="009326D3" w:rsidRPr="00423E15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423E15">
        <w:rPr>
          <w:rFonts w:ascii="Times New Roman" w:hAnsi="Times New Roman"/>
          <w:b/>
          <w:sz w:val="20"/>
          <w:szCs w:val="20"/>
          <w:lang w:val="pl-PL"/>
        </w:rPr>
        <w:t xml:space="preserve">ustęp 7 </w:t>
      </w:r>
      <w:r w:rsidR="009326D3" w:rsidRPr="00423E15">
        <w:rPr>
          <w:rFonts w:ascii="Times New Roman" w:hAnsi="Times New Roman"/>
          <w:b/>
          <w:sz w:val="20"/>
          <w:szCs w:val="20"/>
          <w:lang w:val="pl-PL"/>
        </w:rPr>
        <w:t xml:space="preserve">w § 5 </w:t>
      </w:r>
      <w:r w:rsidRPr="00423E15">
        <w:rPr>
          <w:rFonts w:ascii="Times New Roman" w:hAnsi="Times New Roman"/>
          <w:b/>
          <w:sz w:val="20"/>
          <w:szCs w:val="20"/>
          <w:lang w:val="pl-PL"/>
        </w:rPr>
        <w:t>sta</w:t>
      </w:r>
      <w:r w:rsidR="009326D3" w:rsidRPr="00423E15">
        <w:rPr>
          <w:rFonts w:ascii="Times New Roman" w:hAnsi="Times New Roman"/>
          <w:b/>
          <w:sz w:val="20"/>
          <w:szCs w:val="20"/>
          <w:lang w:val="pl-PL"/>
        </w:rPr>
        <w:t>nie</w:t>
      </w:r>
      <w:r w:rsidRPr="00423E15">
        <w:rPr>
          <w:rFonts w:ascii="Times New Roman" w:hAnsi="Times New Roman"/>
          <w:b/>
          <w:sz w:val="20"/>
          <w:szCs w:val="20"/>
          <w:lang w:val="pl-PL"/>
        </w:rPr>
        <w:t xml:space="preserve"> się ustępem 5</w:t>
      </w:r>
      <w:r w:rsidR="0045257C" w:rsidRPr="00423E15">
        <w:rPr>
          <w:rFonts w:ascii="Times New Roman" w:hAnsi="Times New Roman"/>
          <w:b/>
          <w:sz w:val="20"/>
          <w:szCs w:val="20"/>
          <w:lang w:val="pl-PL"/>
        </w:rPr>
        <w:t>.</w:t>
      </w:r>
      <w:r w:rsidRPr="00423E15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B2167F" w:rsidRPr="00423E15" w:rsidRDefault="00B2167F" w:rsidP="00B2167F">
      <w:pPr>
        <w:pStyle w:val="Akapitzlist"/>
        <w:spacing w:after="120" w:line="276" w:lineRule="auto"/>
        <w:ind w:left="786" w:hanging="36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2167F" w:rsidRPr="00423E15" w:rsidRDefault="0045257C" w:rsidP="0045257C">
      <w:pPr>
        <w:pStyle w:val="Akapitzlist"/>
        <w:numPr>
          <w:ilvl w:val="0"/>
          <w:numId w:val="36"/>
        </w:numPr>
        <w:spacing w:after="120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23E15">
        <w:rPr>
          <w:rFonts w:ascii="Times New Roman" w:hAnsi="Times New Roman"/>
          <w:b/>
          <w:sz w:val="20"/>
          <w:szCs w:val="20"/>
        </w:rPr>
        <w:t>Zmiany</w:t>
      </w:r>
      <w:proofErr w:type="spellEnd"/>
      <w:r w:rsidRPr="00423E15">
        <w:rPr>
          <w:rFonts w:ascii="Times New Roman" w:hAnsi="Times New Roman"/>
          <w:b/>
          <w:sz w:val="20"/>
          <w:szCs w:val="20"/>
        </w:rPr>
        <w:t xml:space="preserve"> w § 11 </w:t>
      </w:r>
      <w:proofErr w:type="spellStart"/>
      <w:r w:rsidRPr="00423E15">
        <w:rPr>
          <w:rFonts w:ascii="Times New Roman" w:hAnsi="Times New Roman"/>
          <w:b/>
          <w:sz w:val="20"/>
          <w:szCs w:val="20"/>
        </w:rPr>
        <w:t>Statutu</w:t>
      </w:r>
      <w:proofErr w:type="spellEnd"/>
      <w:r w:rsidRPr="00423E1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23E15">
        <w:rPr>
          <w:rFonts w:ascii="Times New Roman" w:hAnsi="Times New Roman"/>
          <w:b/>
          <w:sz w:val="20"/>
          <w:szCs w:val="20"/>
        </w:rPr>
        <w:t>Spółki</w:t>
      </w:r>
      <w:proofErr w:type="spellEnd"/>
      <w:r w:rsidRPr="00423E15">
        <w:rPr>
          <w:rFonts w:ascii="Times New Roman" w:hAnsi="Times New Roman"/>
          <w:b/>
          <w:sz w:val="20"/>
          <w:szCs w:val="20"/>
        </w:rPr>
        <w:t>:</w:t>
      </w:r>
    </w:p>
    <w:p w:rsidR="0045257C" w:rsidRPr="00423E15" w:rsidRDefault="0045257C" w:rsidP="0045257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3E15">
        <w:rPr>
          <w:rFonts w:ascii="Times New Roman" w:hAnsi="Times New Roman" w:cs="Times New Roman"/>
          <w:b/>
          <w:sz w:val="20"/>
          <w:szCs w:val="20"/>
        </w:rPr>
        <w:t>Dotychczasowa treść § 11 Statutu Spółki:</w:t>
      </w:r>
    </w:p>
    <w:p w:rsidR="0045257C" w:rsidRPr="00423E15" w:rsidRDefault="0045257C" w:rsidP="0045257C">
      <w:pPr>
        <w:pStyle w:val="Bodytext20"/>
        <w:shd w:val="clear" w:color="auto" w:fill="auto"/>
        <w:spacing w:after="197" w:line="26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§ 11</w:t>
      </w:r>
    </w:p>
    <w:p w:rsidR="0045257C" w:rsidRPr="00423E15" w:rsidRDefault="0045257C" w:rsidP="0045257C">
      <w:pPr>
        <w:pStyle w:val="Bodytext20"/>
        <w:numPr>
          <w:ilvl w:val="0"/>
          <w:numId w:val="19"/>
        </w:numPr>
        <w:shd w:val="clear" w:color="auto" w:fill="auto"/>
        <w:tabs>
          <w:tab w:val="left" w:pos="426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W skład Rady Nadzorczej wchodzi od 5 do 7 członków, w tym Przewodniczący oraz Wiceprzewodniczący </w:t>
      </w:r>
      <w:r w:rsidRPr="00423E15">
        <w:rPr>
          <w:rFonts w:ascii="Times New Roman" w:hAnsi="Times New Roman" w:cs="Times New Roman"/>
          <w:sz w:val="20"/>
          <w:szCs w:val="20"/>
        </w:rPr>
        <w:tab/>
        <w:t>Rady Nadzorczej.</w:t>
      </w:r>
    </w:p>
    <w:p w:rsidR="0045257C" w:rsidRPr="00423E15" w:rsidRDefault="0045257C" w:rsidP="0045257C">
      <w:pPr>
        <w:pStyle w:val="Bodytext20"/>
        <w:numPr>
          <w:ilvl w:val="0"/>
          <w:numId w:val="19"/>
        </w:numPr>
        <w:shd w:val="clear" w:color="auto" w:fill="auto"/>
        <w:tabs>
          <w:tab w:val="left" w:pos="426"/>
        </w:tabs>
        <w:spacing w:line="298" w:lineRule="exact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Członkowie Rady Nadzorczej są powoływani przez Walne Zgromadzenie na okres wspólnej trzyletniej </w:t>
      </w:r>
      <w:r w:rsidRPr="00423E15">
        <w:rPr>
          <w:rFonts w:ascii="Times New Roman" w:hAnsi="Times New Roman" w:cs="Times New Roman"/>
          <w:sz w:val="20"/>
          <w:szCs w:val="20"/>
        </w:rPr>
        <w:tab/>
        <w:t>kadencji. Walne Zgromadzenie wyznacza Przewodniczącego oraz Wiceprzewodniczącego Rady Nadzorczej.</w:t>
      </w:r>
    </w:p>
    <w:p w:rsidR="0045257C" w:rsidRPr="00423E15" w:rsidRDefault="0045257C" w:rsidP="0045257C">
      <w:pPr>
        <w:pStyle w:val="Bodytext20"/>
        <w:numPr>
          <w:ilvl w:val="0"/>
          <w:numId w:val="19"/>
        </w:numPr>
        <w:shd w:val="clear" w:color="auto" w:fill="auto"/>
        <w:tabs>
          <w:tab w:val="left" w:pos="373"/>
          <w:tab w:val="left" w:leader="dot" w:pos="9025"/>
        </w:tabs>
        <w:spacing w:line="298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Do kompetencji Rady Nadzorczej należy: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773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zatwierdzanie strategicznych planów wieloletnich Spółki,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zatwierdzanie rocznych planów rzeczowo - finansowych,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  <w:tab w:val="left" w:leader="dot" w:pos="9025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zatwierdzanie planów inwestycyjnych Spółki,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udzielanie zgody na nabycie, zbycie i obciążenie nieruchomości, użytkowania  wieczystego lub </w:t>
      </w:r>
      <w:r w:rsidRPr="00423E15">
        <w:rPr>
          <w:rFonts w:ascii="Times New Roman" w:hAnsi="Times New Roman" w:cs="Times New Roman"/>
          <w:sz w:val="20"/>
          <w:szCs w:val="20"/>
        </w:rPr>
        <w:tab/>
        <w:t>udziału w nieruchomości,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udzielanie zgody na przestawienie produkcji, zakładanie i rozwiązywanie zakładów i filii, nabycie </w:t>
      </w:r>
      <w:r w:rsidRPr="00423E15">
        <w:rPr>
          <w:rFonts w:ascii="Times New Roman" w:hAnsi="Times New Roman" w:cs="Times New Roman"/>
          <w:sz w:val="20"/>
          <w:szCs w:val="20"/>
        </w:rPr>
        <w:tab/>
        <w:t>nowych przedsiębiorstw,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udzielanie zgody na udzielanie przez Spółkę gwarancji, poręczeń majątkowych i wystawianie weksli,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przejęcie poręczeń, otwarcia akredytywy, o wartości każdorazowo powyżej równowartości kwoty </w:t>
      </w:r>
      <w:r w:rsidRPr="00423E15">
        <w:rPr>
          <w:rFonts w:ascii="Times New Roman" w:hAnsi="Times New Roman" w:cs="Times New Roman"/>
          <w:sz w:val="20"/>
          <w:szCs w:val="20"/>
        </w:rPr>
        <w:tab/>
        <w:t>2.000.000,00 (słownie: dwóch milionów) Euro,</w:t>
      </w:r>
      <w:r w:rsidRPr="00423E15">
        <w:rPr>
          <w:rFonts w:ascii="Times New Roman" w:hAnsi="Times New Roman" w:cs="Times New Roman"/>
          <w:sz w:val="20"/>
          <w:szCs w:val="20"/>
        </w:rPr>
        <w:tab/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udzielanie zgody na inwestycje kapitałowe powyżej równowartości kwoty 100.000,00 (słownie: sto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tysięcy) Euro z wyłączeniem lokat kapitałowych, bonów i obligacji skarbowych emitowanych w </w:t>
      </w:r>
      <w:r w:rsidRPr="00423E15">
        <w:rPr>
          <w:rFonts w:ascii="Times New Roman" w:hAnsi="Times New Roman" w:cs="Times New Roman"/>
          <w:sz w:val="20"/>
          <w:szCs w:val="20"/>
        </w:rPr>
        <w:tab/>
        <w:t>Polsce lub krajach na obszarze, których Spółka prowadzi działalność,</w:t>
      </w:r>
      <w:r w:rsidRPr="00423E15">
        <w:rPr>
          <w:rFonts w:ascii="Times New Roman" w:hAnsi="Times New Roman" w:cs="Times New Roman"/>
          <w:sz w:val="20"/>
          <w:szCs w:val="20"/>
        </w:rPr>
        <w:tab/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>udzielanie zgody na nabycie, zbycie, obciążenie udziałów lub akcji w innych podmiotach,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ustalanie sposobu głosowania przedstawicieli Spółki w organach spółek zależnych i stowarzyszonych w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sprawie powoływania i odwoływania członków organów spółek zależnych i stowarzyszonych, </w:t>
      </w:r>
      <w:r w:rsidRPr="00423E15">
        <w:rPr>
          <w:rFonts w:ascii="Times New Roman" w:hAnsi="Times New Roman" w:cs="Times New Roman"/>
          <w:sz w:val="20"/>
          <w:szCs w:val="20"/>
        </w:rPr>
        <w:lastRenderedPageBreak/>
        <w:tab/>
        <w:t xml:space="preserve">rozwiązania lub likwidacji tych spółek, zmiany przedmiotu przedsiębiorstwa, podziału lub połączenia </w:t>
      </w:r>
      <w:r w:rsidRPr="00423E15">
        <w:rPr>
          <w:rFonts w:ascii="Times New Roman" w:hAnsi="Times New Roman" w:cs="Times New Roman"/>
          <w:sz w:val="20"/>
          <w:szCs w:val="20"/>
        </w:rPr>
        <w:tab/>
        <w:t>spółek zależnych i stowarzyszonych,</w:t>
      </w:r>
      <w:r w:rsidRPr="00423E15">
        <w:rPr>
          <w:rFonts w:ascii="Times New Roman" w:hAnsi="Times New Roman" w:cs="Times New Roman"/>
          <w:sz w:val="20"/>
          <w:szCs w:val="20"/>
        </w:rPr>
        <w:tab/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02"/>
        </w:tabs>
        <w:spacing w:line="298" w:lineRule="exact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 xml:space="preserve">udzielanie zgody na podejmowanie wszelkich czynności nie związanych z przedmiotem działalności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Spółki i czynności nadzwyczajnych o wartości przekraczającej równowartość kwoty 100.000,00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(słownie: sto tysięcy) Euro, 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ab/>
        <w:t xml:space="preserve">udzielanie zgody na zawieranie umów z akcjonariuszami posiadającymi co najmniej 5% ogólnej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liczby głosów na walnym zgromadzeniu Spółki oraz podmiotami powiązanymi w rozumieniu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międzynarodowych standardów rachunkowości przyjętych zgodnie z rozporządzeniem (WE) nr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1606/2002 Parlamentu Europejskiego i Rady z dnia 19 lipca 2002 r. w sprawie stosowania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międzynarodowych standardów rachunkowości; Powyższemu obowiązkowi nie podlegają transakcje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typowe i zawierane na warunkach rynkowych w ramach prowadzonej działalności operacyjnej przez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spółkę z podmiotami wchodzącymi w skład grupy kapitałowej spółki, 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ab/>
        <w:t xml:space="preserve">udzielanie zgody na inwestycje powyżej równowartości kwoty 100.000,00 (słownie: sto tysięcy)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Euro, </w:t>
      </w:r>
      <w:r w:rsidRPr="00423E15">
        <w:rPr>
          <w:rFonts w:ascii="Times New Roman" w:hAnsi="Times New Roman" w:cs="Times New Roman"/>
          <w:sz w:val="20"/>
          <w:szCs w:val="20"/>
        </w:rPr>
        <w:tab/>
        <w:t>chyba że inwestycje te są zawarte w planie inwestycyjnym, zatwierdzonym przez Radę Nadzorczą,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ab/>
        <w:t xml:space="preserve">udzielanie zgody na zawarcie umów najmu, dzierżawy i licencji, z okresem obowiązywania powyżej </w:t>
      </w:r>
      <w:r w:rsidRPr="00423E15">
        <w:rPr>
          <w:rFonts w:ascii="Times New Roman" w:hAnsi="Times New Roman" w:cs="Times New Roman"/>
          <w:sz w:val="20"/>
          <w:szCs w:val="20"/>
        </w:rPr>
        <w:tab/>
        <w:t>48 miesięcy zawieranych poza zwykłym tokiem działalności i nieprzewidzianych w budżecie,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851"/>
          <w:tab w:val="left" w:leader="dot" w:pos="9038"/>
        </w:tabs>
        <w:spacing w:line="298" w:lineRule="exac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ab/>
        <w:t xml:space="preserve">udzielanie zgody na składanie ofert i zawieranie umów o roboty budowlane o wartości netto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przekraczającej równowartość kwoty 15.000.000,00 (słownie: piętnastu milionów) Euro, w przypadku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ofert wspólnych, miarodajna jest suma netto oferty, a nie udział spółki w ofercie, 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ab/>
        <w:t xml:space="preserve">udzielanie zgody na rozporządzenie prawem lub zaciągnięcie zobowiązania o wartości </w:t>
      </w:r>
      <w:r w:rsidRPr="00423E15">
        <w:rPr>
          <w:rFonts w:ascii="Times New Roman" w:hAnsi="Times New Roman" w:cs="Times New Roman"/>
          <w:sz w:val="20"/>
          <w:szCs w:val="20"/>
        </w:rPr>
        <w:tab/>
        <w:t>przekraczającej równowartość kwoty 2.000.000,00 (słownie: dwóch milionów) Euro,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ab/>
        <w:t>udzielanie zgody na zatrudnienie pracownika o rocznym wymiarze wynagrodzenia przekr</w:t>
      </w:r>
      <w:r w:rsidR="00847FE1">
        <w:rPr>
          <w:rFonts w:ascii="Times New Roman" w:hAnsi="Times New Roman" w:cs="Times New Roman"/>
          <w:sz w:val="20"/>
          <w:szCs w:val="20"/>
        </w:rPr>
        <w:t xml:space="preserve">aczającym </w:t>
      </w:r>
      <w:r w:rsidR="00847FE1">
        <w:rPr>
          <w:rFonts w:ascii="Times New Roman" w:hAnsi="Times New Roman" w:cs="Times New Roman"/>
          <w:sz w:val="20"/>
          <w:szCs w:val="20"/>
        </w:rPr>
        <w:tab/>
        <w:t>równowartość kwoty 10</w:t>
      </w:r>
      <w:r w:rsidRPr="00423E15">
        <w:rPr>
          <w:rFonts w:ascii="Times New Roman" w:hAnsi="Times New Roman" w:cs="Times New Roman"/>
          <w:sz w:val="20"/>
          <w:szCs w:val="20"/>
        </w:rPr>
        <w:t>0.000,00 (słownie: sto tysięcy) Euro,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ab/>
        <w:t xml:space="preserve">udzielanie zgody na zasiadanie członków zarządu Spółki w zarządach lub radach nadzorczych spółek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spoza grupy kapitałowej spółki oraz w przypadkach określonych w art. 380 § 1 Kodeksu spółek </w:t>
      </w:r>
      <w:r w:rsidRPr="00423E15">
        <w:rPr>
          <w:rFonts w:ascii="Times New Roman" w:hAnsi="Times New Roman" w:cs="Times New Roman"/>
          <w:sz w:val="20"/>
          <w:szCs w:val="20"/>
        </w:rPr>
        <w:tab/>
        <w:t>handlowych,</w:t>
      </w:r>
    </w:p>
    <w:p w:rsidR="0045257C" w:rsidRPr="00423E15" w:rsidRDefault="0045257C" w:rsidP="0045257C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line="298" w:lineRule="exact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sz w:val="20"/>
          <w:szCs w:val="20"/>
        </w:rPr>
        <w:tab/>
        <w:t xml:space="preserve">inne sprawy zastrzeżone do kompetencji Rady Nadzorczej przepisami prawa, postanowieniami </w:t>
      </w:r>
      <w:r w:rsidRPr="00423E15">
        <w:rPr>
          <w:rFonts w:ascii="Times New Roman" w:hAnsi="Times New Roman" w:cs="Times New Roman"/>
          <w:sz w:val="20"/>
          <w:szCs w:val="20"/>
        </w:rPr>
        <w:tab/>
        <w:t xml:space="preserve">niniejszego Statutu, przekazane na wniosek Zarządu lub delegowane uchwałą Walnego </w:t>
      </w:r>
      <w:r w:rsidRPr="00423E15">
        <w:rPr>
          <w:rFonts w:ascii="Times New Roman" w:hAnsi="Times New Roman" w:cs="Times New Roman"/>
          <w:sz w:val="20"/>
          <w:szCs w:val="20"/>
        </w:rPr>
        <w:tab/>
        <w:t>Zgromadzenia  -</w:t>
      </w:r>
    </w:p>
    <w:p w:rsidR="0045257C" w:rsidRPr="00423E15" w:rsidRDefault="0045257C" w:rsidP="0045257C">
      <w:pPr>
        <w:pStyle w:val="Bodytext20"/>
        <w:shd w:val="clear" w:color="auto" w:fill="auto"/>
        <w:tabs>
          <w:tab w:val="left" w:pos="908"/>
        </w:tabs>
        <w:spacing w:line="298" w:lineRule="exact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5257C" w:rsidRPr="00423E15" w:rsidRDefault="0045257C" w:rsidP="0045257C">
      <w:pPr>
        <w:pStyle w:val="Bodytext20"/>
        <w:shd w:val="clear" w:color="auto" w:fill="auto"/>
        <w:tabs>
          <w:tab w:val="left" w:leader="dot" w:pos="9038"/>
        </w:tabs>
        <w:spacing w:line="298" w:lineRule="exact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3E15">
        <w:rPr>
          <w:rFonts w:ascii="Times New Roman" w:hAnsi="Times New Roman" w:cs="Times New Roman"/>
          <w:b/>
          <w:bCs/>
          <w:sz w:val="20"/>
          <w:szCs w:val="20"/>
        </w:rPr>
        <w:t xml:space="preserve">„Równowartość” </w:t>
      </w:r>
      <w:r w:rsidRPr="00423E15">
        <w:rPr>
          <w:rFonts w:ascii="Times New Roman" w:hAnsi="Times New Roman" w:cs="Times New Roman"/>
          <w:sz w:val="20"/>
          <w:szCs w:val="20"/>
        </w:rPr>
        <w:t xml:space="preserve">oznacza równowartość w Euro kwoty wyrażonej w innej walucie, obliczoną zgodnie ze średnimi kursami walut, ogłoszonymi przez Narodowy Bank Polski w dniu bezpośrednio poprzedzającym dzień, w którym Zarząd złożył Radzie Nadzorczej wniosek o wyrażenie zgody na dokonanie transakcji, a w przypadku braku takiego wniosku dzień dokonania transakcji. </w:t>
      </w:r>
    </w:p>
    <w:p w:rsidR="0045257C" w:rsidRPr="00423E15" w:rsidRDefault="0045257C" w:rsidP="0045257C">
      <w:pPr>
        <w:pStyle w:val="Akapitzlist"/>
        <w:spacing w:after="120"/>
        <w:ind w:left="108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45257C" w:rsidRPr="00423E15" w:rsidRDefault="0045257C" w:rsidP="0045257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3E15">
        <w:rPr>
          <w:rFonts w:ascii="Times New Roman" w:hAnsi="Times New Roman" w:cs="Times New Roman"/>
          <w:b/>
          <w:sz w:val="20"/>
          <w:szCs w:val="20"/>
        </w:rPr>
        <w:t>Proponowane zmiany w § 11 Statutu Spółki:</w:t>
      </w:r>
    </w:p>
    <w:p w:rsidR="0045257C" w:rsidRPr="00423E15" w:rsidRDefault="0045257C" w:rsidP="0045257C">
      <w:pPr>
        <w:pStyle w:val="Akapitzlist"/>
        <w:spacing w:after="120"/>
        <w:ind w:left="108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45257C" w:rsidRPr="00423E15" w:rsidRDefault="0045257C" w:rsidP="004525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b/>
          <w:sz w:val="20"/>
          <w:szCs w:val="20"/>
          <w:lang w:val="pl-PL"/>
        </w:rPr>
        <w:t xml:space="preserve">Proponowana nowa treść </w:t>
      </w:r>
      <w:r w:rsidR="00B2167F" w:rsidRPr="00423E15">
        <w:rPr>
          <w:rFonts w:ascii="Times New Roman" w:hAnsi="Times New Roman"/>
          <w:b/>
          <w:sz w:val="20"/>
          <w:szCs w:val="20"/>
          <w:lang w:val="pl-PL"/>
        </w:rPr>
        <w:t xml:space="preserve">§ 11 ust. 3 pkt 4) Statutu </w:t>
      </w:r>
      <w:r w:rsidRPr="00423E15">
        <w:rPr>
          <w:rFonts w:ascii="Times New Roman" w:hAnsi="Times New Roman"/>
          <w:b/>
          <w:sz w:val="20"/>
          <w:szCs w:val="20"/>
          <w:lang w:val="pl-PL"/>
        </w:rPr>
        <w:t>:</w:t>
      </w:r>
    </w:p>
    <w:p w:rsidR="00B2167F" w:rsidRPr="00423E15" w:rsidRDefault="00B2167F" w:rsidP="0045257C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3E15">
        <w:rPr>
          <w:rFonts w:ascii="Times New Roman" w:hAnsi="Times New Roman" w:cs="Times New Roman"/>
          <w:i/>
          <w:sz w:val="20"/>
          <w:szCs w:val="20"/>
        </w:rPr>
        <w:t>„udzielanie zgody na nabycie, zbycie i obciążanie nieruchomości, użytkowania wieczystego lub udziału w nieruchomości lub prawie użytkowania wieczystego”</w:t>
      </w:r>
    </w:p>
    <w:p w:rsidR="00B2167F" w:rsidRPr="00423E15" w:rsidRDefault="00B2167F" w:rsidP="00B2167F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2167F" w:rsidRPr="00423E15" w:rsidRDefault="0045257C" w:rsidP="00B21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423E15">
        <w:rPr>
          <w:rFonts w:ascii="Times New Roman" w:hAnsi="Times New Roman"/>
          <w:b/>
          <w:sz w:val="20"/>
          <w:szCs w:val="20"/>
          <w:lang w:val="pl-PL"/>
        </w:rPr>
        <w:t xml:space="preserve">Proponowana nowa treść </w:t>
      </w:r>
      <w:r w:rsidR="00B2167F" w:rsidRPr="00423E15">
        <w:rPr>
          <w:rFonts w:ascii="Times New Roman" w:hAnsi="Times New Roman"/>
          <w:b/>
          <w:sz w:val="20"/>
          <w:szCs w:val="20"/>
          <w:lang w:val="pl-PL"/>
        </w:rPr>
        <w:t>§ 11 ust. 3 pkt 16) Statutu:</w:t>
      </w:r>
    </w:p>
    <w:p w:rsidR="00B2167F" w:rsidRPr="00423E15" w:rsidRDefault="0045257C" w:rsidP="00B2167F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3E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2167F" w:rsidRPr="00423E15">
        <w:rPr>
          <w:rFonts w:ascii="Times New Roman" w:hAnsi="Times New Roman" w:cs="Times New Roman"/>
          <w:i/>
          <w:sz w:val="20"/>
          <w:szCs w:val="20"/>
        </w:rPr>
        <w:t>„udzielanie zgody na zatrudnienie pracownika o rocznym wymiarze wynagrodzenia przekraczającym równowartość kwoty 150.000,00 (słownie: sto pięćdziesiąt tysięcy) Euro”</w:t>
      </w:r>
    </w:p>
    <w:p w:rsidR="0045257C" w:rsidRPr="00423E15" w:rsidRDefault="0045257C" w:rsidP="0045257C">
      <w:pPr>
        <w:pStyle w:val="Akapitzlist"/>
        <w:numPr>
          <w:ilvl w:val="0"/>
          <w:numId w:val="36"/>
        </w:numPr>
        <w:spacing w:after="120"/>
        <w:ind w:left="426" w:hanging="426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423E15">
        <w:rPr>
          <w:rFonts w:ascii="Times New Roman" w:hAnsi="Times New Roman"/>
          <w:b/>
          <w:sz w:val="20"/>
          <w:szCs w:val="20"/>
          <w:lang w:val="pl-PL"/>
        </w:rPr>
        <w:lastRenderedPageBreak/>
        <w:t>Zmiany w § 11b  Statutu Spółki:</w:t>
      </w:r>
    </w:p>
    <w:p w:rsidR="00B2167F" w:rsidRPr="00423E15" w:rsidRDefault="00B2167F" w:rsidP="00B2167F">
      <w:pPr>
        <w:pStyle w:val="Akapitzlist"/>
        <w:spacing w:after="120" w:line="276" w:lineRule="auto"/>
        <w:ind w:left="786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:rsidR="00B2167F" w:rsidRPr="00423E15" w:rsidRDefault="0045257C" w:rsidP="0045257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3E15">
        <w:rPr>
          <w:rFonts w:ascii="Times New Roman" w:hAnsi="Times New Roman" w:cs="Times New Roman"/>
          <w:b/>
          <w:sz w:val="20"/>
          <w:szCs w:val="20"/>
        </w:rPr>
        <w:t xml:space="preserve">Dotychczasowa treść </w:t>
      </w:r>
      <w:r w:rsidR="00B2167F" w:rsidRPr="00423E15">
        <w:rPr>
          <w:rFonts w:ascii="Times New Roman" w:hAnsi="Times New Roman" w:cs="Times New Roman"/>
          <w:b/>
          <w:sz w:val="20"/>
          <w:szCs w:val="20"/>
        </w:rPr>
        <w:t>§ 11b  Statutu</w:t>
      </w:r>
      <w:r w:rsidRPr="00423E15">
        <w:rPr>
          <w:rFonts w:ascii="Times New Roman" w:hAnsi="Times New Roman" w:cs="Times New Roman"/>
          <w:b/>
          <w:sz w:val="20"/>
          <w:szCs w:val="20"/>
        </w:rPr>
        <w:t>:</w:t>
      </w:r>
      <w:r w:rsidR="00B2167F" w:rsidRPr="00423E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167F" w:rsidRPr="00423E15" w:rsidRDefault="00B2167F" w:rsidP="00B2167F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3E15">
        <w:rPr>
          <w:rFonts w:ascii="Times New Roman" w:hAnsi="Times New Roman" w:cs="Times New Roman"/>
          <w:i/>
          <w:sz w:val="20"/>
          <w:szCs w:val="20"/>
        </w:rPr>
        <w:t xml:space="preserve">§ 11b </w:t>
      </w:r>
    </w:p>
    <w:p w:rsidR="00B2167F" w:rsidRPr="00423E15" w:rsidRDefault="00B2167F" w:rsidP="00B2167F">
      <w:pPr>
        <w:tabs>
          <w:tab w:val="right" w:leader="hyphen" w:pos="9356"/>
          <w:tab w:val="right" w:leader="hyphen" w:pos="9469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2167F" w:rsidRPr="00423E15" w:rsidRDefault="00B2167F" w:rsidP="00B2167F">
      <w:pPr>
        <w:pStyle w:val="Akapitzlist"/>
        <w:numPr>
          <w:ilvl w:val="0"/>
          <w:numId w:val="4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Tak długo jak akcje Spółki będą dopuszczone do obrotu na rynku regulowanym, Rada Nadzorcza powołuje komitet audytu, w którego skład wchodzi co najmniej 3 (trzech) jej członków, w tym przynajmniej jeden członek powinien spełniać warunki niezależności w rozumieniu art. 86 ust. 5 ustawy z dnia 7 maja 2009 r. o biegłych rewidentach i ich samorządzie, podmiotach uprawnionych do badania sprawozdań finansowych oraz o nadzorze publicznym i mieć kwalifikacje w dziedzinie rachunkowości lub rewizji finansowej.</w:t>
      </w:r>
    </w:p>
    <w:p w:rsidR="00B2167F" w:rsidRPr="00423E15" w:rsidRDefault="00B2167F" w:rsidP="00B2167F">
      <w:pPr>
        <w:pStyle w:val="Akapitzlist"/>
        <w:numPr>
          <w:ilvl w:val="0"/>
          <w:numId w:val="4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 xml:space="preserve">Rada Nadzorcza, która liczy nie więcej niż 5 (pięciu) członków, może wykonywać zadania komitetu audytu. </w:t>
      </w:r>
    </w:p>
    <w:p w:rsidR="00B2167F" w:rsidRPr="00423E15" w:rsidRDefault="00B2167F" w:rsidP="00B2167F">
      <w:pPr>
        <w:pStyle w:val="Akapitzlist"/>
        <w:numPr>
          <w:ilvl w:val="0"/>
          <w:numId w:val="4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 xml:space="preserve">Do zadań komitetu audytu należy w szczególności: </w:t>
      </w:r>
    </w:p>
    <w:p w:rsidR="00B2167F" w:rsidRPr="00423E15" w:rsidRDefault="00B2167F" w:rsidP="00B2167F">
      <w:pPr>
        <w:pStyle w:val="Akapitzlist"/>
        <w:numPr>
          <w:ilvl w:val="0"/>
          <w:numId w:val="5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 xml:space="preserve">monitorowanie procesu sprawozdawczości finansowej; </w:t>
      </w:r>
    </w:p>
    <w:p w:rsidR="00B2167F" w:rsidRPr="00423E15" w:rsidRDefault="00B2167F" w:rsidP="00B2167F">
      <w:pPr>
        <w:pStyle w:val="Akapitzlist"/>
        <w:numPr>
          <w:ilvl w:val="0"/>
          <w:numId w:val="5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przegląd transakcji z podmiotami powiązanymi;</w:t>
      </w:r>
    </w:p>
    <w:p w:rsidR="00B2167F" w:rsidRPr="00423E15" w:rsidRDefault="00B2167F" w:rsidP="00B2167F">
      <w:pPr>
        <w:pStyle w:val="Akapitzlist"/>
        <w:numPr>
          <w:ilvl w:val="0"/>
          <w:numId w:val="5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 xml:space="preserve">monitorowanie skuteczności systemów kontroli wewnętrznej, audytu wewnętrznego oraz zarządzania ryzykiem; </w:t>
      </w:r>
    </w:p>
    <w:p w:rsidR="00B2167F" w:rsidRPr="00423E15" w:rsidRDefault="00B2167F" w:rsidP="00B2167F">
      <w:pPr>
        <w:pStyle w:val="Akapitzlist"/>
        <w:numPr>
          <w:ilvl w:val="0"/>
          <w:numId w:val="5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 xml:space="preserve">monitorowanie wykonywania czynności rewizji finansowej; </w:t>
      </w:r>
    </w:p>
    <w:p w:rsidR="00B2167F" w:rsidRPr="00423E15" w:rsidRDefault="00B2167F" w:rsidP="00B2167F">
      <w:pPr>
        <w:pStyle w:val="Akapitzlist"/>
        <w:numPr>
          <w:ilvl w:val="0"/>
          <w:numId w:val="5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 xml:space="preserve">monitorowanie niezależności biegłego rewidenta i podmiotu uprawnionego do badania sprawozdań finansowych, w tym w wypadku świadczenia na rzecz Spółki innych niż rewizja finansowa usług; </w:t>
      </w:r>
    </w:p>
    <w:p w:rsidR="00B2167F" w:rsidRPr="00423E15" w:rsidRDefault="00B2167F" w:rsidP="00B2167F">
      <w:pPr>
        <w:pStyle w:val="Akapitzlist"/>
        <w:numPr>
          <w:ilvl w:val="0"/>
          <w:numId w:val="5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rekomendowanie Radzie Nadzorczej podmiotu uprawnionego do badania sprawozdań finansowych do przeprowadzenia czynności rewizji finansowej Spółki.</w:t>
      </w:r>
    </w:p>
    <w:p w:rsidR="00B2167F" w:rsidRPr="00423E15" w:rsidRDefault="00B2167F" w:rsidP="00B2167F">
      <w:pPr>
        <w:pStyle w:val="Akapitzlist"/>
        <w:numPr>
          <w:ilvl w:val="0"/>
          <w:numId w:val="4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Rada Nadzorcza może powołać również inne komitety, w szczególności komitet nominacji i wynagrodzeń. Szczegółowe zadania oraz zasady powoływania i funkcjonowania poszczególnych komitetów, w tym komitetu audytu, określi Rada Nadzorcza.</w:t>
      </w:r>
    </w:p>
    <w:p w:rsidR="00B2167F" w:rsidRPr="00423E15" w:rsidRDefault="00B2167F" w:rsidP="00B2167F">
      <w:pPr>
        <w:pStyle w:val="Akapitzlist"/>
        <w:spacing w:after="120" w:line="276" w:lineRule="auto"/>
        <w:ind w:left="786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2167F" w:rsidRPr="00423E15" w:rsidRDefault="0045257C" w:rsidP="00423E1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423E15">
        <w:rPr>
          <w:rFonts w:ascii="Times New Roman" w:hAnsi="Times New Roman"/>
          <w:b/>
          <w:sz w:val="20"/>
          <w:szCs w:val="20"/>
        </w:rPr>
        <w:t>Proponowana nowa treść § 11b</w:t>
      </w:r>
      <w:r w:rsidR="00B2167F" w:rsidRPr="00423E15">
        <w:rPr>
          <w:rFonts w:ascii="Times New Roman" w:hAnsi="Times New Roman"/>
          <w:sz w:val="20"/>
          <w:szCs w:val="20"/>
        </w:rPr>
        <w:t xml:space="preserve">:   </w:t>
      </w:r>
    </w:p>
    <w:p w:rsidR="0045257C" w:rsidRPr="00423E15" w:rsidRDefault="0045257C" w:rsidP="00B2167F">
      <w:pPr>
        <w:pStyle w:val="Akapitzlist"/>
        <w:spacing w:after="120" w:line="276" w:lineRule="auto"/>
        <w:ind w:left="786" w:hanging="36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2167F" w:rsidRPr="00423E15" w:rsidRDefault="00B2167F" w:rsidP="00B2167F">
      <w:pPr>
        <w:pStyle w:val="Akapitzlist"/>
        <w:numPr>
          <w:ilvl w:val="1"/>
          <w:numId w:val="1"/>
        </w:numPr>
        <w:tabs>
          <w:tab w:val="clear" w:pos="1440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kern w:val="1"/>
          <w:sz w:val="20"/>
          <w:szCs w:val="20"/>
          <w:lang w:val="pl-PL" w:bidi="hi-IN"/>
        </w:rPr>
        <w:t>Tak długo jak akcje Spółki będą dopuszczone</w:t>
      </w:r>
      <w:r w:rsidRPr="00423E15">
        <w:rPr>
          <w:rFonts w:ascii="Times New Roman" w:hAnsi="Times New Roman"/>
          <w:i/>
          <w:sz w:val="20"/>
          <w:szCs w:val="20"/>
          <w:lang w:val="pl-PL"/>
        </w:rPr>
        <w:t xml:space="preserve"> do obrotu na rynku regulowanym, Rada Nadzorcza powołuje komitet audytu, w którego skład wchodzi co najmniej 3 (trzech) jej członków, którzy spełniają wymogi określone w ustawie z dnia 11 maja 2017 r. o biegłych rewidentach, firmach audytorskich oraz nadzorze publicznym.</w:t>
      </w:r>
    </w:p>
    <w:p w:rsidR="00B2167F" w:rsidRPr="00423E15" w:rsidRDefault="00B2167F" w:rsidP="00B2167F">
      <w:pPr>
        <w:pStyle w:val="Akapitzlist"/>
        <w:numPr>
          <w:ilvl w:val="1"/>
          <w:numId w:val="1"/>
        </w:numPr>
        <w:tabs>
          <w:tab w:val="clear" w:pos="1440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 xml:space="preserve">Do zadań komitetu audytu należy w szczególności: </w:t>
      </w:r>
    </w:p>
    <w:p w:rsidR="00B2167F" w:rsidRPr="00423E15" w:rsidRDefault="00B2167F" w:rsidP="00B2167F">
      <w:pPr>
        <w:pStyle w:val="Akapitzlist"/>
        <w:numPr>
          <w:ilvl w:val="2"/>
          <w:numId w:val="1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423E15">
        <w:rPr>
          <w:rFonts w:ascii="Times New Roman" w:hAnsi="Times New Roman"/>
          <w:i/>
          <w:sz w:val="20"/>
          <w:szCs w:val="20"/>
        </w:rPr>
        <w:t>monitorowanie</w:t>
      </w:r>
      <w:proofErr w:type="spellEnd"/>
      <w:r w:rsidRPr="00423E1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23E15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Pr="00423E1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23E15">
        <w:rPr>
          <w:rFonts w:ascii="Times New Roman" w:hAnsi="Times New Roman"/>
          <w:i/>
          <w:sz w:val="20"/>
          <w:szCs w:val="20"/>
        </w:rPr>
        <w:t>sprawozdawczości</w:t>
      </w:r>
      <w:proofErr w:type="spellEnd"/>
      <w:r w:rsidRPr="00423E1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23E15">
        <w:rPr>
          <w:rFonts w:ascii="Times New Roman" w:hAnsi="Times New Roman"/>
          <w:i/>
          <w:sz w:val="20"/>
          <w:szCs w:val="20"/>
        </w:rPr>
        <w:t>finansowej</w:t>
      </w:r>
      <w:proofErr w:type="spellEnd"/>
      <w:r w:rsidRPr="00423E15">
        <w:rPr>
          <w:rFonts w:ascii="Times New Roman" w:hAnsi="Times New Roman"/>
          <w:i/>
          <w:sz w:val="20"/>
          <w:szCs w:val="20"/>
        </w:rPr>
        <w:t>;</w:t>
      </w:r>
    </w:p>
    <w:p w:rsidR="00B2167F" w:rsidRPr="00423E15" w:rsidRDefault="00B2167F" w:rsidP="00B2167F">
      <w:pPr>
        <w:pStyle w:val="Akapitzlist"/>
        <w:numPr>
          <w:ilvl w:val="2"/>
          <w:numId w:val="1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monitorowanie skuteczności systemów kontroli wewnętrznej i systemów zarządzania ryzykiem oraz audytu wewnętrznego, w tym w zakresie sprawozdawczości finansowej;</w:t>
      </w:r>
    </w:p>
    <w:p w:rsidR="00B2167F" w:rsidRPr="00423E15" w:rsidRDefault="00B2167F" w:rsidP="00B2167F">
      <w:pPr>
        <w:pStyle w:val="Akapitzlist"/>
        <w:numPr>
          <w:ilvl w:val="2"/>
          <w:numId w:val="1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monitorowanie wykonywania czynności rewizji finansowej, w szczególności przeprowadzania przez firmę audytorską badania;</w:t>
      </w:r>
    </w:p>
    <w:p w:rsidR="00B2167F" w:rsidRPr="00423E15" w:rsidRDefault="00B2167F" w:rsidP="00B2167F">
      <w:pPr>
        <w:pStyle w:val="Akapitzlist"/>
        <w:numPr>
          <w:ilvl w:val="2"/>
          <w:numId w:val="1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kontrolowanie i monitorowanie niezależności biegłego rewidenta i firmy audytorskiej, w szczególności w przypadku, gdy na rzecz Spółki świadczone są przez firmę audytorską inne usługi niż badanie;</w:t>
      </w:r>
    </w:p>
    <w:p w:rsidR="00B2167F" w:rsidRPr="00423E15" w:rsidRDefault="00B2167F" w:rsidP="00B2167F">
      <w:pPr>
        <w:pStyle w:val="Akapitzlist"/>
        <w:numPr>
          <w:ilvl w:val="2"/>
          <w:numId w:val="1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informowanie rady nadzorczej Spółki o wynikach badania oraz wyjaśnianie, w jaki sposób badanie to przyczyniło się do rzetelności sprawozdawczości finansowej w Spółce, a także jaka była rola komitetu audytu w procesie badania;</w:t>
      </w:r>
    </w:p>
    <w:p w:rsidR="00B2167F" w:rsidRPr="00423E15" w:rsidRDefault="00B2167F" w:rsidP="00B2167F">
      <w:pPr>
        <w:pStyle w:val="Akapitzlist"/>
        <w:numPr>
          <w:ilvl w:val="2"/>
          <w:numId w:val="1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dokonywanie oceny niezależności biegłego rewidenta oraz wyrażanie zgody na świadczenie przez niego dozwolonych usług niebędących badaniem w Spółce;</w:t>
      </w:r>
    </w:p>
    <w:p w:rsidR="00B2167F" w:rsidRPr="00423E15" w:rsidRDefault="00B2167F" w:rsidP="00B2167F">
      <w:pPr>
        <w:pStyle w:val="Akapitzlist"/>
        <w:numPr>
          <w:ilvl w:val="2"/>
          <w:numId w:val="1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opracowywanie polityki wyboru firmy audytorskiej do przeprowadzania badania;</w:t>
      </w:r>
    </w:p>
    <w:p w:rsidR="00B2167F" w:rsidRPr="00423E15" w:rsidRDefault="00B2167F" w:rsidP="00B2167F">
      <w:pPr>
        <w:pStyle w:val="Akapitzlist"/>
        <w:numPr>
          <w:ilvl w:val="2"/>
          <w:numId w:val="1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opracowywanie polityki świadczenia przez firmę audytorską przeprowadzającą badanie, przez podmioty powiązane z tą firmą audytorską oraz przez członka sieci firmy audytorskiej dozwolonych usług niebędących badaniem;</w:t>
      </w:r>
    </w:p>
    <w:p w:rsidR="00B2167F" w:rsidRPr="00423E15" w:rsidRDefault="00B2167F" w:rsidP="00B2167F">
      <w:pPr>
        <w:pStyle w:val="Akapitzlist"/>
        <w:numPr>
          <w:ilvl w:val="2"/>
          <w:numId w:val="1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określanie procedury wyboru firmy audytorskiej przez Spółkę;</w:t>
      </w:r>
    </w:p>
    <w:p w:rsidR="00B2167F" w:rsidRPr="00423E15" w:rsidRDefault="00B2167F" w:rsidP="00B2167F">
      <w:pPr>
        <w:pStyle w:val="Akapitzlist"/>
        <w:numPr>
          <w:ilvl w:val="2"/>
          <w:numId w:val="1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lastRenderedPageBreak/>
        <w:t>przedstawianie radzie nadzorczej rekomendacji dotyczącej powołania biegłych rewidentów lub firm audytorskich zgodnie z opracowanymi przez komitet audytu politykami w następstwie procedury wyboru przeprowadzonej zgodnie z przepisami ustawy z dnia 11 maja 2017 r. o biegłych rewidentach, firmach audytorskich oraz nadzorze publicznym;</w:t>
      </w:r>
    </w:p>
    <w:p w:rsidR="00B2167F" w:rsidRPr="00423E15" w:rsidRDefault="00B2167F" w:rsidP="00B2167F">
      <w:pPr>
        <w:pStyle w:val="Akapitzlist"/>
        <w:numPr>
          <w:ilvl w:val="2"/>
          <w:numId w:val="1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przedkładanie zaleceń mających na celu zapewnienie rzetelności procesu sprawozdawczości finansowej w Spółce.</w:t>
      </w:r>
    </w:p>
    <w:p w:rsidR="00B2167F" w:rsidRPr="00423E15" w:rsidRDefault="00B2167F" w:rsidP="00B2167F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Rada Nadzorcza może powołać również inne komitety, w szczególności komitet nominacji i wynagrodzeń. Szczegółowe zadania oraz zasady powoływania i funkcjonowania poszczególnych komitetów, w tym komitetu audytu, określi Rada Nadzorcza.”</w:t>
      </w:r>
    </w:p>
    <w:p w:rsidR="00B2167F" w:rsidRPr="00423E15" w:rsidRDefault="00B2167F" w:rsidP="00B2167F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257C" w:rsidRPr="00423E15" w:rsidRDefault="0045257C" w:rsidP="0045257C">
      <w:pPr>
        <w:pStyle w:val="Akapitzlist"/>
        <w:numPr>
          <w:ilvl w:val="0"/>
          <w:numId w:val="36"/>
        </w:numPr>
        <w:spacing w:after="120"/>
        <w:ind w:left="426" w:hanging="426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423E15">
        <w:rPr>
          <w:rFonts w:ascii="Times New Roman" w:hAnsi="Times New Roman"/>
          <w:b/>
          <w:sz w:val="20"/>
          <w:szCs w:val="20"/>
          <w:lang w:val="pl-PL"/>
        </w:rPr>
        <w:t>Zmian</w:t>
      </w:r>
      <w:r w:rsidR="00615E46">
        <w:rPr>
          <w:rFonts w:ascii="Times New Roman" w:hAnsi="Times New Roman"/>
          <w:b/>
          <w:sz w:val="20"/>
          <w:szCs w:val="20"/>
          <w:lang w:val="pl-PL"/>
        </w:rPr>
        <w:t>a</w:t>
      </w:r>
      <w:r w:rsidRPr="00423E15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615E46">
        <w:rPr>
          <w:rFonts w:ascii="Times New Roman" w:hAnsi="Times New Roman"/>
          <w:b/>
          <w:sz w:val="20"/>
          <w:szCs w:val="20"/>
          <w:lang w:val="pl-PL"/>
        </w:rPr>
        <w:t>§</w:t>
      </w:r>
      <w:r w:rsidRPr="00423E15">
        <w:rPr>
          <w:rFonts w:ascii="Times New Roman" w:hAnsi="Times New Roman"/>
          <w:b/>
          <w:sz w:val="20"/>
          <w:szCs w:val="20"/>
          <w:lang w:val="pl-PL"/>
        </w:rPr>
        <w:t xml:space="preserve"> 15 ust. 2  Statutu Spółki:</w:t>
      </w:r>
    </w:p>
    <w:p w:rsidR="00B2167F" w:rsidRPr="00423E15" w:rsidRDefault="0045257C" w:rsidP="0045257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3E15">
        <w:rPr>
          <w:rFonts w:ascii="Times New Roman" w:hAnsi="Times New Roman" w:cs="Times New Roman"/>
          <w:b/>
          <w:sz w:val="20"/>
          <w:szCs w:val="20"/>
        </w:rPr>
        <w:t xml:space="preserve">Dotychczasowa treść </w:t>
      </w:r>
      <w:r w:rsidR="00B2167F" w:rsidRPr="00423E15">
        <w:rPr>
          <w:rFonts w:ascii="Times New Roman" w:hAnsi="Times New Roman" w:cs="Times New Roman"/>
          <w:b/>
          <w:sz w:val="20"/>
          <w:szCs w:val="20"/>
        </w:rPr>
        <w:t>§ 15 ust. 2  Statutu:</w:t>
      </w:r>
    </w:p>
    <w:p w:rsidR="00B2167F" w:rsidRPr="00423E15" w:rsidRDefault="00B2167F" w:rsidP="00B2167F">
      <w:pPr>
        <w:pStyle w:val="Akapitzlist"/>
        <w:spacing w:after="120" w:line="276" w:lineRule="auto"/>
        <w:ind w:left="786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B2167F" w:rsidRPr="00423E15" w:rsidRDefault="00B2167F" w:rsidP="00423E15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423E15">
        <w:rPr>
          <w:rFonts w:ascii="Times New Roman" w:hAnsi="Times New Roman"/>
          <w:i/>
          <w:sz w:val="20"/>
          <w:szCs w:val="20"/>
          <w:lang w:val="pl-PL"/>
        </w:rPr>
        <w:t>„Do nabycia lub zbycia nieruchomości, użytkowania wieczystego lub udziału w  nieruchomości uchwała Walnego Zgromadzenia nie jest wymagana.”</w:t>
      </w:r>
    </w:p>
    <w:p w:rsidR="00B2167F" w:rsidRPr="00423E15" w:rsidRDefault="00B2167F" w:rsidP="00B2167F">
      <w:pPr>
        <w:pStyle w:val="Akapitzlist"/>
        <w:spacing w:after="120" w:line="276" w:lineRule="auto"/>
        <w:ind w:left="786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B2167F" w:rsidRPr="00423E15" w:rsidRDefault="0045257C" w:rsidP="00423E15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423E15">
        <w:rPr>
          <w:rFonts w:ascii="Times New Roman" w:hAnsi="Times New Roman"/>
          <w:b/>
          <w:sz w:val="20"/>
          <w:szCs w:val="20"/>
        </w:rPr>
        <w:t>Proponowana nowa treść § 15 ust. 2 Statutu Spółki</w:t>
      </w:r>
      <w:r w:rsidR="00B2167F" w:rsidRPr="00423E15">
        <w:rPr>
          <w:rFonts w:ascii="Times New Roman" w:hAnsi="Times New Roman"/>
          <w:b/>
          <w:sz w:val="20"/>
          <w:szCs w:val="20"/>
        </w:rPr>
        <w:t>:</w:t>
      </w:r>
    </w:p>
    <w:p w:rsidR="00B2167F" w:rsidRPr="00423E15" w:rsidRDefault="00B2167F" w:rsidP="00B2167F">
      <w:pPr>
        <w:pStyle w:val="Akapitzlist"/>
        <w:spacing w:after="120" w:line="276" w:lineRule="auto"/>
        <w:ind w:left="786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:rsidR="00B2167F" w:rsidRPr="00423E15" w:rsidRDefault="00B2167F" w:rsidP="00423E15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423E15">
        <w:rPr>
          <w:rFonts w:ascii="Times New Roman" w:hAnsi="Times New Roman"/>
          <w:i/>
          <w:sz w:val="20"/>
          <w:szCs w:val="20"/>
        </w:rPr>
        <w:t xml:space="preserve">„Do nabycia lub zbycia nieruchomości, użytkowania wieczystego lub udziału w nieruchomości lub prawie użytkowania wieczystego uchwała Walnego </w:t>
      </w:r>
      <w:r w:rsidR="00423E15">
        <w:rPr>
          <w:rFonts w:ascii="Times New Roman" w:hAnsi="Times New Roman"/>
          <w:i/>
          <w:sz w:val="20"/>
          <w:szCs w:val="20"/>
        </w:rPr>
        <w:t>Zgromadzenia nie jest wymagana”.</w:t>
      </w:r>
    </w:p>
    <w:p w:rsidR="00B2167F" w:rsidRPr="00423E15" w:rsidRDefault="00B2167F" w:rsidP="00B2167F">
      <w:pPr>
        <w:pStyle w:val="Akapitzlist"/>
        <w:spacing w:after="120" w:line="276" w:lineRule="auto"/>
        <w:ind w:left="786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sectPr w:rsidR="00B2167F" w:rsidRPr="0042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F12"/>
    <w:multiLevelType w:val="hybridMultilevel"/>
    <w:tmpl w:val="F34C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3AA"/>
    <w:multiLevelType w:val="multilevel"/>
    <w:tmpl w:val="7BE6A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37D28"/>
    <w:multiLevelType w:val="hybridMultilevel"/>
    <w:tmpl w:val="FFEC9FB0"/>
    <w:lvl w:ilvl="0" w:tplc="DA8E1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75A"/>
    <w:multiLevelType w:val="hybridMultilevel"/>
    <w:tmpl w:val="41EC61C0"/>
    <w:lvl w:ilvl="0" w:tplc="FCACD52E">
      <w:start w:val="1"/>
      <w:numFmt w:val="lowerLetter"/>
      <w:lvlText w:val="%1."/>
      <w:lvlJc w:val="left"/>
      <w:pPr>
        <w:ind w:left="1485" w:hanging="360"/>
      </w:pPr>
      <w:rPr>
        <w:b w:val="0"/>
      </w:rPr>
    </w:lvl>
    <w:lvl w:ilvl="1" w:tplc="673E2036">
      <w:start w:val="2"/>
      <w:numFmt w:val="upperRoman"/>
      <w:lvlText w:val="%2."/>
      <w:lvlJc w:val="right"/>
      <w:pPr>
        <w:tabs>
          <w:tab w:val="num" w:pos="2025"/>
        </w:tabs>
        <w:ind w:left="2025" w:hanging="180"/>
      </w:pPr>
      <w:rPr>
        <w:rFonts w:ascii="Times New Roman" w:hAnsi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BAF74CE"/>
    <w:multiLevelType w:val="multilevel"/>
    <w:tmpl w:val="928C8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C182A"/>
    <w:multiLevelType w:val="hybridMultilevel"/>
    <w:tmpl w:val="F80457D0"/>
    <w:lvl w:ilvl="0" w:tplc="7F401EA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0E15FF"/>
    <w:multiLevelType w:val="multilevel"/>
    <w:tmpl w:val="0B982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67745"/>
    <w:multiLevelType w:val="hybridMultilevel"/>
    <w:tmpl w:val="B73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6E40"/>
    <w:multiLevelType w:val="multilevel"/>
    <w:tmpl w:val="58A2A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0D0BA6"/>
    <w:multiLevelType w:val="multilevel"/>
    <w:tmpl w:val="990A8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2813E6"/>
    <w:multiLevelType w:val="hybridMultilevel"/>
    <w:tmpl w:val="45F2AFD6"/>
    <w:lvl w:ilvl="0" w:tplc="7BCCC2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007817"/>
    <w:multiLevelType w:val="multilevel"/>
    <w:tmpl w:val="5740C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025186"/>
    <w:multiLevelType w:val="multilevel"/>
    <w:tmpl w:val="2ED29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443586"/>
    <w:multiLevelType w:val="hybridMultilevel"/>
    <w:tmpl w:val="D4EE2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74640"/>
    <w:multiLevelType w:val="multilevel"/>
    <w:tmpl w:val="2550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9C55E4"/>
    <w:multiLevelType w:val="hybridMultilevel"/>
    <w:tmpl w:val="119039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656A68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75F0C"/>
    <w:multiLevelType w:val="multilevel"/>
    <w:tmpl w:val="BFA0E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78232D"/>
    <w:multiLevelType w:val="multilevel"/>
    <w:tmpl w:val="329ACC2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595A05"/>
    <w:multiLevelType w:val="hybridMultilevel"/>
    <w:tmpl w:val="E310840C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6733E"/>
    <w:multiLevelType w:val="hybridMultilevel"/>
    <w:tmpl w:val="D00C0AE4"/>
    <w:lvl w:ilvl="0" w:tplc="3586D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C5D62"/>
    <w:multiLevelType w:val="multilevel"/>
    <w:tmpl w:val="901AD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A34E8D"/>
    <w:multiLevelType w:val="multilevel"/>
    <w:tmpl w:val="00807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77408B"/>
    <w:multiLevelType w:val="multilevel"/>
    <w:tmpl w:val="0B1C8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665FD1"/>
    <w:multiLevelType w:val="multilevel"/>
    <w:tmpl w:val="5CDE4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5F37F6"/>
    <w:multiLevelType w:val="multilevel"/>
    <w:tmpl w:val="207CB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D7197A"/>
    <w:multiLevelType w:val="multilevel"/>
    <w:tmpl w:val="4BA8E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990715"/>
    <w:multiLevelType w:val="multilevel"/>
    <w:tmpl w:val="CBFE6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B10364"/>
    <w:multiLevelType w:val="multilevel"/>
    <w:tmpl w:val="54908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E54FB5"/>
    <w:multiLevelType w:val="hybridMultilevel"/>
    <w:tmpl w:val="D864116E"/>
    <w:lvl w:ilvl="0" w:tplc="F028D4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F145A"/>
    <w:multiLevelType w:val="hybridMultilevel"/>
    <w:tmpl w:val="AF282FD8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D02E0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EF1464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7B35FB"/>
    <w:multiLevelType w:val="multilevel"/>
    <w:tmpl w:val="2550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1375F7"/>
    <w:multiLevelType w:val="hybridMultilevel"/>
    <w:tmpl w:val="AFFE5A30"/>
    <w:lvl w:ilvl="0" w:tplc="1E2E1F9A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C82E4F"/>
    <w:multiLevelType w:val="hybridMultilevel"/>
    <w:tmpl w:val="FDE03C5E"/>
    <w:lvl w:ilvl="0" w:tplc="4D8EA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305F4"/>
    <w:multiLevelType w:val="hybridMultilevel"/>
    <w:tmpl w:val="F4201882"/>
    <w:lvl w:ilvl="0" w:tplc="17569F1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E71717"/>
    <w:multiLevelType w:val="multilevel"/>
    <w:tmpl w:val="14EA9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"/>
  </w:num>
  <w:num w:numId="3">
    <w:abstractNumId w:val="10"/>
  </w:num>
  <w:num w:numId="4">
    <w:abstractNumId w:val="33"/>
  </w:num>
  <w:num w:numId="5">
    <w:abstractNumId w:val="15"/>
  </w:num>
  <w:num w:numId="6">
    <w:abstractNumId w:val="18"/>
  </w:num>
  <w:num w:numId="7">
    <w:abstractNumId w:val="34"/>
  </w:num>
  <w:num w:numId="8">
    <w:abstractNumId w:val="5"/>
  </w:num>
  <w:num w:numId="9">
    <w:abstractNumId w:val="19"/>
  </w:num>
  <w:num w:numId="10">
    <w:abstractNumId w:val="29"/>
  </w:num>
  <w:num w:numId="11">
    <w:abstractNumId w:val="11"/>
  </w:num>
  <w:num w:numId="12">
    <w:abstractNumId w:val="12"/>
  </w:num>
  <w:num w:numId="13">
    <w:abstractNumId w:val="25"/>
  </w:num>
  <w:num w:numId="14">
    <w:abstractNumId w:val="23"/>
  </w:num>
  <w:num w:numId="15">
    <w:abstractNumId w:val="17"/>
  </w:num>
  <w:num w:numId="16">
    <w:abstractNumId w:val="9"/>
  </w:num>
  <w:num w:numId="17">
    <w:abstractNumId w:val="21"/>
  </w:num>
  <w:num w:numId="18">
    <w:abstractNumId w:val="35"/>
  </w:num>
  <w:num w:numId="19">
    <w:abstractNumId w:val="24"/>
  </w:num>
  <w:num w:numId="20">
    <w:abstractNumId w:val="8"/>
  </w:num>
  <w:num w:numId="21">
    <w:abstractNumId w:val="6"/>
  </w:num>
  <w:num w:numId="22">
    <w:abstractNumId w:val="26"/>
  </w:num>
  <w:num w:numId="23">
    <w:abstractNumId w:val="31"/>
  </w:num>
  <w:num w:numId="24">
    <w:abstractNumId w:val="28"/>
  </w:num>
  <w:num w:numId="25">
    <w:abstractNumId w:val="4"/>
  </w:num>
  <w:num w:numId="26">
    <w:abstractNumId w:val="1"/>
  </w:num>
  <w:num w:numId="27">
    <w:abstractNumId w:val="22"/>
  </w:num>
  <w:num w:numId="28">
    <w:abstractNumId w:val="16"/>
  </w:num>
  <w:num w:numId="29">
    <w:abstractNumId w:val="14"/>
  </w:num>
  <w:num w:numId="30">
    <w:abstractNumId w:val="0"/>
  </w:num>
  <w:num w:numId="31">
    <w:abstractNumId w:val="7"/>
  </w:num>
  <w:num w:numId="32">
    <w:abstractNumId w:val="2"/>
  </w:num>
  <w:num w:numId="33">
    <w:abstractNumId w:val="32"/>
  </w:num>
  <w:num w:numId="34">
    <w:abstractNumId w:val="27"/>
  </w:num>
  <w:num w:numId="35">
    <w:abstractNumId w:val="13"/>
  </w:num>
  <w:num w:numId="36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C2"/>
    <w:rsid w:val="00035FFE"/>
    <w:rsid w:val="00045844"/>
    <w:rsid w:val="000D39DD"/>
    <w:rsid w:val="000F68C5"/>
    <w:rsid w:val="0019723F"/>
    <w:rsid w:val="00224CD7"/>
    <w:rsid w:val="002442F2"/>
    <w:rsid w:val="00333357"/>
    <w:rsid w:val="003C236B"/>
    <w:rsid w:val="00423E15"/>
    <w:rsid w:val="0045257C"/>
    <w:rsid w:val="004A7850"/>
    <w:rsid w:val="005F0335"/>
    <w:rsid w:val="005F1726"/>
    <w:rsid w:val="00615E46"/>
    <w:rsid w:val="006370AD"/>
    <w:rsid w:val="00662E9F"/>
    <w:rsid w:val="006B74AA"/>
    <w:rsid w:val="006C4BE4"/>
    <w:rsid w:val="006D7C87"/>
    <w:rsid w:val="007208F4"/>
    <w:rsid w:val="0080202C"/>
    <w:rsid w:val="00847FE1"/>
    <w:rsid w:val="008E770F"/>
    <w:rsid w:val="009326D3"/>
    <w:rsid w:val="00943BAA"/>
    <w:rsid w:val="009C7895"/>
    <w:rsid w:val="00A84F91"/>
    <w:rsid w:val="00AF5457"/>
    <w:rsid w:val="00B2167F"/>
    <w:rsid w:val="00C11E56"/>
    <w:rsid w:val="00C81804"/>
    <w:rsid w:val="00C81D9C"/>
    <w:rsid w:val="00D31FC4"/>
    <w:rsid w:val="00E54BE4"/>
    <w:rsid w:val="00E81C54"/>
    <w:rsid w:val="00E876D6"/>
    <w:rsid w:val="00F16817"/>
    <w:rsid w:val="00F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D9F2-0337-4B6B-98C7-A3087F9A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2C"/>
    <w:pPr>
      <w:spacing w:after="0" w:line="312" w:lineRule="auto"/>
      <w:ind w:left="720"/>
      <w:contextualSpacing/>
    </w:pPr>
    <w:rPr>
      <w:rFonts w:ascii="Trebuchet MS" w:eastAsia="Calibri" w:hAnsi="Trebuchet MS" w:cs="Times New Roman"/>
      <w:sz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8E7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77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770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8E770F"/>
    <w:rPr>
      <w:b/>
      <w:bCs/>
    </w:rPr>
  </w:style>
  <w:style w:type="character" w:styleId="Odwoaniedokomentarza">
    <w:name w:val="annotation reference"/>
    <w:basedOn w:val="Domylnaczcionkaakapitu"/>
    <w:unhideWhenUsed/>
    <w:rsid w:val="000458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45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5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4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AF545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5457"/>
    <w:pPr>
      <w:widowControl w:val="0"/>
      <w:shd w:val="clear" w:color="auto" w:fill="FFFFFF"/>
      <w:spacing w:after="0" w:line="590" w:lineRule="exact"/>
      <w:ind w:hanging="400"/>
      <w:jc w:val="center"/>
    </w:pPr>
    <w:rPr>
      <w:sz w:val="26"/>
      <w:szCs w:val="26"/>
    </w:rPr>
  </w:style>
  <w:style w:type="character" w:customStyle="1" w:styleId="Heading1">
    <w:name w:val="Heading #1_"/>
    <w:basedOn w:val="Domylnaczcionkaakapitu"/>
    <w:link w:val="Heading10"/>
    <w:rsid w:val="00B2167F"/>
    <w:rPr>
      <w:b/>
      <w:bCs/>
      <w:sz w:val="32"/>
      <w:szCs w:val="32"/>
      <w:shd w:val="clear" w:color="auto" w:fill="FFFFFF"/>
    </w:rPr>
  </w:style>
  <w:style w:type="character" w:customStyle="1" w:styleId="Bodytext2Bold">
    <w:name w:val="Body text (2) + Bold"/>
    <w:basedOn w:val="Bodytext2"/>
    <w:rsid w:val="00B2167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B2167F"/>
    <w:pPr>
      <w:widowControl w:val="0"/>
      <w:shd w:val="clear" w:color="auto" w:fill="FFFFFF"/>
      <w:spacing w:before="900" w:after="0" w:line="590" w:lineRule="exact"/>
      <w:outlineLvl w:val="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Matyjuk</dc:creator>
  <cp:lastModifiedBy>Andrzej Łukasik</cp:lastModifiedBy>
  <cp:revision>2</cp:revision>
  <dcterms:created xsi:type="dcterms:W3CDTF">2017-08-22T13:29:00Z</dcterms:created>
  <dcterms:modified xsi:type="dcterms:W3CDTF">2017-08-22T13:29:00Z</dcterms:modified>
</cp:coreProperties>
</file>