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C" w:rsidRPr="009C20AC" w:rsidRDefault="009C20AC" w:rsidP="009C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Podstawa prawna ogólna :</w:t>
      </w:r>
      <w:r w:rsidRPr="009C20AC">
        <w:rPr>
          <w:rFonts w:ascii="Times New Roman" w:hAnsi="Times New Roman" w:cs="Times New Roman"/>
          <w:sz w:val="20"/>
          <w:szCs w:val="20"/>
        </w:rPr>
        <w:br/>
        <w:t>art. 56 ust. 1 pkt 2 Ustawy o ofercie; informacje bieżące i okresowe.</w:t>
      </w:r>
    </w:p>
    <w:p w:rsidR="009C20AC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0AC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Temat: Informacja o przyjęciu tekstu jednolitego Statutu Spółki.</w:t>
      </w:r>
    </w:p>
    <w:p w:rsidR="009C20AC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0AC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20AC">
        <w:rPr>
          <w:rFonts w:ascii="Times New Roman" w:hAnsi="Times New Roman" w:cs="Times New Roman"/>
          <w:sz w:val="20"/>
          <w:szCs w:val="20"/>
          <w:u w:val="single"/>
        </w:rPr>
        <w:t>Treść raportu:</w:t>
      </w:r>
    </w:p>
    <w:p w:rsidR="009C20AC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C42" w:rsidRPr="009C20AC" w:rsidRDefault="009C20AC" w:rsidP="009C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Na podstawie § 38 ust. 1 pkt 2) Rozporządzenia Ministra Finansów z dnia 19 lutego 2009 r. </w:t>
      </w:r>
      <w:r w:rsidRPr="009C20AC">
        <w:rPr>
          <w:rFonts w:ascii="Times New Roman" w:hAnsi="Times New Roman" w:cs="Times New Roman"/>
          <w:i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 </w:t>
      </w:r>
      <w:r w:rsidRPr="009C20AC">
        <w:rPr>
          <w:rFonts w:ascii="Times New Roman" w:hAnsi="Times New Roman" w:cs="Times New Roman"/>
          <w:sz w:val="20"/>
          <w:szCs w:val="20"/>
        </w:rPr>
        <w:t>(Dz.U.2014.133 tekst jednolity),</w:t>
      </w:r>
      <w:r w:rsidR="005F4937">
        <w:rPr>
          <w:rFonts w:ascii="Times New Roman" w:hAnsi="Times New Roman" w:cs="Times New Roman"/>
          <w:sz w:val="20"/>
          <w:szCs w:val="20"/>
        </w:rPr>
        <w:t xml:space="preserve"> </w:t>
      </w:r>
      <w:r w:rsidR="00391C42" w:rsidRPr="009C20AC">
        <w:rPr>
          <w:rFonts w:ascii="Times New Roman" w:hAnsi="Times New Roman" w:cs="Times New Roman"/>
          <w:sz w:val="20"/>
          <w:szCs w:val="20"/>
        </w:rPr>
        <w:t>Spółka ERBUD S.A. informuje, iż Uchwałą nr 4/2017 Nadzwyczajnego Walnego Zgromadzenia Spółki ERBUD S.A. z dnia 19 wrześ</w:t>
      </w:r>
      <w:bookmarkStart w:id="0" w:name="_GoBack"/>
      <w:bookmarkEnd w:id="0"/>
      <w:r w:rsidR="00391C42" w:rsidRPr="009C20AC">
        <w:rPr>
          <w:rFonts w:ascii="Times New Roman" w:hAnsi="Times New Roman" w:cs="Times New Roman"/>
          <w:sz w:val="20"/>
          <w:szCs w:val="20"/>
        </w:rPr>
        <w:t xml:space="preserve">nia 2017 roku został przyjęty tekst jednolity Statutu Spółki </w:t>
      </w:r>
      <w:proofErr w:type="spellStart"/>
      <w:r w:rsidR="00391C42" w:rsidRPr="009C20AC">
        <w:rPr>
          <w:rFonts w:ascii="Times New Roman" w:hAnsi="Times New Roman" w:cs="Times New Roman"/>
          <w:sz w:val="20"/>
          <w:szCs w:val="20"/>
        </w:rPr>
        <w:t>Erbud</w:t>
      </w:r>
      <w:proofErr w:type="spellEnd"/>
      <w:r w:rsidR="00391C42" w:rsidRPr="009C20AC">
        <w:rPr>
          <w:rFonts w:ascii="Times New Roman" w:hAnsi="Times New Roman" w:cs="Times New Roman"/>
          <w:sz w:val="20"/>
          <w:szCs w:val="20"/>
        </w:rPr>
        <w:t xml:space="preserve"> S.A. o poniższej treści:</w:t>
      </w:r>
    </w:p>
    <w:p w:rsidR="00C11E56" w:rsidRPr="009C20AC" w:rsidRDefault="00C11E56" w:rsidP="009C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0AC">
        <w:rPr>
          <w:rFonts w:ascii="Times New Roman" w:hAnsi="Times New Roman" w:cs="Times New Roman"/>
          <w:b/>
          <w:sz w:val="20"/>
          <w:szCs w:val="20"/>
        </w:rPr>
        <w:t xml:space="preserve">Tekst jednolity Statutu Spółki </w:t>
      </w:r>
      <w:proofErr w:type="spellStart"/>
      <w:r w:rsidRPr="009C20AC">
        <w:rPr>
          <w:rFonts w:ascii="Times New Roman" w:hAnsi="Times New Roman" w:cs="Times New Roman"/>
          <w:b/>
          <w:sz w:val="20"/>
          <w:szCs w:val="20"/>
        </w:rPr>
        <w:t>Erbud</w:t>
      </w:r>
      <w:proofErr w:type="spellEnd"/>
      <w:r w:rsidRPr="009C20AC">
        <w:rPr>
          <w:rFonts w:ascii="Times New Roman" w:hAnsi="Times New Roman" w:cs="Times New Roman"/>
          <w:b/>
          <w:sz w:val="20"/>
          <w:szCs w:val="20"/>
        </w:rPr>
        <w:t xml:space="preserve"> S.A. z siedziba w Warszawie</w:t>
      </w:r>
    </w:p>
    <w:p w:rsidR="00B2167F" w:rsidRPr="009C20AC" w:rsidRDefault="00B2167F" w:rsidP="009C20AC">
      <w:pPr>
        <w:pStyle w:val="Heading10"/>
        <w:keepNext/>
        <w:keepLines/>
        <w:shd w:val="clear" w:color="auto" w:fill="auto"/>
        <w:spacing w:before="0" w:line="240" w:lineRule="auto"/>
        <w:ind w:left="2860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9C20AC">
        <w:rPr>
          <w:rFonts w:ascii="Times New Roman" w:hAnsi="Times New Roman" w:cs="Times New Roman"/>
          <w:sz w:val="20"/>
          <w:szCs w:val="20"/>
        </w:rPr>
        <w:t>„STATUT SPÓŁKI AKCYJNEJ</w:t>
      </w:r>
      <w:bookmarkEnd w:id="1"/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</w:t>
      </w:r>
    </w:p>
    <w:p w:rsidR="00B2167F" w:rsidRPr="009C20AC" w:rsidRDefault="00B2167F" w:rsidP="009C20AC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  <w:tab w:val="left" w:leader="dot" w:pos="9027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działa pod firmą ERBUD Spółka Akcyjna.</w:t>
      </w:r>
    </w:p>
    <w:p w:rsidR="00B2167F" w:rsidRPr="009C20AC" w:rsidRDefault="00B2167F" w:rsidP="009C20AC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  <w:tab w:val="left" w:leader="hyphen" w:pos="9027"/>
        </w:tabs>
        <w:spacing w:after="278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Spółka może używać skrótu ERBUD S.A. </w:t>
      </w:r>
    </w:p>
    <w:p w:rsidR="00B2167F" w:rsidRPr="009C20AC" w:rsidRDefault="00B2167F" w:rsidP="009C20AC">
      <w:pPr>
        <w:pStyle w:val="Bodytext20"/>
        <w:shd w:val="clear" w:color="auto" w:fill="auto"/>
        <w:spacing w:after="25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2</w:t>
      </w:r>
    </w:p>
    <w:p w:rsidR="00B2167F" w:rsidRPr="009C20AC" w:rsidRDefault="00B2167F" w:rsidP="009C20AC">
      <w:pPr>
        <w:pStyle w:val="Bodytext20"/>
        <w:numPr>
          <w:ilvl w:val="0"/>
          <w:numId w:val="12"/>
        </w:numPr>
        <w:shd w:val="clear" w:color="auto" w:fill="auto"/>
        <w:tabs>
          <w:tab w:val="left" w:pos="377"/>
          <w:tab w:val="left" w:leader="dot" w:pos="9027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Siedzibą Spółki jest miasto stołeczne Warszawa.</w:t>
      </w:r>
    </w:p>
    <w:p w:rsidR="00B2167F" w:rsidRPr="009C20AC" w:rsidRDefault="00B2167F" w:rsidP="009C20AC">
      <w:pPr>
        <w:pStyle w:val="Bodytext20"/>
        <w:numPr>
          <w:ilvl w:val="0"/>
          <w:numId w:val="12"/>
        </w:numPr>
        <w:shd w:val="clear" w:color="auto" w:fill="auto"/>
        <w:tabs>
          <w:tab w:val="left" w:pos="377"/>
          <w:tab w:val="left" w:leader="dot" w:pos="9027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działa na obszarze Rzeczypospolitej Polskiej i za granicą.</w:t>
      </w:r>
    </w:p>
    <w:p w:rsidR="00B2167F" w:rsidRPr="009C20AC" w:rsidRDefault="00B2167F" w:rsidP="009C20AC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9027"/>
        </w:tabs>
        <w:spacing w:after="27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może powoływać i prowadzić swoje oddziały, zakłady, filie, przedstawicielstwa i inne jednostki organizacyjne, a także uczestniczyć w innych spółkach lub przedsięwzięciach na obszarze Rzeczypospolitej Polskiej i za granicą.</w:t>
      </w:r>
    </w:p>
    <w:p w:rsidR="00B2167F" w:rsidRPr="009C20AC" w:rsidRDefault="00B2167F" w:rsidP="009C20AC">
      <w:pPr>
        <w:pStyle w:val="Bodytext20"/>
        <w:shd w:val="clear" w:color="auto" w:fill="auto"/>
        <w:spacing w:after="25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3</w:t>
      </w:r>
    </w:p>
    <w:p w:rsidR="00B2167F" w:rsidRPr="009C20AC" w:rsidRDefault="00B2167F" w:rsidP="009C20AC">
      <w:pPr>
        <w:pStyle w:val="Bodytext20"/>
        <w:numPr>
          <w:ilvl w:val="0"/>
          <w:numId w:val="13"/>
        </w:numPr>
        <w:shd w:val="clear" w:color="auto" w:fill="auto"/>
        <w:tabs>
          <w:tab w:val="left" w:pos="377"/>
          <w:tab w:val="left" w:leader="dot" w:pos="9027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Przedmiotem działalności Spółki jest: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773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Rozbiórka i burzenie obiektów budowlanych,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Przygotowanie terenu pod budowę,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Wykonywanie wykopów i wierceń </w:t>
      </w:r>
      <w:proofErr w:type="spellStart"/>
      <w:r w:rsidRPr="009C20AC">
        <w:rPr>
          <w:rFonts w:ascii="Times New Roman" w:hAnsi="Times New Roman" w:cs="Times New Roman"/>
          <w:sz w:val="20"/>
          <w:szCs w:val="20"/>
        </w:rPr>
        <w:t>geologiczno</w:t>
      </w:r>
      <w:proofErr w:type="spellEnd"/>
      <w:r w:rsidRPr="009C20AC">
        <w:rPr>
          <w:rFonts w:ascii="Times New Roman" w:hAnsi="Times New Roman" w:cs="Times New Roman"/>
          <w:sz w:val="20"/>
          <w:szCs w:val="20"/>
        </w:rPr>
        <w:t xml:space="preserve"> inżynierskich,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pos="1747"/>
          <w:tab w:val="right" w:pos="4138"/>
          <w:tab w:val="left" w:pos="4354"/>
          <w:tab w:val="right" w:pos="9091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</w:t>
      </w:r>
      <w:r w:rsidRPr="009C20AC">
        <w:rPr>
          <w:rFonts w:ascii="Times New Roman" w:hAnsi="Times New Roman" w:cs="Times New Roman"/>
          <w:sz w:val="20"/>
          <w:szCs w:val="20"/>
        </w:rPr>
        <w:tab/>
        <w:t>budowlane</w:t>
      </w:r>
      <w:r w:rsidRPr="009C20AC">
        <w:rPr>
          <w:rFonts w:ascii="Times New Roman" w:hAnsi="Times New Roman" w:cs="Times New Roman"/>
          <w:sz w:val="20"/>
          <w:szCs w:val="20"/>
        </w:rPr>
        <w:tab/>
        <w:t>związane</w:t>
      </w:r>
      <w:r w:rsidRPr="009C20AC">
        <w:rPr>
          <w:rFonts w:ascii="Times New Roman" w:hAnsi="Times New Roman" w:cs="Times New Roman"/>
          <w:sz w:val="20"/>
          <w:szCs w:val="20"/>
        </w:rPr>
        <w:tab/>
        <w:t>ze wznoszeniem</w:t>
      </w:r>
      <w:r w:rsidRPr="009C20AC">
        <w:rPr>
          <w:rFonts w:ascii="Times New Roman" w:hAnsi="Times New Roman" w:cs="Times New Roman"/>
          <w:sz w:val="20"/>
          <w:szCs w:val="20"/>
        </w:rPr>
        <w:tab/>
        <w:t>budynków mieszkalnych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7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 niemieszkalnych,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 związane z budową dróg szynowych i kolei podziemnej,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Roboty związane z budową mostów i tuneli,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 związane z budową rurociągów przesyłowych i sieci rozdzielczych,.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right" w:pos="4138"/>
          <w:tab w:val="left" w:pos="4344"/>
          <w:tab w:val="right" w:pos="9091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 związane z</w:t>
      </w:r>
      <w:r w:rsidRPr="009C20AC">
        <w:rPr>
          <w:rFonts w:ascii="Times New Roman" w:hAnsi="Times New Roman" w:cs="Times New Roman"/>
          <w:sz w:val="20"/>
          <w:szCs w:val="20"/>
        </w:rPr>
        <w:tab/>
        <w:t>budową linii</w:t>
      </w:r>
      <w:r w:rsidRPr="009C20AC">
        <w:rPr>
          <w:rFonts w:ascii="Times New Roman" w:hAnsi="Times New Roman" w:cs="Times New Roman"/>
          <w:sz w:val="20"/>
          <w:szCs w:val="20"/>
        </w:rPr>
        <w:tab/>
        <w:t>telekomunikacyjnych i elektroenergetycznych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pos="1747"/>
          <w:tab w:val="right" w:pos="4138"/>
          <w:tab w:val="left" w:pos="4349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</w:t>
      </w:r>
      <w:r w:rsidRPr="009C20AC">
        <w:rPr>
          <w:rFonts w:ascii="Times New Roman" w:hAnsi="Times New Roman" w:cs="Times New Roman"/>
          <w:sz w:val="20"/>
          <w:szCs w:val="20"/>
        </w:rPr>
        <w:tab/>
        <w:t>związane z</w:t>
      </w:r>
      <w:r w:rsidRPr="009C20AC">
        <w:rPr>
          <w:rFonts w:ascii="Times New Roman" w:hAnsi="Times New Roman" w:cs="Times New Roman"/>
          <w:sz w:val="20"/>
          <w:szCs w:val="20"/>
        </w:rPr>
        <w:tab/>
        <w:t>budową</w:t>
      </w:r>
      <w:r w:rsidRPr="009C20AC">
        <w:rPr>
          <w:rFonts w:ascii="Times New Roman" w:hAnsi="Times New Roman" w:cs="Times New Roman"/>
          <w:sz w:val="20"/>
          <w:szCs w:val="20"/>
        </w:rPr>
        <w:tab/>
        <w:t xml:space="preserve">pozostałych obiektów inżynierii lądowej 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7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 wodnej, gdzie indziej nie sklasyfikowane,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pos="1757"/>
          <w:tab w:val="right" w:pos="4138"/>
          <w:tab w:val="left" w:pos="4325"/>
          <w:tab w:val="right" w:pos="9091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</w:t>
      </w:r>
      <w:r w:rsidRPr="009C20AC">
        <w:rPr>
          <w:rFonts w:ascii="Times New Roman" w:hAnsi="Times New Roman" w:cs="Times New Roman"/>
          <w:sz w:val="20"/>
          <w:szCs w:val="20"/>
        </w:rPr>
        <w:tab/>
        <w:t>budowlane</w:t>
      </w:r>
      <w:r w:rsidRPr="009C20AC">
        <w:rPr>
          <w:rFonts w:ascii="Times New Roman" w:hAnsi="Times New Roman" w:cs="Times New Roman"/>
          <w:sz w:val="20"/>
          <w:szCs w:val="20"/>
        </w:rPr>
        <w:tab/>
        <w:t>związane</w:t>
      </w:r>
      <w:r w:rsidRPr="009C20AC">
        <w:rPr>
          <w:rFonts w:ascii="Times New Roman" w:hAnsi="Times New Roman" w:cs="Times New Roman"/>
          <w:sz w:val="20"/>
          <w:szCs w:val="20"/>
        </w:rPr>
        <w:tab/>
        <w:t>ze wznoszeniem</w:t>
      </w:r>
      <w:r w:rsidRPr="009C20AC">
        <w:rPr>
          <w:rFonts w:ascii="Times New Roman" w:hAnsi="Times New Roman" w:cs="Times New Roman"/>
          <w:sz w:val="20"/>
          <w:szCs w:val="20"/>
        </w:rPr>
        <w:tab/>
        <w:t>budynków mieszkalnych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7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 niemieszkalnych,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Wykonywanie konstrukcji i pokryć dachowych,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Pozostałe specjalistyczne roboty budowlane, gdzie indziej nie sklasyfikowane,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 związane z budową dróg i autostrad,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Roboty związane z budową obiektów inżynierii wodnej,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Wykonywanie instalacji elektrycznych,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Wykonywanie instalacji wodnokanalizacyjnych, cieplnych, gazowych 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7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 klimatyzacyjnych,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hyphen" w:pos="9027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Działalność ochroniarska w zakresie obsługi systemów bezpieczeństwa,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82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Wykonywanie pozostałych instalacji budowlanych,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882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Tynkowanie,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Zakładanie stolarki budowlanej,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Posadzkarstwo, tapetowanie i oblicowywanie ścian,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Malowanie i szklenie,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Wykonywanie pozostałych robót budowlanych wykończeniowych,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Pozostałe specjalistyczne roboty budowlane, gdzie indziej niesklasyfikowane,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lastRenderedPageBreak/>
        <w:t>Wydobywanie żwiru i piasku; wydobywanie gliny i kaolinu,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Działalność usługowa wspomagająca pozostałe górnictwo i wydobywanie,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Produkcja cegieł, dachówek i materiałów budowlanych z wypalanej gliny,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Naprawa i konserwacja pozostałego sprzętu i wyposażenia,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Instalowanie maszyn przemysłowych, sprzętu i wyposażenia,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Produkcja wyrobów budowlanych z betonu,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Naprawa i konserwacja maszyn,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Działalność agentów zajmujących się sprzedażą drewna i materiałów budowlanych,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Sprzedaż hurtowa drewna, materiałów budowlanych i wyposażenia sanitarnego,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Pozostały transport lądowy pasażerski, gdzie indziej nie sklasyfikowany,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Transport drogowy towarów,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54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Realizacja projektów budowlanych związanych ze wznoszeniem budynków, </w:t>
      </w:r>
      <w:r w:rsidRPr="009C20AC">
        <w:rPr>
          <w:rFonts w:ascii="Times New Roman" w:hAnsi="Times New Roman" w:cs="Times New Roman"/>
          <w:sz w:val="20"/>
          <w:szCs w:val="20"/>
          <w:lang w:bidi="en-US"/>
        </w:rPr>
        <w:softHyphen/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798"/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Kupno i sprzedaż nieruchomości na własny rachunek,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Wynajem i zarządzanie nieruchomościami własnymi lub dzierżawionymi,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Zarządzanie nieruchomościami wykonywane na zlecenie,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Działalność pomocnicza związana z utrzymaniem porządku w budynkach,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Wynajem i dzierżawa samochodów osobowych i furgonetek,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Wynajem i dzierżawa pozostałych pojazdów samochodowych z wyłączeniem motocykli,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Wynajem i dzierżawa pozostałych maszyn, urządzeń oraz dóbr materialnych,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hyphen" w:pos="9040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gdzie indziej niesklasyfikowane,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Wynajem i dzierżawa maszyn i urządzeń budowlanych,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Badania naukowe i prace rozwojowe w dziedzinie biotechnologii,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Badania naukowe i prace rozwojowe w dziedzinie pozostałych nauk przyrodniczych i technicznych,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Działalność w zakresie architektury,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Działalność w zakresie inżynierii i związane z nią doradztwo techniczne,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Pozostała działalność profesjonalna, naukowa i techniczna, gdzie indziej nie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hyphen" w:pos="9040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sklasyfikowana,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Technika,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Zasadnicze szkoły zawodowe,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Pozaszkolne formy edukacji sportowej zajęć sportowych i rekreacyjnych,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Pozaszkolne formy edukacji artystycznej,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Pozostałe pozaszkolne formy edukacji, gdzie indziej niesklasyfikowane,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</w:tabs>
        <w:spacing w:line="240" w:lineRule="auto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Działalność historycznych miejsc i budynków oraz podobnych atrakcji turystycznych, 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Naprawa i konserwacja statków i łodzi,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  <w:tab w:val="left" w:leader="dot" w:pos="902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Produkcja statków i konstrukcji pływających,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  <w:tab w:val="left" w:leader="dot" w:pos="902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Działalność rachunkowo - księgowa; doradztwo podatkowe,</w:t>
      </w:r>
    </w:p>
    <w:p w:rsidR="00B2167F" w:rsidRPr="009C20AC" w:rsidRDefault="00B2167F" w:rsidP="009C20AC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</w:tabs>
        <w:spacing w:line="240" w:lineRule="auto"/>
        <w:ind w:left="780" w:hanging="35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Pozostałe doradztwo w zakresie prowadzenia działalności gospodarczej i zarządzania.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lub koncesji.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Uchwały o istotnej zmianie przedmiotu działalności Spółki nie wymagają wykupu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8123"/>
        </w:tabs>
        <w:spacing w:after="2"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akcji w myśl art. 417 § 4 Kodeksu Spółek Handlowych, o ile zostaną powzięte większością dwóch trzecich głosów w obecności osób reprezentujących co najmniej połowę kapitału zakładowego.</w:t>
      </w:r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4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została utworzona na czas nieoznaczony.</w:t>
      </w:r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5</w:t>
      </w:r>
    </w:p>
    <w:p w:rsidR="00B2167F" w:rsidRPr="009C20AC" w:rsidRDefault="00B2167F" w:rsidP="009C20AC">
      <w:pPr>
        <w:pStyle w:val="Bodytext20"/>
        <w:numPr>
          <w:ilvl w:val="0"/>
          <w:numId w:val="32"/>
        </w:numPr>
        <w:shd w:val="clear" w:color="auto" w:fill="auto"/>
        <w:tabs>
          <w:tab w:val="left" w:pos="3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Kapitał zakładowy Spółki wynosi 1.281.185,90 (słownie: jeden milion dwieście osiemdziesiąt jeden tysięcy sto osiemdziesiąt pięć złotych 90/100) i dzieli się na:-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382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2.000.000 akcji zwykłych na okaziciela serii A,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8.000.000 akcji zwykłych na okaziciela serii B,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71.025 akcji zwykłych na okaziciela serii C,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2.500.000 akcji zwykłych na okaziciela serii D, oraz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31.686 akcji zwykłych na okaziciela serii E,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41.458 akcji zwykłych na okaziciela serii F,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33.787 akcji zwykłych na okaziciela serii G,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36.590 akcji zwykłych na okaziciela serii H,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47.379 akcji zwykłych na okaziciela serii I,</w:t>
      </w:r>
    </w:p>
    <w:p w:rsidR="00B2167F" w:rsidRPr="009C20AC" w:rsidRDefault="00B2167F" w:rsidP="009C20AC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49.934 akcji zwykłych na okaziciela serii J,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o wartości nominalnej 0,10 zł (dziesięć groszy) każda akcja.</w:t>
      </w:r>
    </w:p>
    <w:p w:rsidR="00B2167F" w:rsidRPr="009C20AC" w:rsidRDefault="00B2167F" w:rsidP="009C20AC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Kapitał zakładowy Spółki został w pełni opłacony przed zarejestrowaniem Spółki. </w:t>
      </w:r>
    </w:p>
    <w:p w:rsidR="00B2167F" w:rsidRPr="009C20AC" w:rsidRDefault="00B2167F" w:rsidP="009C20AC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  <w:tab w:val="left" w:leader="dot" w:pos="902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lastRenderedPageBreak/>
        <w:t>Akcje mogą być umarzane w trybie umorzenia dobrowolnego.</w:t>
      </w:r>
    </w:p>
    <w:p w:rsidR="00B2167F" w:rsidRPr="009C20AC" w:rsidRDefault="00B2167F" w:rsidP="009C20AC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może emitować obligacje zamienne, obligacje z prawem pierwszeństwa oraz warranty subskrypcyjne.</w:t>
      </w:r>
    </w:p>
    <w:p w:rsidR="00B2167F" w:rsidRPr="009C20AC" w:rsidRDefault="00B2167F" w:rsidP="009C20AC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903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33"/>
        </w:tabs>
        <w:spacing w:after="33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6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33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Spółka powstała w wyniku przekształcenia spółki ERBUD Spółka z ograniczoną odpowiedzialnością i jest jej następcą prawnym. Założycielami Spółki są wspólnicy przekształconej spółki z ograniczoną odpowiedzialnością, którzy przystąpili do Spółki i objęli akcje, tj.:</w:t>
      </w:r>
    </w:p>
    <w:p w:rsidR="00B2167F" w:rsidRPr="009C20AC" w:rsidRDefault="00B2167F" w:rsidP="009C20AC">
      <w:pPr>
        <w:pStyle w:val="Bodytext20"/>
        <w:numPr>
          <w:ilvl w:val="0"/>
          <w:numId w:val="15"/>
        </w:numPr>
        <w:shd w:val="clear" w:color="auto" w:fill="auto"/>
        <w:tabs>
          <w:tab w:val="left" w:pos="1461"/>
          <w:tab w:val="left" w:leader="dot" w:pos="903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Pan Dariusz Grzeszczak,</w:t>
      </w:r>
    </w:p>
    <w:p w:rsidR="00B2167F" w:rsidRPr="009C20AC" w:rsidRDefault="00B2167F" w:rsidP="009C20AC">
      <w:pPr>
        <w:pStyle w:val="Bodytext20"/>
        <w:numPr>
          <w:ilvl w:val="0"/>
          <w:numId w:val="15"/>
        </w:numPr>
        <w:shd w:val="clear" w:color="auto" w:fill="auto"/>
        <w:tabs>
          <w:tab w:val="left" w:pos="1461"/>
          <w:tab w:val="left" w:leader="dot" w:pos="903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Pan Józef Adam Zubelewicz oraz</w:t>
      </w:r>
    </w:p>
    <w:p w:rsidR="00B2167F" w:rsidRPr="009C20AC" w:rsidRDefault="00B2167F" w:rsidP="009C20AC">
      <w:pPr>
        <w:pStyle w:val="Bodytext20"/>
        <w:numPr>
          <w:ilvl w:val="0"/>
          <w:numId w:val="15"/>
        </w:numPr>
        <w:shd w:val="clear" w:color="auto" w:fill="auto"/>
        <w:tabs>
          <w:tab w:val="left" w:pos="765"/>
          <w:tab w:val="left" w:leader="dot" w:pos="9033"/>
        </w:tabs>
        <w:spacing w:after="330"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spółka prawa niemieckiego Wolff &amp; </w:t>
      </w:r>
      <w:r w:rsidRPr="009C20AC">
        <w:rPr>
          <w:rFonts w:ascii="Times New Roman" w:hAnsi="Times New Roman" w:cs="Times New Roman"/>
          <w:sz w:val="20"/>
          <w:szCs w:val="20"/>
          <w:lang w:val="de-DE" w:eastAsia="de-DE" w:bidi="de-DE"/>
        </w:rPr>
        <w:t xml:space="preserve">Müller </w:t>
      </w:r>
      <w:r w:rsidRPr="009C20AC">
        <w:rPr>
          <w:rFonts w:ascii="Times New Roman" w:hAnsi="Times New Roman" w:cs="Times New Roman"/>
          <w:sz w:val="20"/>
          <w:szCs w:val="20"/>
        </w:rPr>
        <w:t>GmbH &amp; Co. KG.</w:t>
      </w:r>
    </w:p>
    <w:p w:rsidR="00B2167F" w:rsidRPr="009C20AC" w:rsidRDefault="00B2167F" w:rsidP="009C20AC">
      <w:pPr>
        <w:pStyle w:val="Bodytext20"/>
        <w:shd w:val="clear" w:color="auto" w:fill="auto"/>
        <w:spacing w:after="192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7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3764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Organami Spółki są:.</w:t>
      </w:r>
    </w:p>
    <w:p w:rsidR="00B2167F" w:rsidRPr="009C20AC" w:rsidRDefault="00B2167F" w:rsidP="009C20AC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  <w:tab w:val="left" w:leader="dot" w:pos="3764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Zarząd,</w:t>
      </w:r>
    </w:p>
    <w:p w:rsidR="00B2167F" w:rsidRPr="009C20AC" w:rsidRDefault="00B2167F" w:rsidP="009C20AC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  <w:tab w:val="left" w:leader="dot" w:pos="3764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Rada Nadzorcza,</w:t>
      </w:r>
    </w:p>
    <w:p w:rsidR="00B2167F" w:rsidRPr="009C20AC" w:rsidRDefault="00B2167F" w:rsidP="009C20AC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Walne Zgromadzenie.</w:t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8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pos="1461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 skład Zarządu wchodzi od 2 (dwóch) do 5 (pięć) członków.</w:t>
      </w:r>
    </w:p>
    <w:p w:rsidR="00B2167F" w:rsidRPr="009C20AC" w:rsidRDefault="00B2167F" w:rsidP="009C20AC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Członków Zarządu powołuje i odwołuje Rada Nadzorcza Spółki.</w:t>
      </w:r>
    </w:p>
    <w:p w:rsidR="00B2167F" w:rsidRPr="009C20AC" w:rsidRDefault="00B2167F" w:rsidP="009C20AC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after="33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Wspólna kadencja członków Zarządu trwa trzy lata.</w:t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9</w:t>
      </w:r>
    </w:p>
    <w:p w:rsidR="00B2167F" w:rsidRPr="009C20AC" w:rsidRDefault="00B2167F" w:rsidP="009C20AC">
      <w:pPr>
        <w:pStyle w:val="Bodytext20"/>
        <w:numPr>
          <w:ilvl w:val="0"/>
          <w:numId w:val="18"/>
        </w:numPr>
        <w:shd w:val="clear" w:color="auto" w:fill="auto"/>
        <w:tabs>
          <w:tab w:val="left" w:pos="346"/>
          <w:tab w:val="left" w:leader="dot" w:pos="9025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Zarząd Spółki prowadzi sprawy Spółki i reprezentuje ją na zewnątrz.</w:t>
      </w:r>
    </w:p>
    <w:p w:rsidR="00B2167F" w:rsidRPr="009C20AC" w:rsidRDefault="00B2167F" w:rsidP="009C20AC">
      <w:pPr>
        <w:pStyle w:val="Bodytext20"/>
        <w:numPr>
          <w:ilvl w:val="0"/>
          <w:numId w:val="18"/>
        </w:numPr>
        <w:shd w:val="clear" w:color="auto" w:fill="auto"/>
        <w:tabs>
          <w:tab w:val="left" w:pos="368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:rsidR="00B2167F" w:rsidRPr="009C20AC" w:rsidRDefault="00B2167F" w:rsidP="009C20AC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after="33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Regulamin Zarządu określi szczegółowe zasady działania Zarządu. Regulamin Zarządu, ustalony z zastrzeżeniem postanowień niniejszego Statutu, uchwala Zarząd.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10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25"/>
        </w:tabs>
        <w:spacing w:after="33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Do składania oświadczeń woli w imieniu Spółki upoważnionych jest dwóch członków Zarządu działających łącznie albo jeden członek Zarządu działający łącznie z prokurentem.</w:t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11</w:t>
      </w:r>
    </w:p>
    <w:p w:rsidR="00B2167F" w:rsidRPr="009C20AC" w:rsidRDefault="00B2167F" w:rsidP="009C20AC">
      <w:pPr>
        <w:pStyle w:val="Bodytext20"/>
        <w:numPr>
          <w:ilvl w:val="0"/>
          <w:numId w:val="19"/>
        </w:numPr>
        <w:shd w:val="clear" w:color="auto" w:fill="auto"/>
        <w:tabs>
          <w:tab w:val="left" w:pos="346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 skład Rady Nadzorczej wchodzi od 5 do 7 członków, w tym Przewodniczący oraz Wiceprzewodniczący Rady Nadzorczej.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19"/>
        </w:numPr>
        <w:shd w:val="clear" w:color="auto" w:fill="auto"/>
        <w:tabs>
          <w:tab w:val="left" w:pos="37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Członkowie Rady Nadzorczej są powoływani przez Walne Zgromadzenie na okres wspólnej trzyletniej kadencji. Walne Zgromadzenie wyznacza Przewodniczącego oraz Wiceprzewodniczącego Rady Nadzorczej.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19"/>
        </w:numPr>
        <w:shd w:val="clear" w:color="auto" w:fill="auto"/>
        <w:tabs>
          <w:tab w:val="left" w:pos="373"/>
          <w:tab w:val="left" w:leader="dot" w:pos="9025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Do kompetencji Rady Nadzorczej należy: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773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zatwierdzanie strategicznych planów wieloletnich Spółki,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zatwierdzanie rocznych planów rzeczowo - finansowych,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lastRenderedPageBreak/>
        <w:t>zatwierdzanie planów inwestycyjnych Spółki,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nabycie, zbycie i obciążenie nieruchomości, użytkowania wieczystego lub udziału w nieruchomości lub prawie użytkowania wieczystego,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40" w:lineRule="auto"/>
        <w:ind w:left="760" w:hanging="33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przestawienie produkcji, zakładanie i rozwiązywanie zakładów i filii, nabycie nowych przedsiębiorstw,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40" w:lineRule="auto"/>
        <w:ind w:left="760" w:hanging="33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udzielanie przez Spółkę gwarancji, poręczeń majątkowych i wystawianie weksli, przejęcie poręczeń, otwarcia akredytywy, o wartości każdorazowo powyżej równowartości kwoty 2.000.000,00 (słownie: dwóch milionów) Euro,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40" w:lineRule="auto"/>
        <w:ind w:left="7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inwestycje kapitałowe powyżej równowartości kwoty 100.000,00 (słownie: sto tysięcy) Euro z wyłączeniem lokat kapitałowych, bonów i obligacji skarbowych emitowanych w Polsce lub krajach na obszarze, których Spółka prowadzi działalność,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40" w:lineRule="auto"/>
        <w:ind w:left="7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nabycie, zbycie, obciążenie udziałów lub akcji w innych podmiotach,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4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 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inwestycje powyżej równowartości kwoty 100.000,00 (słownie: sto tysięcy) Euro, chyba że inwestycje te są zawarte w planie inwestycyjnym, zatwierdzonym przez Radę Nadzorczą,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zawarcie umów najmu, dzierżawy i licencji, z okresem obowiązywania powyżej 48 miesięcy zawieranych poza zwykłym tokiem działalności i nieprzewidzianych w budżecie,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udzielanie zgody na składanie ofert i zawieranie umów o roboty budowlane o wartości netto przekraczającej równowartość kwoty 15.000.000,00 (słownie: piętnastu milionów) Euro, w przypadku ofert wspólnych, miarodajna jest suma netto oferty, a nie udział spółki w ofercie, 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udzielanie zgody na rozporządzenie prawem lub zaciągnięcie zobowiązania o wartości przekraczającej równowartość kwoty 2.000.000,00 (słownie: dwóch milionów) Euro, 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zgody na zatrudnienie pracownika o rocznym wymiarze wynagrodzenia przekraczającym równowartość kwoty 150.000,00 (słownie: sto pięćdziesiąt tysięcy) Euro,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udzielanie zgody na zasiadanie członków zarządu Spółki w zarządach lub radach nadzorczych spółek spoza grupy kapitałowej spółki oraz w przypadkach określonych w art. 380 § 1 </w:t>
      </w:r>
      <w:r w:rsidRPr="009C20AC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>Kodeksu spółek handlowych,</w:t>
      </w:r>
    </w:p>
    <w:p w:rsidR="00B2167F" w:rsidRPr="009C20AC" w:rsidRDefault="00B2167F" w:rsidP="009C20A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inne sprawy zastrzeżone do kompetencji Rady Nadzorczej przepisami prawa, postanowieniami niniejszego Statutu, przekazane na wniosek Zarządu lub delegowane uchwałą Walnego Zgromadzenia.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3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Style w:val="Bodytext2Bold"/>
          <w:rFonts w:ascii="Times New Roman" w:hAnsi="Times New Roman" w:cs="Times New Roman"/>
          <w:sz w:val="20"/>
          <w:szCs w:val="20"/>
        </w:rPr>
        <w:t xml:space="preserve">„Równowartość” </w:t>
      </w:r>
      <w:r w:rsidRPr="009C20AC">
        <w:rPr>
          <w:rFonts w:ascii="Times New Roman" w:hAnsi="Times New Roman" w:cs="Times New Roman"/>
          <w:sz w:val="20"/>
          <w:szCs w:val="20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3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tabs>
          <w:tab w:val="right" w:leader="hyphen" w:pos="9356"/>
          <w:tab w:val="right" w:leader="hyphen" w:pos="9469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C20AC">
        <w:rPr>
          <w:rFonts w:ascii="Times New Roman" w:hAnsi="Times New Roman" w:cs="Times New Roman"/>
          <w:bCs/>
          <w:sz w:val="20"/>
          <w:szCs w:val="20"/>
        </w:rPr>
        <w:t>§ 11a</w:t>
      </w:r>
    </w:p>
    <w:p w:rsidR="00B2167F" w:rsidRPr="009C20AC" w:rsidRDefault="00B2167F" w:rsidP="009C20AC">
      <w:pPr>
        <w:tabs>
          <w:tab w:val="right" w:leader="hyphen" w:pos="9356"/>
          <w:tab w:val="right" w:leader="hyphen" w:pos="946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2167F" w:rsidRPr="009C20AC" w:rsidRDefault="00B2167F" w:rsidP="009C20AC">
      <w:pPr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C20AC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Spółki.. </w:t>
      </w:r>
    </w:p>
    <w:p w:rsidR="00B2167F" w:rsidRPr="009C20AC" w:rsidRDefault="00B2167F" w:rsidP="009C20AC">
      <w:pPr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C20AC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Niespełnienie kryteriów niezależności, o których mowa w ust. 1 powyżej, przez któregokolwiek z członków Rady Nadzorczej, bądź utrata statusu Niezależnego Członka Rady Nadzorczej w trakcie kadencji, nie </w:t>
      </w:r>
      <w:r w:rsidRPr="009C20AC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lastRenderedPageBreak/>
        <w:t xml:space="preserve">powoduje wygaśnięcia jego mandatu i nie ma wpływu na zdolność Rady Nadzorczej do wykonywania kompetencji przewidzianych w Kodeksie spółek handlowych i w niniejszym Statucie. </w:t>
      </w:r>
    </w:p>
    <w:p w:rsidR="00B2167F" w:rsidRPr="009C20AC" w:rsidRDefault="00B2167F" w:rsidP="009C20AC">
      <w:pPr>
        <w:tabs>
          <w:tab w:val="right" w:leader="hyphen" w:pos="9356"/>
          <w:tab w:val="right" w:leader="hyphen" w:pos="9469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67F" w:rsidRPr="009C20AC" w:rsidRDefault="00B2167F" w:rsidP="009C20AC">
      <w:pPr>
        <w:tabs>
          <w:tab w:val="right" w:leader="hyphen" w:pos="9356"/>
          <w:tab w:val="right" w:leader="hyphen" w:pos="9469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C20AC">
        <w:rPr>
          <w:rFonts w:ascii="Times New Roman" w:hAnsi="Times New Roman" w:cs="Times New Roman"/>
          <w:bCs/>
          <w:sz w:val="20"/>
          <w:szCs w:val="20"/>
        </w:rPr>
        <w:t xml:space="preserve">§ 11b </w:t>
      </w:r>
    </w:p>
    <w:p w:rsidR="00B2167F" w:rsidRPr="009C20AC" w:rsidRDefault="00B2167F" w:rsidP="009C20AC">
      <w:pPr>
        <w:tabs>
          <w:tab w:val="right" w:leader="hyphen" w:pos="9356"/>
          <w:tab w:val="right" w:leader="hyphen" w:pos="9469"/>
        </w:tabs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167F" w:rsidRPr="009C20AC" w:rsidRDefault="00B2167F" w:rsidP="009C20AC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kern w:val="1"/>
          <w:sz w:val="20"/>
          <w:szCs w:val="20"/>
          <w:lang w:val="pl-PL" w:bidi="hi-IN"/>
        </w:rPr>
        <w:t>Tak długo jak akcje Spółki będą dopuszczone</w:t>
      </w:r>
      <w:r w:rsidRPr="009C20AC">
        <w:rPr>
          <w:rFonts w:ascii="Times New Roman" w:hAnsi="Times New Roman"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</w:t>
      </w:r>
    </w:p>
    <w:p w:rsidR="00B2167F" w:rsidRPr="009C20AC" w:rsidRDefault="00B2167F" w:rsidP="009C20AC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 xml:space="preserve">Do zadań komitetu audytu należy w szczególności: </w:t>
      </w:r>
    </w:p>
    <w:p w:rsidR="00B2167F" w:rsidRPr="009C20AC" w:rsidRDefault="00B2167F" w:rsidP="009C20AC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ind w:left="993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1)  monitorowanie procesu sprawozdawczości finansowej;</w:t>
      </w:r>
    </w:p>
    <w:p w:rsidR="00B2167F" w:rsidRPr="009C20AC" w:rsidRDefault="00B2167F" w:rsidP="009C20AC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ind w:left="993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2) monitorowanie skuteczności systemów kontroli wewnętrznej i systemów zarządzania ryzykiem oraz audytu wewnętrznego, w tym w zakresie sprawozdawczości finansowej;</w:t>
      </w:r>
    </w:p>
    <w:p w:rsidR="00B2167F" w:rsidRPr="009C20AC" w:rsidRDefault="00B2167F" w:rsidP="009C20AC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167F" w:rsidRPr="009C20AC" w:rsidRDefault="00B2167F" w:rsidP="009C20AC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3) monitorowanie wykonywania czynności rewizji finansowej, w szczególności przeprowadzania przez firmę audytorską badania;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kontrolowanie i monitorowanie niezależności biegłego rewidenta i firmy audytorskiej, w szczególności w przypadku, gdy na rzecz Spółki świadczone są przez firmę audytorską inne usługi niż badanie;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informowanie rady nadzorczej Spółki o wynikach badania oraz wyjaśnianie, w jaki sposób badanie to przyczyniło się do rzetelności sprawozdawczości finansowej w Spółce, a także jaka była rola komitetu audytu w procesie badania;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dokonywanie oceny niezależności biegłego rewidenta oraz wyrażanie zgody na świadczenie przez niego dozwolonych usług niebędących badaniem w Spółce;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opracowywanie polityki wyboru firmy audytorskiej do przeprowadzania badania;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opracowywanie polityki świadczenia przez firmę audytorską przeprowadzającą badanie, przez podmioty powiązane z tą firmą audytorską oraz przez członka sieci firmy audytorskiej dozwolonych usług niebędących badaniem;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określanie procedury wyboru firmy audytorskiej przez Spółkę;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</w:t>
      </w:r>
    </w:p>
    <w:p w:rsidR="00B2167F" w:rsidRPr="009C20AC" w:rsidRDefault="00B2167F" w:rsidP="009C20AC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przedkładanie zaleceń mających na celu zapewnienie rzetelności procesu sprawozdawczości finansowej w Spółce.</w:t>
      </w:r>
    </w:p>
    <w:p w:rsidR="00B2167F" w:rsidRPr="009C20AC" w:rsidRDefault="00B2167F" w:rsidP="009C20AC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9C20AC">
        <w:rPr>
          <w:rFonts w:ascii="Times New Roman" w:hAnsi="Times New Roman"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pos="349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9C20AC" w:rsidRDefault="00B2167F" w:rsidP="009C20AC">
      <w:pPr>
        <w:pStyle w:val="Bodytext20"/>
        <w:shd w:val="clear" w:color="auto" w:fill="auto"/>
        <w:tabs>
          <w:tab w:val="left" w:pos="349"/>
        </w:tabs>
        <w:spacing w:line="240" w:lineRule="auto"/>
        <w:ind w:left="38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§12</w:t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Rada Nadzorcza zwoływana jest minimum trzy razy w roku obrotowym. 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Uchwały Rady Nadzorczej mogą być podejmowane w trybie pisemnym lub przy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817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wykorzystaniu środków bezpośredniego porozumiewania się na odległość. Uchwała jest ważna, gdy wszyscy członkowie Rady zostali powiadomieni o treści projektu uchwały.</w:t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leader="dot" w:pos="901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Podejmowanie uchwał w trybie określonym w ust. 3 i ust. 4 nie może dotyczyć wyboru Przewodniczącego Rady Nadzorczej, powołania członka Zarządu oraz odwołania i zawieszania w czynnościach członków Zarządu.</w:t>
      </w:r>
    </w:p>
    <w:p w:rsidR="00B2167F" w:rsidRPr="009C20AC" w:rsidRDefault="00B2167F" w:rsidP="009C20AC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after="570"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lastRenderedPageBreak/>
        <w:t>Członkom Rady Nadzorczej przysługuje wynagrodzenie określone uchwałą Walnego Zgromadzenia Akcjonariuszy.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shd w:val="clear" w:color="auto" w:fill="auto"/>
        <w:spacing w:after="257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13</w:t>
      </w:r>
    </w:p>
    <w:p w:rsidR="00B2167F" w:rsidRPr="009C20AC" w:rsidRDefault="00B2167F" w:rsidP="009C20AC">
      <w:pPr>
        <w:pStyle w:val="Bodytext20"/>
        <w:numPr>
          <w:ilvl w:val="0"/>
          <w:numId w:val="22"/>
        </w:numPr>
        <w:shd w:val="clear" w:color="auto" w:fill="auto"/>
        <w:tabs>
          <w:tab w:val="left" w:pos="349"/>
          <w:tab w:val="left" w:leader="dot" w:pos="901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Walne Zgromadzenie obraduje jako zwyczajne lub nadzwyczajne.</w:t>
      </w:r>
    </w:p>
    <w:p w:rsidR="00B2167F" w:rsidRPr="009C20AC" w:rsidRDefault="00B2167F" w:rsidP="009C20AC">
      <w:pPr>
        <w:pStyle w:val="Bodytext20"/>
        <w:numPr>
          <w:ilvl w:val="0"/>
          <w:numId w:val="22"/>
        </w:numPr>
        <w:shd w:val="clear" w:color="auto" w:fill="auto"/>
        <w:tabs>
          <w:tab w:val="left" w:leader="dot" w:pos="901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Zwyczajne Walne Zgromadzenie zwoływane przez Zarząd powinno się odbyć w ciągu sześciu miesięcy po upływie każdego roku obrotowego.</w:t>
      </w:r>
    </w:p>
    <w:p w:rsidR="00B2167F" w:rsidRPr="009C20AC" w:rsidRDefault="00B2167F" w:rsidP="009C20AC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Nadzwyczajne Walne Zgromadzenie zwołuje Zarząd Spółki z własnej inicjatywy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901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lub na pisemny wniosek Rady Nadzorczej albo na żądanie akcjonariusza lub akcjonariuszy reprezentujących co najmniej jedną dwudziestą kapitału zakładowego.</w:t>
      </w:r>
    </w:p>
    <w:p w:rsidR="00B2167F" w:rsidRPr="009C20AC" w:rsidRDefault="00B2167F" w:rsidP="009C20AC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line="240" w:lineRule="auto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Zwołanie Nadzwyczajnego Walnego Zgromadzenia na żądanie akcjonariusza lub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6980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akcjonariuszy reprezentujących co najmniej jedną dwudziestą kapitału zakładowego powinno nastąpić w ciągu dwóch tygodni od daty przedstawienia żądania Zarządowi Spółki..</w:t>
      </w:r>
    </w:p>
    <w:p w:rsidR="00B2167F" w:rsidRPr="009C20AC" w:rsidRDefault="00B2167F" w:rsidP="009C20AC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after="330"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10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14</w:t>
      </w:r>
    </w:p>
    <w:p w:rsidR="00B2167F" w:rsidRPr="009C20AC" w:rsidRDefault="00B2167F" w:rsidP="009C20AC">
      <w:pPr>
        <w:pStyle w:val="Bodytext20"/>
        <w:numPr>
          <w:ilvl w:val="0"/>
          <w:numId w:val="23"/>
        </w:numPr>
        <w:shd w:val="clear" w:color="auto" w:fill="auto"/>
        <w:tabs>
          <w:tab w:val="left" w:pos="34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Walne Zgromadzenie może podejmować uchwały bez względu na liczbę obecnych akcjonariuszy i reprezentowanych akcji, o ile przepisy Kodeksu spółek handlowych lub niniejszy Statut nie stanowią inaczej. 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330"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Uchwały Walnego Zgromadzenia zapadają zwykłą większością głosów, o ile przepisy Kodeksu spółek handlowych lub niniejszy Statut nie stanowią inaczej. </w:t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left="10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15</w:t>
      </w:r>
    </w:p>
    <w:p w:rsidR="00B2167F" w:rsidRPr="009C20AC" w:rsidRDefault="00B2167F" w:rsidP="009C20AC">
      <w:pPr>
        <w:pStyle w:val="Bodytext20"/>
        <w:numPr>
          <w:ilvl w:val="0"/>
          <w:numId w:val="30"/>
        </w:numPr>
        <w:shd w:val="clear" w:color="auto" w:fill="auto"/>
        <w:tabs>
          <w:tab w:val="left" w:leader="dot" w:pos="903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Do kompetencji Walnego Zgromadzenia należy: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rozpatrzenie i zatwierdzenie sprawozdania Zarządu z działalności Spółki oraz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pos="709"/>
          <w:tab w:val="left" w:leader="dot" w:pos="9031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sprawozdania finansowego za ubiegły rok obrotowy,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powzięcie uchwały o podziale zysków lub pokryciu strat,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udzielanie absolutorium członkom organów Spółki z wykonania przez nich obowiązków,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uchwalenie regulaminu Rady Nadzorczej oraz ustalanie zasad wynagradzania członków Rady Nadzorczej,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podwyższenie lub obniżenie kapitału zakładowego,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zmiany statutu Spółki,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połączenie Spółki z inną spółką handlową,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rozwiązanie i likwidacja Spółki,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 emisja obligacji zamiennych, obligacji z prawem pierwszeństwa lub warrantów subskrypcyjnych,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zbycie i wydzierżawienie przedsiębiorstwa lub jego zorganizowanej części oraz ustanowienie na nich ograniczonego prawa rzeczowego,</w:t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rozpatrywanie spraw wniesionych przez Radę Nadzorczą, Zarząd lub akcjonariuszy Spółki,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decydowanie w innych sprawach, które zgodnie z przepisami Kodeksu spółek handlowych lub brzmieniem niniejszego Statutu należą do kompetencji Walnego Zgromadzenia.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30"/>
        </w:numPr>
        <w:shd w:val="clear" w:color="auto" w:fill="auto"/>
        <w:tabs>
          <w:tab w:val="left" w:leader="dot" w:pos="903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Do nabycia lub zbycia nieruchomości, użytkowania wieczystego lub udziału w nieruchomości lub prawie użytkowania wieczystego uchwała Walnego Zgromadzenia nie jest wymagana. </w:t>
      </w:r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16</w:t>
      </w:r>
    </w:p>
    <w:p w:rsidR="00B2167F" w:rsidRPr="009C20AC" w:rsidRDefault="00B2167F" w:rsidP="009C20AC">
      <w:pPr>
        <w:pStyle w:val="Bodytext20"/>
        <w:shd w:val="clear" w:color="auto" w:fill="auto"/>
        <w:tabs>
          <w:tab w:val="left" w:leader="dot" w:pos="7370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Rokiem obrotowym Spółki jest rok kalendarzowy.</w:t>
      </w:r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17</w:t>
      </w:r>
    </w:p>
    <w:p w:rsidR="00B2167F" w:rsidRPr="009C20AC" w:rsidRDefault="00B2167F" w:rsidP="009C20A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 ramach kapitałów własnych Spółka tworzy następujące kapitały:</w:t>
      </w:r>
    </w:p>
    <w:p w:rsidR="00B2167F" w:rsidRPr="009C20AC" w:rsidRDefault="00B2167F" w:rsidP="009C20AC">
      <w:pPr>
        <w:pStyle w:val="Bodytext20"/>
        <w:numPr>
          <w:ilvl w:val="0"/>
          <w:numId w:val="25"/>
        </w:numPr>
        <w:shd w:val="clear" w:color="auto" w:fill="auto"/>
        <w:tabs>
          <w:tab w:val="left" w:pos="853"/>
          <w:tab w:val="left" w:leader="dot" w:pos="7772"/>
        </w:tabs>
        <w:spacing w:line="240" w:lineRule="auto"/>
        <w:ind w:left="4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kapitał zakładowy,</w:t>
      </w:r>
    </w:p>
    <w:p w:rsidR="00B2167F" w:rsidRPr="009C20AC" w:rsidRDefault="00B2167F" w:rsidP="009C20AC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lastRenderedPageBreak/>
        <w:t>kapitał zapasowy,</w:t>
      </w:r>
    </w:p>
    <w:p w:rsidR="00B2167F" w:rsidRPr="009C20AC" w:rsidRDefault="00B2167F" w:rsidP="009C20AC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kapitały rezerwowe,</w:t>
      </w:r>
    </w:p>
    <w:p w:rsidR="00B2167F" w:rsidRPr="009C20AC" w:rsidRDefault="00B2167F" w:rsidP="009C20AC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inne kapitały przewidziane przepisami prawa.</w:t>
      </w:r>
    </w:p>
    <w:p w:rsidR="00B2167F" w:rsidRPr="009C20AC" w:rsidRDefault="00B2167F" w:rsidP="009C20AC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after="33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Kapitały rezerwowe mogą być tworzone na pokrycie poszczególnych wydatków lub strat, na mocy uchwały Walnego Zgromadzenia lub przepisów prawa nakazujących ich tworzenie.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shd w:val="clear" w:color="auto" w:fill="auto"/>
        <w:spacing w:after="197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§ 18</w:t>
      </w:r>
    </w:p>
    <w:p w:rsidR="00B2167F" w:rsidRPr="009C20AC" w:rsidRDefault="00B2167F" w:rsidP="009C20AC">
      <w:pPr>
        <w:pStyle w:val="Bodytext20"/>
        <w:numPr>
          <w:ilvl w:val="0"/>
          <w:numId w:val="26"/>
        </w:numPr>
        <w:shd w:val="clear" w:color="auto" w:fill="auto"/>
        <w:tabs>
          <w:tab w:val="left" w:pos="365"/>
          <w:tab w:val="left" w:leader="dot" w:pos="9040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Zysk Spółki można przeznaczyć w szczególności na:</w:t>
      </w:r>
    </w:p>
    <w:p w:rsidR="00B2167F" w:rsidRPr="009C20AC" w:rsidRDefault="00B2167F" w:rsidP="009C20AC">
      <w:pPr>
        <w:pStyle w:val="Bodytext20"/>
        <w:numPr>
          <w:ilvl w:val="0"/>
          <w:numId w:val="27"/>
        </w:numPr>
        <w:shd w:val="clear" w:color="auto" w:fill="auto"/>
        <w:tabs>
          <w:tab w:val="left" w:pos="813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odpisy na kapitał zapasowy,</w:t>
      </w:r>
    </w:p>
    <w:p w:rsidR="00B2167F" w:rsidRPr="009C20AC" w:rsidRDefault="00B2167F" w:rsidP="009C20AC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dywidendy dla akcjonariuszy,</w:t>
      </w:r>
    </w:p>
    <w:p w:rsidR="00B2167F" w:rsidRPr="009C20AC" w:rsidRDefault="00B2167F" w:rsidP="009C20AC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odpisy na zasilanie kapitałów rezerwowych tworzonych w Spółce,</w:t>
      </w:r>
    </w:p>
    <w:p w:rsidR="00B2167F" w:rsidRPr="009C20AC" w:rsidRDefault="00B2167F" w:rsidP="009C20AC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inne cele określone uchwałą Walnego Zgromadzenia.</w:t>
      </w:r>
    </w:p>
    <w:p w:rsidR="00B2167F" w:rsidRPr="009C20AC" w:rsidRDefault="00B2167F" w:rsidP="009C20AC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 xml:space="preserve">Dzień dywidendy oraz termin wypłaty dywidendy ustala Walne Zgromadzenie. </w:t>
      </w:r>
    </w:p>
    <w:p w:rsidR="00B2167F" w:rsidRPr="009C20AC" w:rsidRDefault="00B2167F" w:rsidP="009C20AC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40" w:lineRule="auto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Rada Nadzorcza wybiera biegłego rewidenta do przeprowadzenia badania sprawozdania finansowego Spółki za ubiegły rok obrotowy.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shd w:val="clear" w:color="auto" w:fill="auto"/>
        <w:tabs>
          <w:tab w:val="center" w:pos="4577"/>
          <w:tab w:val="left" w:pos="5220"/>
        </w:tabs>
        <w:spacing w:after="192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ab/>
        <w:t>§ 19</w:t>
      </w:r>
      <w:r w:rsidRPr="009C20AC">
        <w:rPr>
          <w:rFonts w:ascii="Times New Roman" w:hAnsi="Times New Roman" w:cs="Times New Roman"/>
          <w:sz w:val="20"/>
          <w:szCs w:val="20"/>
        </w:rPr>
        <w:tab/>
      </w:r>
    </w:p>
    <w:p w:rsidR="00B2167F" w:rsidRPr="009C20AC" w:rsidRDefault="00B2167F" w:rsidP="009C20AC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20AC">
        <w:rPr>
          <w:rFonts w:ascii="Times New Roman" w:hAnsi="Times New Roman" w:cs="Times New Roman"/>
          <w:sz w:val="20"/>
          <w:szCs w:val="20"/>
        </w:rPr>
        <w:t>W sprawach nie unormowanych niniejszym Statutem zastosowanie znajdą obowiązujące przepisy prawa, w szczególności przepisy Kodeksu spółek handlowych</w:t>
      </w:r>
      <w:r w:rsidR="0083164A" w:rsidRPr="009C20AC">
        <w:rPr>
          <w:rFonts w:ascii="Times New Roman" w:hAnsi="Times New Roman" w:cs="Times New Roman"/>
          <w:sz w:val="20"/>
          <w:szCs w:val="20"/>
        </w:rPr>
        <w:t>”</w:t>
      </w:r>
      <w:r w:rsidRPr="009C20AC">
        <w:rPr>
          <w:rFonts w:ascii="Times New Roman" w:hAnsi="Times New Roman"/>
          <w:sz w:val="20"/>
          <w:szCs w:val="20"/>
        </w:rPr>
        <w:br/>
      </w:r>
    </w:p>
    <w:p w:rsidR="00C11E56" w:rsidRPr="009C20AC" w:rsidRDefault="00C11E56" w:rsidP="009C20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C11E56" w:rsidRPr="009C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F12"/>
    <w:multiLevelType w:val="hybridMultilevel"/>
    <w:tmpl w:val="F34C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3AA"/>
    <w:multiLevelType w:val="multilevel"/>
    <w:tmpl w:val="7BE6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75A"/>
    <w:multiLevelType w:val="hybridMultilevel"/>
    <w:tmpl w:val="41EC61C0"/>
    <w:lvl w:ilvl="0" w:tplc="FCACD52E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673E2036">
      <w:start w:val="2"/>
      <w:numFmt w:val="upperRoman"/>
      <w:lvlText w:val="%2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BAF74CE"/>
    <w:multiLevelType w:val="multilevel"/>
    <w:tmpl w:val="928C8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C182A"/>
    <w:multiLevelType w:val="hybridMultilevel"/>
    <w:tmpl w:val="F80457D0"/>
    <w:lvl w:ilvl="0" w:tplc="7F401EA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0E15FF"/>
    <w:multiLevelType w:val="multilevel"/>
    <w:tmpl w:val="0B98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67745"/>
    <w:multiLevelType w:val="hybridMultilevel"/>
    <w:tmpl w:val="B73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6E40"/>
    <w:multiLevelType w:val="multilevel"/>
    <w:tmpl w:val="58A2A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0D0BA6"/>
    <w:multiLevelType w:val="multilevel"/>
    <w:tmpl w:val="990A8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2813E6"/>
    <w:multiLevelType w:val="hybridMultilevel"/>
    <w:tmpl w:val="45F2AFD6"/>
    <w:lvl w:ilvl="0" w:tplc="7BCCC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007817"/>
    <w:multiLevelType w:val="multilevel"/>
    <w:tmpl w:val="5740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25186"/>
    <w:multiLevelType w:val="multilevel"/>
    <w:tmpl w:val="2ED29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74640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C55E4"/>
    <w:multiLevelType w:val="hybridMultilevel"/>
    <w:tmpl w:val="119039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75F0C"/>
    <w:multiLevelType w:val="multilevel"/>
    <w:tmpl w:val="BFA0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78232D"/>
    <w:multiLevelType w:val="multilevel"/>
    <w:tmpl w:val="329ACC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95A05"/>
    <w:multiLevelType w:val="hybridMultilevel"/>
    <w:tmpl w:val="E310840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C5D62"/>
    <w:multiLevelType w:val="multilevel"/>
    <w:tmpl w:val="901A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A34E8D"/>
    <w:multiLevelType w:val="multilevel"/>
    <w:tmpl w:val="008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77408B"/>
    <w:multiLevelType w:val="multilevel"/>
    <w:tmpl w:val="0B1C8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65FD1"/>
    <w:multiLevelType w:val="multilevel"/>
    <w:tmpl w:val="5CDE4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F37F6"/>
    <w:multiLevelType w:val="multilevel"/>
    <w:tmpl w:val="207C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7197A"/>
    <w:multiLevelType w:val="multilevel"/>
    <w:tmpl w:val="4BA8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10364"/>
    <w:multiLevelType w:val="multilevel"/>
    <w:tmpl w:val="54908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4FB5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F145A"/>
    <w:multiLevelType w:val="hybridMultilevel"/>
    <w:tmpl w:val="AF282FD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EF146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B35FB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1375F7"/>
    <w:multiLevelType w:val="hybridMultilevel"/>
    <w:tmpl w:val="AFFE5A30"/>
    <w:lvl w:ilvl="0" w:tplc="1E2E1F9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C82E4F"/>
    <w:multiLevelType w:val="hybridMultilevel"/>
    <w:tmpl w:val="FDE03C5E"/>
    <w:lvl w:ilvl="0" w:tplc="4D8EA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305F4"/>
    <w:multiLevelType w:val="hybridMultilevel"/>
    <w:tmpl w:val="F4201882"/>
    <w:lvl w:ilvl="0" w:tplc="17569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BE71717"/>
    <w:multiLevelType w:val="multilevel"/>
    <w:tmpl w:val="14EA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30"/>
  </w:num>
  <w:num w:numId="5">
    <w:abstractNumId w:val="14"/>
  </w:num>
  <w:num w:numId="6">
    <w:abstractNumId w:val="17"/>
  </w:num>
  <w:num w:numId="7">
    <w:abstractNumId w:val="31"/>
  </w:num>
  <w:num w:numId="8">
    <w:abstractNumId w:val="5"/>
  </w:num>
  <w:num w:numId="9">
    <w:abstractNumId w:val="18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1"/>
  </w:num>
  <w:num w:numId="15">
    <w:abstractNumId w:val="16"/>
  </w:num>
  <w:num w:numId="16">
    <w:abstractNumId w:val="9"/>
  </w:num>
  <w:num w:numId="17">
    <w:abstractNumId w:val="19"/>
  </w:num>
  <w:num w:numId="18">
    <w:abstractNumId w:val="32"/>
  </w:num>
  <w:num w:numId="19">
    <w:abstractNumId w:val="22"/>
  </w:num>
  <w:num w:numId="20">
    <w:abstractNumId w:val="8"/>
  </w:num>
  <w:num w:numId="21">
    <w:abstractNumId w:val="6"/>
  </w:num>
  <w:num w:numId="22">
    <w:abstractNumId w:val="24"/>
  </w:num>
  <w:num w:numId="23">
    <w:abstractNumId w:val="28"/>
  </w:num>
  <w:num w:numId="24">
    <w:abstractNumId w:val="25"/>
  </w:num>
  <w:num w:numId="25">
    <w:abstractNumId w:val="4"/>
  </w:num>
  <w:num w:numId="26">
    <w:abstractNumId w:val="1"/>
  </w:num>
  <w:num w:numId="27">
    <w:abstractNumId w:val="20"/>
  </w:num>
  <w:num w:numId="28">
    <w:abstractNumId w:val="15"/>
  </w:num>
  <w:num w:numId="29">
    <w:abstractNumId w:val="13"/>
  </w:num>
  <w:num w:numId="30">
    <w:abstractNumId w:val="0"/>
  </w:num>
  <w:num w:numId="31">
    <w:abstractNumId w:val="7"/>
  </w:num>
  <w:num w:numId="32">
    <w:abstractNumId w:val="2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2"/>
    <w:rsid w:val="00035FFE"/>
    <w:rsid w:val="00045844"/>
    <w:rsid w:val="000D39DD"/>
    <w:rsid w:val="000F68C5"/>
    <w:rsid w:val="0019723F"/>
    <w:rsid w:val="00224CD7"/>
    <w:rsid w:val="002442F2"/>
    <w:rsid w:val="00333357"/>
    <w:rsid w:val="00391C42"/>
    <w:rsid w:val="003C236B"/>
    <w:rsid w:val="005F0335"/>
    <w:rsid w:val="005F1726"/>
    <w:rsid w:val="005F4937"/>
    <w:rsid w:val="006370AD"/>
    <w:rsid w:val="00662E9F"/>
    <w:rsid w:val="006B74AA"/>
    <w:rsid w:val="006D7C87"/>
    <w:rsid w:val="007208F4"/>
    <w:rsid w:val="0080202C"/>
    <w:rsid w:val="0083164A"/>
    <w:rsid w:val="008E770F"/>
    <w:rsid w:val="00943BAA"/>
    <w:rsid w:val="009C20AC"/>
    <w:rsid w:val="009C7895"/>
    <w:rsid w:val="00A84F91"/>
    <w:rsid w:val="00AF5457"/>
    <w:rsid w:val="00B2167F"/>
    <w:rsid w:val="00C11E56"/>
    <w:rsid w:val="00C81804"/>
    <w:rsid w:val="00C81D9C"/>
    <w:rsid w:val="00E54BE4"/>
    <w:rsid w:val="00E81C54"/>
    <w:rsid w:val="00E876D6"/>
    <w:rsid w:val="00F16817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AF545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5457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Heading1">
    <w:name w:val="Heading #1_"/>
    <w:basedOn w:val="Domylnaczcionkaakapitu"/>
    <w:link w:val="Heading10"/>
    <w:rsid w:val="00B2167F"/>
    <w:rPr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B2167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2167F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AF545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5457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Heading1">
    <w:name w:val="Heading #1_"/>
    <w:basedOn w:val="Domylnaczcionkaakapitu"/>
    <w:link w:val="Heading10"/>
    <w:rsid w:val="00B2167F"/>
    <w:rPr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B2167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2167F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3238</Words>
  <Characters>17815</Characters>
  <Application>Microsoft Office Word</Application>
  <DocSecurity>0</DocSecurity>
  <Lines>148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Emilia Wąsowska</cp:lastModifiedBy>
  <cp:revision>4</cp:revision>
  <dcterms:created xsi:type="dcterms:W3CDTF">2017-08-29T14:09:00Z</dcterms:created>
  <dcterms:modified xsi:type="dcterms:W3CDTF">2017-09-05T13:50:00Z</dcterms:modified>
</cp:coreProperties>
</file>