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14" w:rsidRPr="00315F14" w:rsidRDefault="00C82C45" w:rsidP="00C82C45">
      <w:pPr>
        <w:spacing w:before="100" w:beforeAutospacing="1" w:after="100" w:afterAutospacing="1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Rząd przyjął kolejne ułatwienia dla przedsiębiorców </w:t>
      </w:r>
      <w:r w:rsidR="00E46CA5">
        <w:rPr>
          <w:rFonts w:asciiTheme="minorHAnsi" w:hAnsiTheme="minorHAnsi" w:cstheme="minorHAnsi"/>
          <w:b/>
          <w:sz w:val="32"/>
          <w:szCs w:val="32"/>
        </w:rPr>
        <w:br/>
      </w:r>
      <w:r w:rsidR="00315F14" w:rsidRPr="00315F14">
        <w:rPr>
          <w:rFonts w:asciiTheme="minorHAnsi" w:hAnsiTheme="minorHAnsi" w:cstheme="minorHAnsi"/>
          <w:i/>
          <w:sz w:val="20"/>
          <w:szCs w:val="20"/>
        </w:rPr>
        <w:t>Informacja prasowa,</w:t>
      </w:r>
      <w:r>
        <w:rPr>
          <w:rFonts w:asciiTheme="minorHAnsi" w:hAnsiTheme="minorHAnsi" w:cstheme="minorHAnsi"/>
          <w:i/>
          <w:sz w:val="20"/>
          <w:szCs w:val="20"/>
        </w:rPr>
        <w:t xml:space="preserve"> 24</w:t>
      </w:r>
      <w:r w:rsidR="00072D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A538E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października</w:t>
      </w:r>
      <w:r w:rsidR="0094252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15F14" w:rsidRPr="00315F14">
        <w:rPr>
          <w:rFonts w:asciiTheme="minorHAnsi" w:hAnsiTheme="minorHAnsi" w:cstheme="minorHAnsi"/>
          <w:i/>
          <w:sz w:val="20"/>
          <w:szCs w:val="20"/>
        </w:rPr>
        <w:t>201</w:t>
      </w:r>
      <w:r w:rsidR="00942525">
        <w:rPr>
          <w:rFonts w:asciiTheme="minorHAnsi" w:hAnsiTheme="minorHAnsi" w:cstheme="minorHAnsi"/>
          <w:i/>
          <w:sz w:val="20"/>
          <w:szCs w:val="20"/>
        </w:rPr>
        <w:t>7</w:t>
      </w:r>
      <w:r w:rsidR="00315F14" w:rsidRPr="00315F14">
        <w:rPr>
          <w:rFonts w:asciiTheme="minorHAnsi" w:hAnsiTheme="minorHAnsi" w:cstheme="minorHAnsi"/>
          <w:i/>
          <w:sz w:val="20"/>
          <w:szCs w:val="20"/>
        </w:rPr>
        <w:t xml:space="preserve"> r.</w:t>
      </w:r>
      <w:r w:rsidR="00315F14">
        <w:rPr>
          <w:rFonts w:asciiTheme="minorHAnsi" w:hAnsiTheme="minorHAnsi" w:cstheme="minorHAnsi"/>
          <w:b/>
          <w:szCs w:val="22"/>
        </w:rPr>
        <w:t xml:space="preserve"> 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b/>
          <w:szCs w:val="22"/>
          <w:lang w:eastAsia="en-US"/>
        </w:rPr>
      </w:pPr>
      <w:r w:rsidRPr="00C82C45">
        <w:rPr>
          <w:rFonts w:ascii="Calibri" w:eastAsia="Calibri" w:hAnsi="Calibri"/>
          <w:b/>
          <w:szCs w:val="22"/>
          <w:lang w:eastAsia="en-US"/>
        </w:rPr>
        <w:t xml:space="preserve">10, a nie 50 lat. Forma elektroniczna zamiast stosu dokumentów. Rada Ministrów przyjęła projekt ustawy, dzięki któremu akta pracownicze będzie można przechowywać krócej i w formie elektronicznej. 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 xml:space="preserve">- </w:t>
      </w:r>
      <w:r w:rsidRPr="00C82C45">
        <w:rPr>
          <w:rFonts w:ascii="Calibri" w:eastAsia="Calibri" w:hAnsi="Calibri"/>
          <w:i/>
          <w:szCs w:val="22"/>
          <w:lang w:eastAsia="en-US"/>
        </w:rPr>
        <w:t>To że obecnie pracodawcy muszą przechowywać akta pracownicze aż 50 lat i tylko w formie papierowej nie ma żadnego uzasadnienia. Po pierwsze, generuje koszty. Może to być nawet 130 mln zł rocznie. Po drugie, obecne przepisy wcale nie gwarantują ubezpieczonemu, że w chwili wystąpienia do ZUS z wnioskiem o przyznanie emerytury lub renty, będzie mógł otrzymać od byłego pracodawcy wszystkie niezbędne dokumenty</w:t>
      </w:r>
      <w:r w:rsidRPr="00C82C45">
        <w:rPr>
          <w:rFonts w:ascii="Calibri" w:eastAsia="Calibri" w:hAnsi="Calibri"/>
          <w:szCs w:val="22"/>
          <w:lang w:eastAsia="en-US"/>
        </w:rPr>
        <w:t xml:space="preserve"> – wyjaśnia wiceminister rozwoju Mariusz </w:t>
      </w:r>
      <w:proofErr w:type="spellStart"/>
      <w:r w:rsidRPr="00C82C45">
        <w:rPr>
          <w:rFonts w:ascii="Calibri" w:eastAsia="Calibri" w:hAnsi="Calibri"/>
          <w:szCs w:val="22"/>
          <w:lang w:eastAsia="en-US"/>
        </w:rPr>
        <w:t>Haładyj</w:t>
      </w:r>
      <w:proofErr w:type="spellEnd"/>
      <w:r w:rsidRPr="00C82C45">
        <w:rPr>
          <w:rFonts w:ascii="Calibri" w:eastAsia="Calibri" w:hAnsi="Calibri"/>
          <w:szCs w:val="22"/>
          <w:lang w:eastAsia="en-US"/>
        </w:rPr>
        <w:t xml:space="preserve">. 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>Projekt ustawy o zmianie niektórych ustaw w związku ze skróceniem okresu przechowywania akt pracowniczych oraz ich elektronizacją rozwiązuje te problemy:</w:t>
      </w:r>
    </w:p>
    <w:p w:rsidR="00C82C45" w:rsidRPr="00C82C45" w:rsidRDefault="00C82C45" w:rsidP="00C82C4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>skraca okres przechowywania przez pracodawców akt pracowniczych z 50 do 10 lat,</w:t>
      </w:r>
    </w:p>
    <w:p w:rsidR="00C82C45" w:rsidRPr="00C82C45" w:rsidRDefault="00C82C45" w:rsidP="00C82C4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>pozwala pracodawcom przechowywać dokumentację pracowniczą w formie elektronicznej,</w:t>
      </w:r>
    </w:p>
    <w:p w:rsidR="00C82C45" w:rsidRPr="00C82C45" w:rsidRDefault="00C82C45" w:rsidP="00C82C4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 xml:space="preserve">wskazuje bezgotówkową formę wypłaty wynagrodzenia jako domyślną. </w:t>
      </w:r>
    </w:p>
    <w:p w:rsidR="00C82C45" w:rsidRPr="00C82C45" w:rsidRDefault="00C82C45" w:rsidP="00C8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rPr>
          <w:rFonts w:ascii="Calibri" w:eastAsia="Calibri" w:hAnsi="Calibri"/>
          <w:b/>
          <w:szCs w:val="22"/>
          <w:lang w:eastAsia="en-US"/>
        </w:rPr>
      </w:pPr>
      <w:r w:rsidRPr="00C82C45">
        <w:rPr>
          <w:rFonts w:ascii="Calibri" w:eastAsia="Calibri" w:hAnsi="Calibri"/>
          <w:b/>
          <w:szCs w:val="22"/>
          <w:lang w:eastAsia="en-US"/>
        </w:rPr>
        <w:t>KRÓCEJ I BEZPIECZNIEJ DLA PRACOWNIKA</w:t>
      </w:r>
    </w:p>
    <w:p w:rsidR="006369F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 xml:space="preserve">Ustawa przewiduje, że pracodawcy będą mogli przechowywać akta pracownicze </w:t>
      </w:r>
      <w:r w:rsidRPr="00C82C45">
        <w:rPr>
          <w:rFonts w:ascii="Calibri" w:eastAsia="Calibri" w:hAnsi="Calibri"/>
          <w:b/>
          <w:szCs w:val="22"/>
          <w:lang w:eastAsia="en-US"/>
        </w:rPr>
        <w:t>10, a nie 50 lat</w:t>
      </w:r>
      <w:r w:rsidRPr="00C82C45">
        <w:rPr>
          <w:rFonts w:ascii="Calibri" w:eastAsia="Calibri" w:hAnsi="Calibri"/>
          <w:szCs w:val="22"/>
          <w:lang w:eastAsia="en-US"/>
        </w:rPr>
        <w:t xml:space="preserve">, bo </w:t>
      </w:r>
      <w:r w:rsidRPr="00C82C45">
        <w:rPr>
          <w:rFonts w:ascii="Calibri" w:eastAsia="Calibri" w:hAnsi="Calibri"/>
          <w:b/>
          <w:szCs w:val="22"/>
          <w:lang w:eastAsia="en-US"/>
        </w:rPr>
        <w:t>ZUS będzie dysponował wszystkimi danymi</w:t>
      </w:r>
      <w:r w:rsidRPr="00C82C45">
        <w:rPr>
          <w:rFonts w:ascii="Calibri" w:eastAsia="Calibri" w:hAnsi="Calibri"/>
          <w:szCs w:val="22"/>
          <w:lang w:eastAsia="en-US"/>
        </w:rPr>
        <w:t xml:space="preserve"> potrzebnymi do uzyskania świadczeń i ustalenia ich wysokości.  </w:t>
      </w:r>
    </w:p>
    <w:p w:rsidR="006369F5" w:rsidRPr="006369F5" w:rsidRDefault="006369F5" w:rsidP="006369F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6369F5">
        <w:rPr>
          <w:rFonts w:ascii="Calibri" w:eastAsia="Calibri" w:hAnsi="Calibri"/>
          <w:szCs w:val="22"/>
          <w:lang w:eastAsia="en-US"/>
        </w:rPr>
        <w:t>Przy czym aby w pełni zabezpieczyć interesy pracowników, możliwość skorzystania z nowego roz</w:t>
      </w:r>
      <w:r>
        <w:rPr>
          <w:rFonts w:ascii="Calibri" w:eastAsia="Calibri" w:hAnsi="Calibri"/>
          <w:szCs w:val="22"/>
          <w:lang w:eastAsia="en-US"/>
        </w:rPr>
        <w:t xml:space="preserve">wiązania została podzielona na </w:t>
      </w:r>
      <w:r w:rsidRPr="006369F5">
        <w:rPr>
          <w:rFonts w:ascii="Calibri" w:eastAsia="Calibri" w:hAnsi="Calibri"/>
          <w:szCs w:val="22"/>
          <w:lang w:eastAsia="en-US"/>
        </w:rPr>
        <w:t>2 przypadki.</w:t>
      </w:r>
    </w:p>
    <w:p w:rsidR="006369F5" w:rsidRPr="006369F5" w:rsidRDefault="006369F5" w:rsidP="006369F5">
      <w:pPr>
        <w:spacing w:before="100" w:beforeAutospacing="1" w:after="100" w:afterAutospacing="1"/>
        <w:rPr>
          <w:rFonts w:ascii="Calibri" w:eastAsia="Calibri" w:hAnsi="Calibri"/>
          <w:szCs w:val="22"/>
          <w:u w:val="single"/>
          <w:lang w:eastAsia="en-US"/>
        </w:rPr>
      </w:pPr>
      <w:r w:rsidRPr="006369F5">
        <w:rPr>
          <w:rFonts w:ascii="Calibri" w:eastAsia="Calibri" w:hAnsi="Calibri"/>
          <w:szCs w:val="22"/>
          <w:u w:val="single"/>
          <w:lang w:eastAsia="en-US"/>
        </w:rPr>
        <w:t xml:space="preserve">Pracownicy zatrudnieni od 1 stycznia 2019 r. </w:t>
      </w:r>
    </w:p>
    <w:p w:rsidR="006369F5" w:rsidRPr="006369F5" w:rsidRDefault="006369F5" w:rsidP="005B3C3C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6369F5">
        <w:rPr>
          <w:rFonts w:ascii="Calibri" w:eastAsia="Calibri" w:hAnsi="Calibri"/>
          <w:szCs w:val="22"/>
          <w:lang w:eastAsia="en-US"/>
        </w:rPr>
        <w:t>Dokumentacja pracowników zatrudnionych po 1 stycznia będzie przechowywana 10 lat. Pracodawcy będą przesyłać do ZUS</w:t>
      </w:r>
      <w:r w:rsidR="00D15A9B">
        <w:rPr>
          <w:rFonts w:ascii="Calibri" w:eastAsia="Calibri" w:hAnsi="Calibri"/>
          <w:szCs w:val="22"/>
          <w:lang w:eastAsia="en-US"/>
        </w:rPr>
        <w:t xml:space="preserve"> rozszerzone</w:t>
      </w:r>
      <w:r w:rsidRPr="006369F5">
        <w:rPr>
          <w:rFonts w:ascii="Calibri" w:eastAsia="Calibri" w:hAnsi="Calibri"/>
          <w:szCs w:val="22"/>
          <w:lang w:eastAsia="en-US"/>
        </w:rPr>
        <w:t xml:space="preserve"> imienne raporty miesięczne pracowników i zleceniobiorców. W raportach znajdą się dane potrzebne do ustalenia wysokości emerytury lub renty (m.in. wysokość przychodu). Dane te ZUS zapisze na koncie ubezpieczonego. Dzięki temu pracownicy nie będą musieli udowadniać przed ZUS</w:t>
      </w:r>
      <w:r>
        <w:rPr>
          <w:rFonts w:ascii="Calibri" w:eastAsia="Calibri" w:hAnsi="Calibri"/>
          <w:szCs w:val="22"/>
          <w:lang w:eastAsia="en-US"/>
        </w:rPr>
        <w:t xml:space="preserve"> historii swojego zatrudnienia </w:t>
      </w:r>
      <w:bookmarkStart w:id="0" w:name="_GoBack"/>
      <w:bookmarkEnd w:id="0"/>
      <w:r w:rsidRPr="006369F5">
        <w:rPr>
          <w:rFonts w:ascii="Calibri" w:eastAsia="Calibri" w:hAnsi="Calibri"/>
          <w:szCs w:val="22"/>
          <w:lang w:eastAsia="en-US"/>
        </w:rPr>
        <w:t>i uzys</w:t>
      </w:r>
      <w:r w:rsidR="006D36A4">
        <w:rPr>
          <w:rFonts w:ascii="Calibri" w:eastAsia="Calibri" w:hAnsi="Calibri"/>
          <w:szCs w:val="22"/>
          <w:lang w:eastAsia="en-US"/>
        </w:rPr>
        <w:t xml:space="preserve">kiwać od byłego pracodawcy np. </w:t>
      </w:r>
      <w:r w:rsidRPr="006369F5">
        <w:rPr>
          <w:rFonts w:ascii="Calibri" w:eastAsia="Calibri" w:hAnsi="Calibri"/>
          <w:szCs w:val="22"/>
          <w:lang w:eastAsia="en-US"/>
        </w:rPr>
        <w:t xml:space="preserve">zaświadczenia o zatrudnieniu i wynagrodzeniu. </w:t>
      </w:r>
    </w:p>
    <w:p w:rsidR="006369F5" w:rsidRPr="006369F5" w:rsidRDefault="006369F5" w:rsidP="006369F5">
      <w:pPr>
        <w:spacing w:before="100" w:beforeAutospacing="1" w:after="100" w:afterAutospacing="1"/>
        <w:rPr>
          <w:rFonts w:ascii="Calibri" w:eastAsia="Calibri" w:hAnsi="Calibri"/>
          <w:szCs w:val="22"/>
          <w:u w:val="single"/>
          <w:lang w:eastAsia="en-US"/>
        </w:rPr>
      </w:pPr>
      <w:r w:rsidRPr="006369F5">
        <w:rPr>
          <w:rFonts w:ascii="Calibri" w:eastAsia="Calibri" w:hAnsi="Calibri"/>
          <w:szCs w:val="22"/>
          <w:u w:val="single"/>
          <w:lang w:eastAsia="en-US"/>
        </w:rPr>
        <w:t xml:space="preserve">Pracownicy zatrudnieni od 1 </w:t>
      </w:r>
      <w:r w:rsidR="005B3C3C">
        <w:rPr>
          <w:rFonts w:ascii="Calibri" w:eastAsia="Calibri" w:hAnsi="Calibri"/>
          <w:szCs w:val="22"/>
          <w:u w:val="single"/>
          <w:lang w:eastAsia="en-US"/>
        </w:rPr>
        <w:t>stycznia 1999 do 31 grudnia 2018</w:t>
      </w:r>
      <w:r w:rsidRPr="006369F5">
        <w:rPr>
          <w:rFonts w:ascii="Calibri" w:eastAsia="Calibri" w:hAnsi="Calibri"/>
          <w:szCs w:val="22"/>
          <w:u w:val="single"/>
          <w:lang w:eastAsia="en-US"/>
        </w:rPr>
        <w:t xml:space="preserve"> r.</w:t>
      </w:r>
    </w:p>
    <w:p w:rsidR="006369F5" w:rsidRPr="006369F5" w:rsidRDefault="006369F5" w:rsidP="006369F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6369F5">
        <w:rPr>
          <w:rFonts w:ascii="Calibri" w:eastAsia="Calibri" w:hAnsi="Calibri"/>
          <w:szCs w:val="22"/>
          <w:lang w:eastAsia="en-US"/>
        </w:rPr>
        <w:t>Pracodawca będzie mógł również skrócić do 10 lat okres przechowywania dokumentacji obecnych lub byłych pracowników, którzy zostali zatrudnieni po 1998 r. a przed 1 stycznia 2019 r. Pracodawca skorzysta z tego rozwiązania jeśli złoży w ZUS raport informacyjny, w którym znajdą się informacje niezbędne do wyliczenia emerytury lub renty konkretnego pracownika. Nie musi tego robić, ale jeśli już się zdecyduje, będzie to także decyzja na przyszłość – niepodlegająca zmianie i do</w:t>
      </w:r>
      <w:r>
        <w:rPr>
          <w:rFonts w:ascii="Calibri" w:eastAsia="Calibri" w:hAnsi="Calibri"/>
          <w:szCs w:val="22"/>
          <w:lang w:eastAsia="en-US"/>
        </w:rPr>
        <w:t>tycząca wszystkich pracowników.</w:t>
      </w:r>
      <w:r w:rsidR="006D36A4">
        <w:rPr>
          <w:rFonts w:ascii="Calibri" w:eastAsia="Calibri" w:hAnsi="Calibri"/>
          <w:szCs w:val="22"/>
          <w:lang w:eastAsia="en-US"/>
        </w:rPr>
        <w:t xml:space="preserve"> </w:t>
      </w:r>
      <w:r w:rsidRPr="006369F5">
        <w:rPr>
          <w:rFonts w:ascii="Calibri" w:eastAsia="Calibri" w:hAnsi="Calibri"/>
          <w:szCs w:val="22"/>
          <w:lang w:eastAsia="en-US"/>
        </w:rPr>
        <w:t xml:space="preserve">Jeżeli pracodawca nie przekaże raportów informacyjnych, będzie zobowiązany przechowywać dokumentację pracowniczą 50 lat. </w:t>
      </w:r>
    </w:p>
    <w:p w:rsidR="006369F5" w:rsidRDefault="006369F5" w:rsidP="006369F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6369F5">
        <w:rPr>
          <w:rFonts w:ascii="Calibri" w:eastAsia="Calibri" w:hAnsi="Calibri"/>
          <w:szCs w:val="22"/>
          <w:lang w:eastAsia="en-US"/>
        </w:rPr>
        <w:t xml:space="preserve">Dokumentację pracowników zatrudnionych przed 1 stycznia 1999 r.  pracodawca będzie przechowywał 50 lat.  </w:t>
      </w:r>
    </w:p>
    <w:p w:rsidR="00C82C45" w:rsidRPr="00C82C45" w:rsidRDefault="006369F5" w:rsidP="006369F5">
      <w:pPr>
        <w:spacing w:before="0" w:after="0"/>
        <w:jc w:val="left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C82C45" w:rsidRPr="00C82C45" w:rsidTr="00C82C45">
        <w:tc>
          <w:tcPr>
            <w:tcW w:w="6141" w:type="dxa"/>
            <w:gridSpan w:val="2"/>
            <w:shd w:val="clear" w:color="auto" w:fill="FFFFCC"/>
          </w:tcPr>
          <w:p w:rsidR="00C82C45" w:rsidRPr="00C82C45" w:rsidRDefault="00C82C45" w:rsidP="00C82C45">
            <w:pPr>
              <w:spacing w:before="100" w:beforeAutospacing="1" w:after="100" w:afterAutospacing="1"/>
              <w:rPr>
                <w:rFonts w:ascii="Calibri" w:hAnsi="Calibri"/>
                <w:b/>
                <w:szCs w:val="22"/>
                <w:lang w:eastAsia="en-US"/>
              </w:rPr>
            </w:pPr>
            <w:r w:rsidRPr="00C82C45">
              <w:rPr>
                <w:rFonts w:ascii="Calibri" w:hAnsi="Calibri"/>
                <w:b/>
                <w:szCs w:val="22"/>
                <w:lang w:eastAsia="en-US"/>
              </w:rPr>
              <w:lastRenderedPageBreak/>
              <w:t xml:space="preserve">Przykładowy czasy przechowywania dokumentacji pracowniczej </w:t>
            </w:r>
            <w:r w:rsidRPr="00C82C45">
              <w:rPr>
                <w:rFonts w:ascii="Calibri" w:hAnsi="Calibri"/>
                <w:b/>
                <w:szCs w:val="22"/>
                <w:lang w:eastAsia="en-US"/>
              </w:rPr>
              <w:br/>
              <w:t>w innych krajach UE</w:t>
            </w:r>
          </w:p>
        </w:tc>
      </w:tr>
      <w:tr w:rsidR="00C82C45" w:rsidRPr="00C82C45" w:rsidTr="00C82C45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rPr>
                <w:rFonts w:ascii="Calibri" w:hAnsi="Calibri"/>
                <w:b/>
                <w:szCs w:val="22"/>
                <w:lang w:eastAsia="en-US"/>
              </w:rPr>
            </w:pPr>
            <w:r w:rsidRPr="00C82C45">
              <w:rPr>
                <w:rFonts w:ascii="Calibri" w:hAnsi="Calibri"/>
                <w:b/>
                <w:szCs w:val="22"/>
                <w:lang w:eastAsia="en-US"/>
              </w:rPr>
              <w:t>Finlandia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  <w:lang w:eastAsia="en-US"/>
              </w:rPr>
            </w:pPr>
            <w:r w:rsidRPr="00C82C45">
              <w:rPr>
                <w:rFonts w:ascii="Calibri" w:hAnsi="Calibri"/>
                <w:szCs w:val="22"/>
                <w:lang w:eastAsia="en-US"/>
              </w:rPr>
              <w:t>10 lat</w:t>
            </w:r>
          </w:p>
        </w:tc>
      </w:tr>
      <w:tr w:rsidR="00C82C45" w:rsidRPr="00C82C45" w:rsidTr="00C82C45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rPr>
                <w:rFonts w:ascii="Calibri" w:hAnsi="Calibri"/>
                <w:b/>
                <w:szCs w:val="22"/>
                <w:lang w:eastAsia="en-US"/>
              </w:rPr>
            </w:pPr>
            <w:r w:rsidRPr="00C82C45">
              <w:rPr>
                <w:rFonts w:ascii="Calibri" w:hAnsi="Calibri"/>
                <w:b/>
                <w:szCs w:val="22"/>
                <w:lang w:eastAsia="en-US"/>
              </w:rPr>
              <w:t>Dania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  <w:lang w:eastAsia="en-US"/>
              </w:rPr>
            </w:pPr>
            <w:r w:rsidRPr="00C82C45">
              <w:rPr>
                <w:rFonts w:ascii="Calibri" w:hAnsi="Calibri"/>
                <w:szCs w:val="22"/>
                <w:lang w:eastAsia="en-US"/>
              </w:rPr>
              <w:t>5 lat</w:t>
            </w:r>
          </w:p>
        </w:tc>
      </w:tr>
      <w:tr w:rsidR="00C82C45" w:rsidRPr="00C82C45" w:rsidTr="00C82C45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rPr>
                <w:rFonts w:ascii="Calibri" w:hAnsi="Calibri"/>
                <w:b/>
                <w:szCs w:val="22"/>
                <w:lang w:eastAsia="en-US"/>
              </w:rPr>
            </w:pPr>
            <w:r w:rsidRPr="00C82C45">
              <w:rPr>
                <w:rFonts w:ascii="Calibri" w:hAnsi="Calibri"/>
                <w:b/>
                <w:szCs w:val="22"/>
                <w:lang w:eastAsia="en-US"/>
              </w:rPr>
              <w:t>Czechy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  <w:lang w:eastAsia="en-US"/>
              </w:rPr>
            </w:pPr>
            <w:r w:rsidRPr="00C82C45">
              <w:rPr>
                <w:rFonts w:ascii="Calibri" w:hAnsi="Calibri"/>
                <w:szCs w:val="22"/>
                <w:lang w:eastAsia="en-US"/>
              </w:rPr>
              <w:t>3 do 30 lat (w zależności od rodzaju)</w:t>
            </w:r>
          </w:p>
        </w:tc>
      </w:tr>
      <w:tr w:rsidR="00C82C45" w:rsidRPr="00C82C45" w:rsidTr="00C82C45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rPr>
                <w:rFonts w:ascii="Calibri" w:hAnsi="Calibri"/>
                <w:b/>
                <w:szCs w:val="22"/>
                <w:lang w:eastAsia="en-US"/>
              </w:rPr>
            </w:pPr>
            <w:r w:rsidRPr="00C82C45">
              <w:rPr>
                <w:rFonts w:ascii="Calibri" w:hAnsi="Calibri"/>
                <w:b/>
                <w:szCs w:val="22"/>
                <w:lang w:eastAsia="en-US"/>
              </w:rPr>
              <w:t>Holandia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  <w:lang w:eastAsia="en-US"/>
              </w:rPr>
            </w:pPr>
            <w:r w:rsidRPr="00C82C45">
              <w:rPr>
                <w:rFonts w:ascii="Calibri" w:hAnsi="Calibri"/>
                <w:szCs w:val="22"/>
                <w:lang w:eastAsia="en-US"/>
              </w:rPr>
              <w:t xml:space="preserve">brak obowiązku przechowywania dokumentów dla celów </w:t>
            </w:r>
            <w:r w:rsidR="006D36A4">
              <w:rPr>
                <w:rFonts w:ascii="Calibri" w:hAnsi="Calibri"/>
                <w:szCs w:val="22"/>
                <w:lang w:eastAsia="en-US"/>
              </w:rPr>
              <w:br/>
            </w:r>
            <w:r w:rsidRPr="00C82C45">
              <w:rPr>
                <w:rFonts w:ascii="Calibri" w:hAnsi="Calibri"/>
                <w:szCs w:val="22"/>
                <w:lang w:eastAsia="en-US"/>
              </w:rPr>
              <w:t>emerytalno-rentowych</w:t>
            </w:r>
          </w:p>
          <w:p w:rsidR="00C82C45" w:rsidRPr="00C82C45" w:rsidRDefault="00C82C45" w:rsidP="00C82C45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  <w:lang w:eastAsia="en-US"/>
              </w:rPr>
            </w:pPr>
            <w:r w:rsidRPr="00C82C45">
              <w:rPr>
                <w:rFonts w:ascii="Calibri" w:hAnsi="Calibri"/>
                <w:szCs w:val="22"/>
                <w:lang w:eastAsia="en-US"/>
              </w:rPr>
              <w:t>dokumenty finansowe – 7 lat</w:t>
            </w:r>
          </w:p>
        </w:tc>
      </w:tr>
      <w:tr w:rsidR="00C82C45" w:rsidRPr="00C82C45" w:rsidTr="00C82C45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rPr>
                <w:rFonts w:ascii="Calibri" w:hAnsi="Calibri"/>
                <w:b/>
                <w:szCs w:val="22"/>
                <w:lang w:eastAsia="en-US"/>
              </w:rPr>
            </w:pPr>
            <w:r w:rsidRPr="00C82C45">
              <w:rPr>
                <w:rFonts w:ascii="Calibri" w:hAnsi="Calibri"/>
                <w:b/>
                <w:szCs w:val="22"/>
                <w:lang w:eastAsia="en-US"/>
              </w:rPr>
              <w:t>Niemcy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C82C45" w:rsidRPr="00C82C45" w:rsidRDefault="00C82C45" w:rsidP="00C82C45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  <w:lang w:eastAsia="en-US"/>
              </w:rPr>
            </w:pPr>
            <w:r w:rsidRPr="00C82C45">
              <w:rPr>
                <w:rFonts w:ascii="Calibri" w:hAnsi="Calibri"/>
                <w:szCs w:val="22"/>
                <w:lang w:eastAsia="en-US"/>
              </w:rPr>
              <w:t xml:space="preserve">dla celów podatkowych i ubezpieczeń społecznych - </w:t>
            </w:r>
            <w:r w:rsidR="006D36A4">
              <w:rPr>
                <w:rFonts w:ascii="Calibri" w:hAnsi="Calibri"/>
                <w:szCs w:val="22"/>
                <w:lang w:eastAsia="en-US"/>
              </w:rPr>
              <w:br/>
            </w:r>
            <w:r w:rsidRPr="00C82C45">
              <w:rPr>
                <w:rFonts w:ascii="Calibri" w:hAnsi="Calibri"/>
                <w:szCs w:val="22"/>
                <w:lang w:eastAsia="en-US"/>
              </w:rPr>
              <w:t>6 - 10 lat</w:t>
            </w:r>
          </w:p>
          <w:p w:rsidR="00C82C45" w:rsidRPr="00C82C45" w:rsidRDefault="00C82C45" w:rsidP="00C82C45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  <w:lang w:eastAsia="en-US"/>
              </w:rPr>
            </w:pPr>
            <w:r w:rsidRPr="00C82C45">
              <w:rPr>
                <w:rFonts w:ascii="Calibri" w:hAnsi="Calibri"/>
                <w:szCs w:val="22"/>
                <w:lang w:eastAsia="en-US"/>
              </w:rPr>
              <w:t>listy płac - 10 lat</w:t>
            </w:r>
          </w:p>
        </w:tc>
      </w:tr>
    </w:tbl>
    <w:p w:rsidR="00C82C45" w:rsidRPr="00C82C45" w:rsidRDefault="00C82C45" w:rsidP="00C8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rPr>
          <w:rFonts w:ascii="Calibri" w:eastAsia="Calibri" w:hAnsi="Calibri"/>
          <w:b/>
          <w:szCs w:val="22"/>
          <w:lang w:eastAsia="en-US"/>
        </w:rPr>
      </w:pPr>
      <w:r w:rsidRPr="00C82C45">
        <w:rPr>
          <w:rFonts w:ascii="Calibri" w:eastAsia="Calibri" w:hAnsi="Calibri"/>
          <w:b/>
          <w:szCs w:val="22"/>
          <w:lang w:eastAsia="en-US"/>
        </w:rPr>
        <w:t>E-DOKUMENTACJA NA RÓWNI Z PAPIEROWĄ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 xml:space="preserve">Od 1 stycznia 2019 r. pracodawca będzie mógł przechowywać dokumentację osobową i płacową </w:t>
      </w:r>
      <w:r w:rsidRPr="00C82C45">
        <w:rPr>
          <w:rFonts w:ascii="Calibri" w:eastAsia="Calibri" w:hAnsi="Calibri"/>
          <w:b/>
          <w:szCs w:val="22"/>
          <w:lang w:eastAsia="en-US"/>
        </w:rPr>
        <w:t>w postaci elektronicznej</w:t>
      </w:r>
      <w:r w:rsidRPr="00C82C45">
        <w:rPr>
          <w:rFonts w:ascii="Calibri" w:eastAsia="Calibri" w:hAnsi="Calibri"/>
          <w:szCs w:val="22"/>
          <w:lang w:eastAsia="en-US"/>
        </w:rPr>
        <w:t xml:space="preserve"> (teraz może przechowywać tylko dokumenty papierowe). Jeśli się na to zdecyduje, dotychczasowa dokumentacja papierowa zostanie zeskanowana i opatrzona kwalifikowanym podpisem elektronicznym. Jeżeli pracownik i pracodawca będą dysponowali kwalifikowanym podpisem elektronicznym, e-dokument </w:t>
      </w:r>
      <w:r w:rsidR="006D36A4">
        <w:rPr>
          <w:rFonts w:ascii="Calibri" w:eastAsia="Calibri" w:hAnsi="Calibri"/>
          <w:szCs w:val="22"/>
          <w:lang w:eastAsia="en-US"/>
        </w:rPr>
        <w:t xml:space="preserve">powstanie </w:t>
      </w:r>
      <w:r w:rsidRPr="00C82C45">
        <w:rPr>
          <w:rFonts w:ascii="Calibri" w:eastAsia="Calibri" w:hAnsi="Calibri"/>
          <w:szCs w:val="22"/>
          <w:lang w:eastAsia="en-US"/>
        </w:rPr>
        <w:t xml:space="preserve">bez konieczności skanowania dokumentu papierowego. 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>Digitalizacja akt osobowych będzie odpowiednio zabezpieczona, tak aby nie dochodziło do utraty danych przez pracodawców.</w:t>
      </w:r>
      <w:r w:rsidR="006D36A4">
        <w:rPr>
          <w:rFonts w:ascii="Calibri" w:eastAsia="Calibri" w:hAnsi="Calibri"/>
          <w:szCs w:val="22"/>
          <w:lang w:eastAsia="en-US"/>
        </w:rPr>
        <w:t xml:space="preserve"> </w:t>
      </w:r>
      <w:r w:rsidRPr="00C82C45">
        <w:rPr>
          <w:rFonts w:ascii="Calibri" w:eastAsia="Calibri" w:hAnsi="Calibri"/>
          <w:szCs w:val="22"/>
          <w:lang w:eastAsia="en-US"/>
        </w:rPr>
        <w:t xml:space="preserve">Szczegółowe zasady oraz kwestie bezpieczeństwa, dostępu i warunków przechowywania dokumentacji będą określone w rozporządzeniu Ministra Rodziny, Pracy i Polityki Społecznej, wydanym </w:t>
      </w:r>
      <w:r>
        <w:rPr>
          <w:rFonts w:ascii="Calibri" w:eastAsia="Calibri" w:hAnsi="Calibri"/>
          <w:szCs w:val="22"/>
          <w:lang w:eastAsia="en-US"/>
        </w:rPr>
        <w:br/>
      </w:r>
      <w:r w:rsidRPr="00C82C45">
        <w:rPr>
          <w:rFonts w:ascii="Calibri" w:eastAsia="Calibri" w:hAnsi="Calibri"/>
          <w:szCs w:val="22"/>
          <w:lang w:eastAsia="en-US"/>
        </w:rPr>
        <w:t xml:space="preserve">w porozumieniu z Ministrem Cyfryzacji. </w:t>
      </w:r>
      <w:r w:rsidRPr="00C82C45">
        <w:rPr>
          <w:rFonts w:ascii="Calibri" w:eastAsia="Calibri" w:hAnsi="Calibri"/>
          <w:szCs w:val="22"/>
          <w:lang w:eastAsia="en-US"/>
        </w:rPr>
        <w:tab/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 xml:space="preserve">- </w:t>
      </w:r>
      <w:r w:rsidRPr="00C82C45">
        <w:rPr>
          <w:rFonts w:ascii="Calibri" w:eastAsia="Calibri" w:hAnsi="Calibri"/>
          <w:i/>
          <w:szCs w:val="22"/>
          <w:lang w:eastAsia="en-US"/>
        </w:rPr>
        <w:t>Przechowywanie dokumentacji w postaci elektronicznej powinno być tańsze. Na podstawie dostępnych danych założyliśmy, że przy rozproszonej organizacji ok. 500 pracowników, koszty mogą być zmniejszone nawet o ok. 200 tys. zł rocznie</w:t>
      </w:r>
      <w:r w:rsidRPr="00C82C45">
        <w:rPr>
          <w:rFonts w:ascii="Calibri" w:eastAsia="Calibri" w:hAnsi="Calibri"/>
          <w:szCs w:val="22"/>
          <w:lang w:eastAsia="en-US"/>
        </w:rPr>
        <w:t xml:space="preserve"> – informuje wiceminister </w:t>
      </w:r>
      <w:proofErr w:type="spellStart"/>
      <w:r w:rsidRPr="00C82C45">
        <w:rPr>
          <w:rFonts w:ascii="Calibri" w:eastAsia="Calibri" w:hAnsi="Calibri"/>
          <w:szCs w:val="22"/>
          <w:lang w:eastAsia="en-US"/>
        </w:rPr>
        <w:t>Haładyj</w:t>
      </w:r>
      <w:proofErr w:type="spellEnd"/>
      <w:r w:rsidRPr="00C82C45">
        <w:rPr>
          <w:rFonts w:ascii="Calibri" w:eastAsia="Calibri" w:hAnsi="Calibri"/>
          <w:szCs w:val="22"/>
          <w:lang w:eastAsia="en-US"/>
        </w:rPr>
        <w:t xml:space="preserve">. </w:t>
      </w:r>
    </w:p>
    <w:p w:rsidR="00C82C45" w:rsidRPr="00C82C45" w:rsidRDefault="00C82C45" w:rsidP="00C8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rPr>
          <w:rFonts w:ascii="Calibri" w:eastAsia="Calibri" w:hAnsi="Calibri"/>
          <w:b/>
          <w:szCs w:val="22"/>
          <w:lang w:eastAsia="en-US"/>
        </w:rPr>
      </w:pPr>
      <w:r w:rsidRPr="00C82C45">
        <w:rPr>
          <w:rFonts w:ascii="Calibri" w:eastAsia="Calibri" w:hAnsi="Calibri"/>
          <w:b/>
          <w:szCs w:val="22"/>
          <w:lang w:eastAsia="en-US"/>
        </w:rPr>
        <w:t>PENSJA DOMYŚLNIE NA KONTO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 xml:space="preserve">Ta drobna zmiana dostosowuje prawo do rzeczywistości. 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Pr="00C82C45">
        <w:rPr>
          <w:rFonts w:ascii="Calibri" w:eastAsia="Calibri" w:hAnsi="Calibri"/>
          <w:szCs w:val="22"/>
          <w:lang w:eastAsia="en-US"/>
        </w:rPr>
        <w:t>Z danych Banku Światowego wynika, że w 2014 r. blisko 77,8 proc. pracowników w Polsce otrzymywało wynagrodzenie na rachunki płatnicze</w:t>
      </w:r>
      <w:r>
        <w:rPr>
          <w:rFonts w:ascii="Calibri" w:eastAsia="Calibri" w:hAnsi="Calibri"/>
          <w:szCs w:val="22"/>
          <w:lang w:eastAsia="en-US"/>
        </w:rPr>
        <w:t xml:space="preserve">. </w:t>
      </w:r>
      <w:r w:rsidRPr="00C82C45">
        <w:rPr>
          <w:rFonts w:ascii="Calibri" w:eastAsia="Calibri" w:hAnsi="Calibri"/>
          <w:szCs w:val="22"/>
          <w:lang w:eastAsia="en-US"/>
        </w:rPr>
        <w:t xml:space="preserve">Bezgotówkowa forma wypłaty wynagrodzeń staje się coraz bardziej powszechna. Obecnie domyślną formą jest wypłata wynagrodzenia </w:t>
      </w:r>
      <w:r>
        <w:rPr>
          <w:rFonts w:ascii="Calibri" w:eastAsia="Calibri" w:hAnsi="Calibri"/>
          <w:szCs w:val="22"/>
          <w:lang w:eastAsia="en-US"/>
        </w:rPr>
        <w:br/>
      </w:r>
      <w:r w:rsidRPr="00C82C45">
        <w:rPr>
          <w:rFonts w:ascii="Calibri" w:eastAsia="Calibri" w:hAnsi="Calibri"/>
          <w:szCs w:val="22"/>
          <w:lang w:eastAsia="en-US"/>
        </w:rPr>
        <w:t>w gotówce. Żeby otrzymać pensję na konto pracownik musi złożyć stosowne oświadczenie. Po wejściu w życie ustawy pracownik będzie musiał złożyć oświadczenie</w:t>
      </w:r>
      <w:r w:rsidR="006D36A4">
        <w:rPr>
          <w:rFonts w:ascii="Calibri" w:eastAsia="Calibri" w:hAnsi="Calibri"/>
          <w:szCs w:val="22"/>
          <w:lang w:eastAsia="en-US"/>
        </w:rPr>
        <w:t>,</w:t>
      </w:r>
      <w:r w:rsidRPr="00C82C45">
        <w:rPr>
          <w:rFonts w:ascii="Calibri" w:eastAsia="Calibri" w:hAnsi="Calibri"/>
          <w:szCs w:val="22"/>
          <w:lang w:eastAsia="en-US"/>
        </w:rPr>
        <w:t xml:space="preserve"> jeśli chce otrzymać pensję w gotówce. 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b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 xml:space="preserve">Projekt ustawy powstał w ścisłej współpracy z biznesem, Zakładem Ubezpieczeń Społecznych i Ministerstwem Rodziny, Pracy i Polityki Społecznej. </w:t>
      </w:r>
      <w:r>
        <w:rPr>
          <w:rFonts w:ascii="Calibri" w:eastAsia="Calibri" w:hAnsi="Calibri"/>
          <w:szCs w:val="22"/>
          <w:lang w:eastAsia="en-US"/>
        </w:rPr>
        <w:t xml:space="preserve">Jest częścią pakietu #100zmianDlaFirm. </w:t>
      </w:r>
      <w:r w:rsidRPr="00C82C45">
        <w:rPr>
          <w:rFonts w:ascii="Calibri" w:eastAsia="Calibri" w:hAnsi="Calibri"/>
          <w:b/>
          <w:szCs w:val="22"/>
          <w:lang w:eastAsia="en-US"/>
        </w:rPr>
        <w:t xml:space="preserve">Przewidywany termin wejścia w życie nowych przepisów to 1 stycznia 2019 r. </w:t>
      </w:r>
    </w:p>
    <w:p w:rsidR="00C82C45" w:rsidRPr="00C82C45" w:rsidRDefault="00C82C45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  <w:r w:rsidRPr="00C82C45">
        <w:rPr>
          <w:rFonts w:ascii="Calibri" w:eastAsia="Calibri" w:hAnsi="Calibri"/>
          <w:szCs w:val="22"/>
          <w:lang w:eastAsia="en-US"/>
        </w:rPr>
        <w:tab/>
      </w:r>
      <w:r w:rsidRPr="00C82C45">
        <w:rPr>
          <w:rFonts w:ascii="Calibri" w:eastAsia="Calibri" w:hAnsi="Calibri"/>
          <w:szCs w:val="22"/>
          <w:lang w:eastAsia="en-US"/>
        </w:rPr>
        <w:tab/>
      </w:r>
    </w:p>
    <w:p w:rsidR="0037643E" w:rsidRPr="0037643E" w:rsidRDefault="0037643E" w:rsidP="00C82C45">
      <w:pPr>
        <w:spacing w:before="100" w:beforeAutospacing="1" w:after="100" w:afterAutospacing="1"/>
        <w:rPr>
          <w:rFonts w:ascii="Calibri" w:eastAsia="Calibri" w:hAnsi="Calibri"/>
          <w:szCs w:val="22"/>
          <w:lang w:eastAsia="en-US"/>
        </w:rPr>
      </w:pPr>
    </w:p>
    <w:sectPr w:rsidR="0037643E" w:rsidRPr="0037643E" w:rsidSect="00421848">
      <w:headerReference w:type="default" r:id="rId9"/>
      <w:footerReference w:type="even" r:id="rId10"/>
      <w:footerReference w:type="default" r:id="rId11"/>
      <w:pgSz w:w="11906" w:h="16838"/>
      <w:pgMar w:top="397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E0" w:rsidRDefault="00DA3EE0">
      <w:r>
        <w:separator/>
      </w:r>
    </w:p>
  </w:endnote>
  <w:endnote w:type="continuationSeparator" w:id="0">
    <w:p w:rsidR="00DA3EE0" w:rsidRDefault="00DA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C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8C082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>Ministerstwo Rozwoju</w:t>
    </w:r>
  </w:p>
  <w:p w:rsidR="00D86769" w:rsidRPr="00DC3780" w:rsidRDefault="00384F2A" w:rsidP="008C082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Departament Komunikacji</w:t>
    </w:r>
  </w:p>
  <w:p w:rsidR="00D86769" w:rsidRPr="008D5788" w:rsidRDefault="00D86769" w:rsidP="00CA6B4B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 w:rsidRPr="008D5788">
      <w:rPr>
        <w:rFonts w:ascii="Garamond" w:hAnsi="Garamond"/>
        <w:sz w:val="18"/>
        <w:szCs w:val="18"/>
      </w:rPr>
      <w:t>tel.: 22 273 71 13</w:t>
    </w:r>
  </w:p>
  <w:p w:rsidR="00D86769" w:rsidRPr="00A50C75" w:rsidRDefault="00D86769" w:rsidP="008C0826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CA6B4B" w:rsidRPr="00CA6B4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D33AE3" w:rsidRPr="000257D5">
        <w:rPr>
          <w:rStyle w:val="Hipercze"/>
          <w:rFonts w:ascii="Garamond" w:hAnsi="Garamond"/>
          <w:sz w:val="18"/>
          <w:szCs w:val="18"/>
          <w:lang w:val="de-DE"/>
        </w:rPr>
        <w:t>www.mr.gov.pl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E0" w:rsidRDefault="00DA3EE0">
      <w:r>
        <w:separator/>
      </w:r>
    </w:p>
  </w:footnote>
  <w:footnote w:type="continuationSeparator" w:id="0">
    <w:p w:rsidR="00DA3EE0" w:rsidRDefault="00DA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A515E" w:rsidP="00A179EF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7C06DB9A" wp14:editId="2E238DCB">
          <wp:extent cx="1708150" cy="543560"/>
          <wp:effectExtent l="0" t="0" r="6350" b="8890"/>
          <wp:docPr id="6" name="Obraz 6" descr="http://www.mr.gov.pl/media/13021/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r.gov.pl/media/13021/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769">
      <w:tab/>
    </w:r>
  </w:p>
  <w:p w:rsidR="00D86769" w:rsidRDefault="00D86769" w:rsidP="003F5310">
    <w:pPr>
      <w:pStyle w:val="Nagwek"/>
      <w:tabs>
        <w:tab w:val="clear" w:pos="4536"/>
        <w:tab w:val="clear" w:pos="9072"/>
        <w:tab w:val="left" w:pos="3825"/>
        <w:tab w:val="left" w:pos="4155"/>
        <w:tab w:val="right" w:pos="936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25pt;height:8.25pt" o:bullet="t">
        <v:imagedata r:id="rId1" o:title="BD14515_"/>
      </v:shape>
    </w:pict>
  </w:numPicBullet>
  <w:numPicBullet w:numPicBulletId="1">
    <w:pict>
      <v:shape id="_x0000_i1039" type="#_x0000_t75" style="width:8.25pt;height:8.25pt" o:bullet="t">
        <v:imagedata r:id="rId2" o:title="BD10268_"/>
      </v:shape>
    </w:pict>
  </w:numPicBullet>
  <w:numPicBullet w:numPicBulletId="2">
    <w:pict>
      <v:shape id="_x0000_i1040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8D7"/>
    <w:rsid w:val="002004F8"/>
    <w:rsid w:val="002014DE"/>
    <w:rsid w:val="00201854"/>
    <w:rsid w:val="00201F8F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3548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BD2"/>
    <w:rsid w:val="00487777"/>
    <w:rsid w:val="00487A60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205A"/>
    <w:rsid w:val="008578FC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30DC"/>
    <w:rsid w:val="00933249"/>
    <w:rsid w:val="00934F31"/>
    <w:rsid w:val="0093638C"/>
    <w:rsid w:val="00942525"/>
    <w:rsid w:val="009457AE"/>
    <w:rsid w:val="009478A2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9CA"/>
    <w:rsid w:val="00CA6B4B"/>
    <w:rsid w:val="00CB47D4"/>
    <w:rsid w:val="00CB5E0B"/>
    <w:rsid w:val="00CB60F8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2CCF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70EF8"/>
    <w:rsid w:val="00D7102D"/>
    <w:rsid w:val="00D756A8"/>
    <w:rsid w:val="00D76F1A"/>
    <w:rsid w:val="00D807E0"/>
    <w:rsid w:val="00D811D8"/>
    <w:rsid w:val="00D82D12"/>
    <w:rsid w:val="00D8356D"/>
    <w:rsid w:val="00D86769"/>
    <w:rsid w:val="00D96F7E"/>
    <w:rsid w:val="00D97F31"/>
    <w:rsid w:val="00DA060D"/>
    <w:rsid w:val="00DA142A"/>
    <w:rsid w:val="00DA2B48"/>
    <w:rsid w:val="00DA2BFB"/>
    <w:rsid w:val="00DA3EE0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1CD3"/>
    <w:rsid w:val="00F0239F"/>
    <w:rsid w:val="00F0494B"/>
    <w:rsid w:val="00F04E47"/>
    <w:rsid w:val="00F07569"/>
    <w:rsid w:val="00F124CB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7369"/>
    <w:rsid w:val="00F710A6"/>
    <w:rsid w:val="00F7651D"/>
    <w:rsid w:val="00F8771E"/>
    <w:rsid w:val="00F91F18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0C15"/>
    <w:pPr>
      <w:spacing w:before="60" w:after="60"/>
      <w:jc w:val="both"/>
    </w:pPr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rsid w:val="0037348B"/>
    <w:pPr>
      <w:keepNext/>
      <w:spacing w:before="12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before="100" w:beforeAutospacing="1"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0C15"/>
    <w:pPr>
      <w:spacing w:before="60" w:after="60"/>
      <w:jc w:val="both"/>
    </w:pPr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rsid w:val="0037348B"/>
    <w:pPr>
      <w:keepNext/>
      <w:spacing w:before="12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before="100" w:beforeAutospacing="1"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0A2D-9036-45D2-B09C-9B8FE973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5138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2017-10-23T16:26:00Z</dcterms:created>
  <dcterms:modified xsi:type="dcterms:W3CDTF">2017-10-23T16:26:00Z</dcterms:modified>
</cp:coreProperties>
</file>