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3C" w:rsidRPr="00677B49" w:rsidRDefault="00FC6943" w:rsidP="00653FC4">
      <w:pPr>
        <w:spacing w:before="100" w:beforeAutospacing="1" w:after="100" w:afterAutospacing="1"/>
        <w:rPr>
          <w:rFonts w:asciiTheme="majorHAnsi" w:hAnsiTheme="majorHAnsi" w:cstheme="majorHAnsi"/>
          <w:b/>
          <w:bCs/>
          <w:color w:val="111111"/>
        </w:rPr>
      </w:pPr>
      <w:r>
        <w:rPr>
          <w:rFonts w:asciiTheme="majorHAnsi" w:hAnsiTheme="majorHAnsi" w:cstheme="majorHAnsi"/>
          <w:b/>
          <w:bCs/>
          <w:color w:val="111111"/>
          <w:sz w:val="32"/>
          <w:szCs w:val="32"/>
        </w:rPr>
        <w:t>Europejskie wsparcie dla kolejnych inwestycji rozwojowych</w:t>
      </w:r>
      <w:r w:rsidR="00A70B20" w:rsidRPr="00677B49">
        <w:rPr>
          <w:rFonts w:asciiTheme="majorHAnsi" w:hAnsiTheme="majorHAnsi" w:cstheme="majorHAnsi"/>
          <w:b/>
          <w:bCs/>
          <w:color w:val="111111"/>
          <w:sz w:val="32"/>
          <w:szCs w:val="32"/>
        </w:rPr>
        <w:br/>
      </w:r>
      <w:r w:rsidR="00653FC4" w:rsidRPr="007F58D5">
        <w:rPr>
          <w:rFonts w:asciiTheme="majorHAnsi" w:hAnsiTheme="majorHAnsi" w:cstheme="majorHAnsi"/>
          <w:bCs/>
          <w:i/>
          <w:color w:val="111111"/>
          <w:sz w:val="20"/>
          <w:szCs w:val="20"/>
        </w:rPr>
        <w:t xml:space="preserve">Informacja prasowa, </w:t>
      </w:r>
      <w:r w:rsidR="007F58D5" w:rsidRPr="007F58D5">
        <w:rPr>
          <w:rFonts w:asciiTheme="majorHAnsi" w:hAnsiTheme="majorHAnsi" w:cstheme="majorHAnsi"/>
          <w:bCs/>
          <w:i/>
          <w:color w:val="111111"/>
          <w:sz w:val="20"/>
          <w:szCs w:val="20"/>
        </w:rPr>
        <w:t>25 stycznia</w:t>
      </w:r>
      <w:r w:rsidR="00653FC4" w:rsidRPr="007F58D5">
        <w:rPr>
          <w:rFonts w:asciiTheme="majorHAnsi" w:hAnsiTheme="majorHAnsi" w:cstheme="majorHAnsi"/>
          <w:bCs/>
          <w:i/>
          <w:color w:val="111111"/>
          <w:sz w:val="20"/>
          <w:szCs w:val="20"/>
        </w:rPr>
        <w:t xml:space="preserve"> </w:t>
      </w:r>
      <w:r w:rsidR="007F58D5" w:rsidRPr="007F58D5">
        <w:rPr>
          <w:rFonts w:asciiTheme="majorHAnsi" w:hAnsiTheme="majorHAnsi" w:cstheme="majorHAnsi"/>
          <w:bCs/>
          <w:i/>
          <w:color w:val="111111"/>
          <w:sz w:val="20"/>
          <w:szCs w:val="20"/>
        </w:rPr>
        <w:t>2018</w:t>
      </w:r>
      <w:r w:rsidR="00A70B20" w:rsidRPr="007F58D5">
        <w:rPr>
          <w:rFonts w:asciiTheme="majorHAnsi" w:hAnsiTheme="majorHAnsi" w:cstheme="majorHAnsi"/>
          <w:bCs/>
          <w:i/>
          <w:color w:val="111111"/>
          <w:sz w:val="20"/>
          <w:szCs w:val="20"/>
        </w:rPr>
        <w:t xml:space="preserve"> r.</w:t>
      </w:r>
      <w:r w:rsidR="00A70B20" w:rsidRPr="00677B49">
        <w:rPr>
          <w:rFonts w:asciiTheme="majorHAnsi" w:hAnsiTheme="majorHAnsi" w:cstheme="majorHAnsi"/>
          <w:b/>
          <w:bCs/>
          <w:color w:val="111111"/>
        </w:rPr>
        <w:t xml:space="preserve"> </w:t>
      </w:r>
    </w:p>
    <w:p w:rsidR="007F58D5" w:rsidRPr="00FC6943" w:rsidRDefault="007F58D5" w:rsidP="00FC6943">
      <w:pPr>
        <w:autoSpaceDE w:val="0"/>
        <w:autoSpaceDN w:val="0"/>
        <w:adjustRightInd w:val="0"/>
        <w:spacing w:before="100" w:beforeAutospacing="1" w:after="100" w:afterAutospacing="1"/>
        <w:jc w:val="both"/>
        <w:rPr>
          <w:rFonts w:asciiTheme="minorHAnsi" w:hAnsiTheme="minorHAnsi" w:cstheme="minorHAnsi"/>
          <w:b/>
          <w:bCs/>
          <w:color w:val="000000"/>
          <w:lang w:eastAsia="en-US"/>
        </w:rPr>
      </w:pPr>
      <w:r w:rsidRPr="00FC6943">
        <w:rPr>
          <w:rFonts w:asciiTheme="minorHAnsi" w:hAnsiTheme="minorHAnsi" w:cstheme="minorHAnsi"/>
          <w:b/>
          <w:bCs/>
          <w:color w:val="000000"/>
          <w:lang w:eastAsia="en-US"/>
        </w:rPr>
        <w:t xml:space="preserve">Inwestycje spółki PKP Linia Hutnicza Szerokotorowa oraz Grupy Azoty otrzymały finansowanie </w:t>
      </w:r>
      <w:r w:rsidR="00FC6943">
        <w:rPr>
          <w:rFonts w:asciiTheme="minorHAnsi" w:hAnsiTheme="minorHAnsi" w:cstheme="minorHAnsi"/>
          <w:b/>
          <w:bCs/>
          <w:color w:val="000000"/>
          <w:lang w:eastAsia="en-US"/>
        </w:rPr>
        <w:br/>
      </w:r>
      <w:r w:rsidRPr="00FC6943">
        <w:rPr>
          <w:rFonts w:asciiTheme="minorHAnsi" w:hAnsiTheme="minorHAnsi" w:cstheme="minorHAnsi"/>
          <w:b/>
          <w:bCs/>
          <w:color w:val="000000"/>
          <w:lang w:eastAsia="en-US"/>
        </w:rPr>
        <w:t xml:space="preserve">z Europejskiego Banku Inwestycyjnego (EBI). Umowy podpisano dzisiaj w Ministerstwie Inwestycji </w:t>
      </w:r>
      <w:r w:rsidR="00FC6943">
        <w:rPr>
          <w:rFonts w:asciiTheme="minorHAnsi" w:hAnsiTheme="minorHAnsi" w:cstheme="minorHAnsi"/>
          <w:b/>
          <w:bCs/>
          <w:color w:val="000000"/>
          <w:lang w:eastAsia="en-US"/>
        </w:rPr>
        <w:br/>
      </w:r>
      <w:r w:rsidRPr="00FC6943">
        <w:rPr>
          <w:rFonts w:asciiTheme="minorHAnsi" w:hAnsiTheme="minorHAnsi" w:cstheme="minorHAnsi"/>
          <w:b/>
          <w:bCs/>
          <w:color w:val="000000"/>
          <w:lang w:eastAsia="en-US"/>
        </w:rPr>
        <w:t>i Rozwoju (</w:t>
      </w:r>
      <w:proofErr w:type="spellStart"/>
      <w:r w:rsidRPr="00FC6943">
        <w:rPr>
          <w:rFonts w:asciiTheme="minorHAnsi" w:hAnsiTheme="minorHAnsi" w:cstheme="minorHAnsi"/>
          <w:b/>
          <w:bCs/>
          <w:color w:val="000000"/>
          <w:lang w:eastAsia="en-US"/>
        </w:rPr>
        <w:t>MIiR</w:t>
      </w:r>
      <w:proofErr w:type="spellEnd"/>
      <w:r w:rsidRPr="00FC6943">
        <w:rPr>
          <w:rFonts w:asciiTheme="minorHAnsi" w:hAnsiTheme="minorHAnsi" w:cstheme="minorHAnsi"/>
          <w:b/>
          <w:bCs/>
          <w:color w:val="000000"/>
          <w:lang w:eastAsia="en-US"/>
        </w:rPr>
        <w:t xml:space="preserve">). </w:t>
      </w:r>
    </w:p>
    <w:p w:rsidR="007F58D5" w:rsidRPr="00FC6943" w:rsidRDefault="007F58D5" w:rsidP="00FC6943">
      <w:p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Cs/>
          <w:color w:val="000000"/>
          <w:lang w:eastAsia="en-US"/>
        </w:rPr>
        <w:t xml:space="preserve">– </w:t>
      </w:r>
      <w:r w:rsidRPr="00FC6943">
        <w:rPr>
          <w:rFonts w:asciiTheme="minorHAnsi" w:hAnsiTheme="minorHAnsi" w:cstheme="minorHAnsi"/>
          <w:bCs/>
          <w:i/>
          <w:color w:val="000000"/>
          <w:lang w:eastAsia="en-US"/>
        </w:rPr>
        <w:t>Nasze ministerstwo powstało między innymi po to, by zwiększyć poziom inwestycji w Polsce. To, że nasz kraj umie korzystać z funduszy unijnych, jest powszechnie wiadome. Jednak UE kładzie coraz większy nacisk na finansowanie zwrotne. Dzisiejsze umowy pokazują, że podmioty z Polski są przygotowane do sięgnięcia po takie finansowanie</w:t>
      </w:r>
      <w:r w:rsidRPr="00FC6943">
        <w:rPr>
          <w:rFonts w:asciiTheme="minorHAnsi" w:hAnsiTheme="minorHAnsi" w:cstheme="minorHAnsi"/>
          <w:bCs/>
          <w:color w:val="000000"/>
          <w:lang w:eastAsia="en-US"/>
        </w:rPr>
        <w:t xml:space="preserve"> – powiedział minister inwestycji i rozwoju </w:t>
      </w:r>
      <w:r w:rsidRPr="00FC6943">
        <w:rPr>
          <w:rFonts w:asciiTheme="minorHAnsi" w:hAnsiTheme="minorHAnsi" w:cstheme="minorHAnsi"/>
          <w:b/>
          <w:bCs/>
          <w:color w:val="000000"/>
          <w:lang w:eastAsia="en-US"/>
        </w:rPr>
        <w:t>Jerzy Kwieciński</w:t>
      </w:r>
      <w:r w:rsidRPr="00FC6943">
        <w:rPr>
          <w:rFonts w:asciiTheme="minorHAnsi" w:hAnsiTheme="minorHAnsi" w:cstheme="minorHAnsi"/>
          <w:bCs/>
          <w:color w:val="000000"/>
          <w:lang w:eastAsia="en-US"/>
        </w:rPr>
        <w:t xml:space="preserve">. </w:t>
      </w:r>
    </w:p>
    <w:p w:rsidR="007F58D5" w:rsidRPr="00FC6943" w:rsidRDefault="007F58D5" w:rsidP="00FC6943">
      <w:p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Cs/>
          <w:color w:val="000000"/>
          <w:lang w:eastAsia="en-US"/>
        </w:rPr>
        <w:t xml:space="preserve">– </w:t>
      </w:r>
      <w:r w:rsidR="00F13ECB">
        <w:rPr>
          <w:rFonts w:asciiTheme="minorHAnsi" w:hAnsiTheme="minorHAnsi" w:cstheme="minorHAnsi"/>
          <w:bCs/>
          <w:i/>
          <w:color w:val="000000"/>
          <w:lang w:eastAsia="en-US"/>
        </w:rPr>
        <w:t>Cieszymy się, ż</w:t>
      </w:r>
      <w:bookmarkStart w:id="0" w:name="_GoBack"/>
      <w:bookmarkEnd w:id="0"/>
      <w:r w:rsidR="00F13ECB" w:rsidRPr="00F13ECB">
        <w:rPr>
          <w:rFonts w:asciiTheme="minorHAnsi" w:hAnsiTheme="minorHAnsi" w:cstheme="minorHAnsi"/>
          <w:bCs/>
          <w:i/>
          <w:color w:val="000000"/>
          <w:lang w:eastAsia="en-US"/>
        </w:rPr>
        <w:t xml:space="preserve">e Europejski Bank Inwestycyjny finansuje w ramach „Planu </w:t>
      </w:r>
      <w:proofErr w:type="spellStart"/>
      <w:r w:rsidR="00F13ECB" w:rsidRPr="00F13ECB">
        <w:rPr>
          <w:rFonts w:asciiTheme="minorHAnsi" w:hAnsiTheme="minorHAnsi" w:cstheme="minorHAnsi"/>
          <w:bCs/>
          <w:i/>
          <w:color w:val="000000"/>
          <w:lang w:eastAsia="en-US"/>
        </w:rPr>
        <w:t>Junckera</w:t>
      </w:r>
      <w:proofErr w:type="spellEnd"/>
      <w:r w:rsidR="00F13ECB" w:rsidRPr="00F13ECB">
        <w:rPr>
          <w:rFonts w:asciiTheme="minorHAnsi" w:hAnsiTheme="minorHAnsi" w:cstheme="minorHAnsi"/>
          <w:bCs/>
          <w:i/>
          <w:color w:val="000000"/>
          <w:lang w:eastAsia="en-US"/>
        </w:rPr>
        <w:t xml:space="preserve">” projekt, którego celem jest poprawa efektywności i bezpieczeństwa transportu kolejowego. Projekt ma również pozytywny wpływ na handel i wzrost gospodarczy w południowej Polsce. Modernizacja tego służącego całemu regionowi szlaku kolejowego prowadzącego ze Śląska do granicy ukraińskiej pomoże również osiągnąć cele spójności, które leżą u podstaw Unii Europejskiej i EBI </w:t>
      </w:r>
      <w:r w:rsidRPr="00FC6943">
        <w:rPr>
          <w:rFonts w:asciiTheme="minorHAnsi" w:hAnsiTheme="minorHAnsi" w:cstheme="minorHAnsi"/>
          <w:bCs/>
          <w:color w:val="000000"/>
          <w:lang w:eastAsia="en-US"/>
        </w:rPr>
        <w:t xml:space="preserve">– stwierdził </w:t>
      </w:r>
      <w:proofErr w:type="spellStart"/>
      <w:r w:rsidRPr="00FC6943">
        <w:rPr>
          <w:rFonts w:asciiTheme="minorHAnsi" w:hAnsiTheme="minorHAnsi" w:cstheme="minorHAnsi"/>
          <w:b/>
          <w:bCs/>
          <w:color w:val="000000"/>
          <w:lang w:eastAsia="en-US"/>
        </w:rPr>
        <w:t>Vazil</w:t>
      </w:r>
      <w:proofErr w:type="spellEnd"/>
      <w:r w:rsidRPr="00FC6943">
        <w:rPr>
          <w:rFonts w:asciiTheme="minorHAnsi" w:hAnsiTheme="minorHAnsi" w:cstheme="minorHAnsi"/>
          <w:b/>
          <w:bCs/>
          <w:color w:val="000000"/>
          <w:lang w:eastAsia="en-US"/>
        </w:rPr>
        <w:t xml:space="preserve"> </w:t>
      </w:r>
      <w:proofErr w:type="spellStart"/>
      <w:r w:rsidRPr="00FC6943">
        <w:rPr>
          <w:rFonts w:asciiTheme="minorHAnsi" w:hAnsiTheme="minorHAnsi" w:cstheme="minorHAnsi"/>
          <w:b/>
          <w:bCs/>
          <w:color w:val="000000"/>
          <w:lang w:eastAsia="en-US"/>
        </w:rPr>
        <w:t>Hudák</w:t>
      </w:r>
      <w:proofErr w:type="spellEnd"/>
      <w:r w:rsidRPr="00FC6943">
        <w:rPr>
          <w:rFonts w:asciiTheme="minorHAnsi" w:hAnsiTheme="minorHAnsi" w:cstheme="minorHAnsi"/>
          <w:bCs/>
          <w:color w:val="000000"/>
          <w:lang w:eastAsia="en-US"/>
        </w:rPr>
        <w:t xml:space="preserve">, wiceprezes EBI. </w:t>
      </w:r>
    </w:p>
    <w:p w:rsidR="007F58D5" w:rsidRPr="00FC6943" w:rsidRDefault="007F58D5" w:rsidP="00FC6943">
      <w:p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Cs/>
          <w:color w:val="000000"/>
          <w:lang w:eastAsia="en-US"/>
        </w:rPr>
        <w:t xml:space="preserve">- </w:t>
      </w:r>
      <w:r w:rsidRPr="00FC6943">
        <w:rPr>
          <w:rFonts w:asciiTheme="minorHAnsi" w:hAnsiTheme="minorHAnsi" w:cstheme="minorHAnsi"/>
          <w:bCs/>
          <w:i/>
          <w:color w:val="000000"/>
          <w:lang w:eastAsia="en-US"/>
        </w:rPr>
        <w:t xml:space="preserve">Polska dobrze wykorzystuje fundusze unijne, szczególnie w obszarze szeroko rozumianego transportu. Cieszy nas, że ważne inwestycje uzyskują wsparcie instytucji europejskich </w:t>
      </w:r>
      <w:r w:rsidRPr="00FC6943">
        <w:rPr>
          <w:rFonts w:asciiTheme="minorHAnsi" w:hAnsiTheme="minorHAnsi" w:cstheme="minorHAnsi"/>
          <w:bCs/>
          <w:color w:val="000000"/>
          <w:lang w:eastAsia="en-US"/>
        </w:rPr>
        <w:t xml:space="preserve">– ocenił wiceminister infrastruktury </w:t>
      </w:r>
      <w:r w:rsidRPr="00FC6943">
        <w:rPr>
          <w:rFonts w:asciiTheme="minorHAnsi" w:hAnsiTheme="minorHAnsi" w:cstheme="minorHAnsi"/>
          <w:b/>
          <w:bCs/>
          <w:color w:val="000000"/>
          <w:lang w:eastAsia="en-US"/>
        </w:rPr>
        <w:t xml:space="preserve">Andrzej </w:t>
      </w:r>
      <w:proofErr w:type="spellStart"/>
      <w:r w:rsidRPr="00FC6943">
        <w:rPr>
          <w:rFonts w:asciiTheme="minorHAnsi" w:hAnsiTheme="minorHAnsi" w:cstheme="minorHAnsi"/>
          <w:b/>
          <w:bCs/>
          <w:color w:val="000000"/>
          <w:lang w:eastAsia="en-US"/>
        </w:rPr>
        <w:t>Bittel</w:t>
      </w:r>
      <w:proofErr w:type="spellEnd"/>
      <w:r w:rsidRPr="00FC6943">
        <w:rPr>
          <w:rFonts w:asciiTheme="minorHAnsi" w:hAnsiTheme="minorHAnsi" w:cstheme="minorHAnsi"/>
          <w:bCs/>
          <w:color w:val="000000"/>
          <w:lang w:eastAsia="en-US"/>
        </w:rPr>
        <w:t xml:space="preserve">. </w:t>
      </w:r>
    </w:p>
    <w:p w:rsidR="007F58D5" w:rsidRPr="00FC6943" w:rsidRDefault="007F58D5" w:rsidP="00FC6943">
      <w:p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Cs/>
          <w:color w:val="000000"/>
          <w:lang w:eastAsia="en-US"/>
        </w:rPr>
        <w:t>PKP LHS otrzymało z EBI kredyt w wysokości 121 mln zł na inwestycję wartą blisko 300 mln zł. Kolejowa spółka zmodernizuje stacje na linii nr 65 – najdłuższej w Polsce linii szerokotorowej (rozstaw szyn 1520 mm), wykorzystywanej do transportu towarowego. Linia jest jednocześnie najdalej na zachód wysuniętą linią szerokotorową w Europie Środkowej. Łączy kolejowe przejście graniczne Hrubieszów/</w:t>
      </w:r>
      <w:proofErr w:type="spellStart"/>
      <w:r w:rsidRPr="00FC6943">
        <w:rPr>
          <w:rFonts w:asciiTheme="minorHAnsi" w:hAnsiTheme="minorHAnsi" w:cstheme="minorHAnsi"/>
          <w:bCs/>
          <w:color w:val="000000"/>
          <w:lang w:eastAsia="en-US"/>
        </w:rPr>
        <w:t>Izow</w:t>
      </w:r>
      <w:proofErr w:type="spellEnd"/>
      <w:r w:rsidRPr="00FC6943">
        <w:rPr>
          <w:rFonts w:asciiTheme="minorHAnsi" w:hAnsiTheme="minorHAnsi" w:cstheme="minorHAnsi"/>
          <w:bCs/>
          <w:color w:val="000000"/>
          <w:lang w:eastAsia="en-US"/>
        </w:rPr>
        <w:t xml:space="preserve"> </w:t>
      </w:r>
      <w:r w:rsidR="00FC6943">
        <w:rPr>
          <w:rFonts w:asciiTheme="minorHAnsi" w:hAnsiTheme="minorHAnsi" w:cstheme="minorHAnsi"/>
          <w:bCs/>
          <w:color w:val="000000"/>
          <w:lang w:eastAsia="en-US"/>
        </w:rPr>
        <w:br/>
      </w:r>
      <w:r w:rsidRPr="00FC6943">
        <w:rPr>
          <w:rFonts w:asciiTheme="minorHAnsi" w:hAnsiTheme="minorHAnsi" w:cstheme="minorHAnsi"/>
          <w:bCs/>
          <w:color w:val="000000"/>
          <w:lang w:eastAsia="en-US"/>
        </w:rPr>
        <w:t xml:space="preserve">ze Śląskiem, gdzie w Sławkowie (25 km od Katowic) kończy swój bieg. Linia nr 65 liczy prawie 400 km </w:t>
      </w:r>
      <w:r w:rsidR="00FC6943">
        <w:rPr>
          <w:rFonts w:asciiTheme="minorHAnsi" w:hAnsiTheme="minorHAnsi" w:cstheme="minorHAnsi"/>
          <w:bCs/>
          <w:color w:val="000000"/>
          <w:lang w:eastAsia="en-US"/>
        </w:rPr>
        <w:br/>
      </w:r>
      <w:r w:rsidRPr="00FC6943">
        <w:rPr>
          <w:rFonts w:asciiTheme="minorHAnsi" w:hAnsiTheme="minorHAnsi" w:cstheme="minorHAnsi"/>
          <w:bCs/>
          <w:color w:val="000000"/>
          <w:lang w:eastAsia="en-US"/>
        </w:rPr>
        <w:t xml:space="preserve">i umożliwia transport towarów bez konieczności ich przeładunku na granicy. PKP LHS zakończy projekt inwestycyjny w 2020 roku. </w:t>
      </w:r>
    </w:p>
    <w:p w:rsidR="007F58D5" w:rsidRPr="00FC6943" w:rsidRDefault="007F58D5" w:rsidP="00FC6943">
      <w:p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Cs/>
          <w:color w:val="000000"/>
          <w:lang w:eastAsia="en-US"/>
        </w:rPr>
        <w:t xml:space="preserve">– </w:t>
      </w:r>
      <w:r w:rsidRPr="00FC6943">
        <w:rPr>
          <w:rFonts w:asciiTheme="minorHAnsi" w:hAnsiTheme="minorHAnsi" w:cstheme="minorHAnsi"/>
          <w:bCs/>
          <w:i/>
          <w:color w:val="000000"/>
          <w:lang w:eastAsia="en-US"/>
        </w:rPr>
        <w:t xml:space="preserve">Będzie szybciej i bezpiecznej. To ważne, bo linia ma duże znaczenie gospodarcze, szczególnie dla handlu </w:t>
      </w:r>
      <w:r w:rsidR="00FC6943">
        <w:rPr>
          <w:rFonts w:asciiTheme="minorHAnsi" w:hAnsiTheme="minorHAnsi" w:cstheme="minorHAnsi"/>
          <w:bCs/>
          <w:i/>
          <w:color w:val="000000"/>
          <w:lang w:eastAsia="en-US"/>
        </w:rPr>
        <w:br/>
      </w:r>
      <w:r w:rsidRPr="00FC6943">
        <w:rPr>
          <w:rFonts w:asciiTheme="minorHAnsi" w:hAnsiTheme="minorHAnsi" w:cstheme="minorHAnsi"/>
          <w:bCs/>
          <w:i/>
          <w:color w:val="000000"/>
          <w:lang w:eastAsia="en-US"/>
        </w:rPr>
        <w:t>z Ukrainą. To projekt, który wpisuje się zarówno w wizję rozwoju Polski Wschodniej, reindustrializacji Śląska i obszaru dawnego Centralnego Okręgu Przemysłowego, jak również budowy Nowego Jedwabnego Szlaku</w:t>
      </w:r>
      <w:r w:rsidRPr="00FC6943">
        <w:rPr>
          <w:rFonts w:asciiTheme="minorHAnsi" w:hAnsiTheme="minorHAnsi" w:cstheme="minorHAnsi"/>
          <w:bCs/>
          <w:color w:val="000000"/>
          <w:lang w:eastAsia="en-US"/>
        </w:rPr>
        <w:t xml:space="preserve"> – skomentował </w:t>
      </w:r>
      <w:r w:rsidRPr="00FC6943">
        <w:rPr>
          <w:rFonts w:asciiTheme="minorHAnsi" w:hAnsiTheme="minorHAnsi" w:cstheme="minorHAnsi"/>
          <w:b/>
          <w:bCs/>
          <w:color w:val="000000"/>
          <w:lang w:eastAsia="en-US"/>
        </w:rPr>
        <w:t>Jerzy Kwieciński</w:t>
      </w:r>
      <w:r w:rsidRPr="00FC6943">
        <w:rPr>
          <w:rFonts w:asciiTheme="minorHAnsi" w:hAnsiTheme="minorHAnsi" w:cstheme="minorHAnsi"/>
          <w:bCs/>
          <w:color w:val="000000"/>
          <w:lang w:eastAsia="en-US"/>
        </w:rPr>
        <w:t xml:space="preserve">. </w:t>
      </w:r>
    </w:p>
    <w:p w:rsidR="007F58D5" w:rsidRPr="00FC6943" w:rsidRDefault="007F58D5" w:rsidP="00FC6943">
      <w:p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Cs/>
          <w:color w:val="000000"/>
          <w:lang w:eastAsia="en-US"/>
        </w:rPr>
        <w:t xml:space="preserve">Głównym celem projektu jest automatyzacja linii 65, która poprawi bezpieczeństwo prowadzenia ruchu pociągów i pracowników oraz pozwoli zwiększyć przepustowość linii. </w:t>
      </w:r>
      <w:r w:rsidR="00FC6943">
        <w:rPr>
          <w:rFonts w:asciiTheme="minorHAnsi" w:hAnsiTheme="minorHAnsi" w:cstheme="minorHAnsi"/>
          <w:bCs/>
          <w:color w:val="000000"/>
          <w:lang w:eastAsia="en-US"/>
        </w:rPr>
        <w:t xml:space="preserve">59 mln zł w projekcie zostanie przeznaczonych </w:t>
      </w:r>
      <w:r w:rsidRPr="00FC6943">
        <w:rPr>
          <w:rFonts w:asciiTheme="minorHAnsi" w:hAnsiTheme="minorHAnsi" w:cstheme="minorHAnsi"/>
          <w:bCs/>
          <w:color w:val="000000"/>
          <w:lang w:eastAsia="en-US"/>
        </w:rPr>
        <w:t>na przebudowę układu torowego na stacji Zamość Bortatycze, rozbudowę stacji Hrubieszów, budowę nowej mijanki Zamość Majdan. Około 184 mln zł wyniesie koszt budowy kabla światłowodowego, instalacji sygnalizacji przejazdowej oraz rozbudowy komputerowego systemu sterowania. Projekt przewiduje również zakup maszyn dedykowanych do prac torowych na linii o rozstawie 1520 mm.</w:t>
      </w:r>
    </w:p>
    <w:p w:rsidR="007F58D5" w:rsidRPr="00FC6943" w:rsidRDefault="007F58D5" w:rsidP="00FC6943">
      <w:p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Cs/>
          <w:color w:val="000000"/>
          <w:lang w:eastAsia="en-US"/>
        </w:rPr>
        <w:t xml:space="preserve">– </w:t>
      </w:r>
      <w:r w:rsidRPr="00FC6943">
        <w:rPr>
          <w:rFonts w:asciiTheme="minorHAnsi" w:hAnsiTheme="minorHAnsi" w:cstheme="minorHAnsi"/>
          <w:bCs/>
          <w:i/>
          <w:color w:val="000000"/>
          <w:lang w:eastAsia="en-US"/>
        </w:rPr>
        <w:t xml:space="preserve">Cieszę się, że Europejski Bank Inwestycyjny docenił strategię rozwoju naszej spółki, która do 2025 roku przewiduje realizację planu inwestycyjnego o wartości ponad 800 milionów złotych. Pozwoli nam </w:t>
      </w:r>
      <w:r w:rsidR="00FC6943">
        <w:rPr>
          <w:rFonts w:asciiTheme="minorHAnsi" w:hAnsiTheme="minorHAnsi" w:cstheme="minorHAnsi"/>
          <w:bCs/>
          <w:i/>
          <w:color w:val="000000"/>
          <w:lang w:eastAsia="en-US"/>
        </w:rPr>
        <w:br/>
      </w:r>
      <w:r w:rsidRPr="00FC6943">
        <w:rPr>
          <w:rFonts w:asciiTheme="minorHAnsi" w:hAnsiTheme="minorHAnsi" w:cstheme="minorHAnsi"/>
          <w:bCs/>
          <w:i/>
          <w:color w:val="000000"/>
          <w:lang w:eastAsia="en-US"/>
        </w:rPr>
        <w:lastRenderedPageBreak/>
        <w:t>to zwiększyć przepustowość i skorzystać z rosnącego potencjału Nowego Jedwabnego Szlaku. Dzięki inwestycjom podniesiemy bezpieczeństwo pracowników i przyspieszymy transport towarów ze Śląska do granicy z Ukrainą</w:t>
      </w:r>
      <w:r w:rsidRPr="00FC6943">
        <w:rPr>
          <w:rFonts w:asciiTheme="minorHAnsi" w:hAnsiTheme="minorHAnsi" w:cstheme="minorHAnsi"/>
          <w:bCs/>
          <w:color w:val="000000"/>
          <w:lang w:eastAsia="en-US"/>
        </w:rPr>
        <w:t xml:space="preserve"> – mówi </w:t>
      </w:r>
      <w:r w:rsidRPr="00FC6943">
        <w:rPr>
          <w:rFonts w:asciiTheme="minorHAnsi" w:hAnsiTheme="minorHAnsi" w:cstheme="minorHAnsi"/>
          <w:b/>
          <w:bCs/>
          <w:color w:val="000000"/>
          <w:lang w:eastAsia="en-US"/>
        </w:rPr>
        <w:t xml:space="preserve">Zbigniew </w:t>
      </w:r>
      <w:proofErr w:type="spellStart"/>
      <w:r w:rsidRPr="00FC6943">
        <w:rPr>
          <w:rFonts w:asciiTheme="minorHAnsi" w:hAnsiTheme="minorHAnsi" w:cstheme="minorHAnsi"/>
          <w:b/>
          <w:bCs/>
          <w:color w:val="000000"/>
          <w:lang w:eastAsia="en-US"/>
        </w:rPr>
        <w:t>Tracichleb</w:t>
      </w:r>
      <w:proofErr w:type="spellEnd"/>
      <w:r w:rsidRPr="00FC6943">
        <w:rPr>
          <w:rFonts w:asciiTheme="minorHAnsi" w:hAnsiTheme="minorHAnsi" w:cstheme="minorHAnsi"/>
          <w:bCs/>
          <w:color w:val="000000"/>
          <w:lang w:eastAsia="en-US"/>
        </w:rPr>
        <w:t>, Prezes Zarządu PKP Linia Hutnicza Szerokotorowa.</w:t>
      </w:r>
    </w:p>
    <w:p w:rsidR="00FC6943" w:rsidRDefault="007F58D5" w:rsidP="00FC6943">
      <w:p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Cs/>
          <w:color w:val="000000"/>
          <w:lang w:eastAsia="en-US"/>
        </w:rPr>
        <w:t xml:space="preserve">Pieniądze na przedsięwzięcie pochodzą z tzw. Planu </w:t>
      </w:r>
      <w:proofErr w:type="spellStart"/>
      <w:r w:rsidRPr="00FC6943">
        <w:rPr>
          <w:rFonts w:asciiTheme="minorHAnsi" w:hAnsiTheme="minorHAnsi" w:cstheme="minorHAnsi"/>
          <w:bCs/>
          <w:color w:val="000000"/>
          <w:lang w:eastAsia="en-US"/>
        </w:rPr>
        <w:t>Junckera</w:t>
      </w:r>
      <w:proofErr w:type="spellEnd"/>
      <w:r w:rsidRPr="00FC6943">
        <w:rPr>
          <w:rFonts w:asciiTheme="minorHAnsi" w:hAnsiTheme="minorHAnsi" w:cstheme="minorHAnsi"/>
          <w:bCs/>
          <w:color w:val="000000"/>
          <w:lang w:eastAsia="en-US"/>
        </w:rPr>
        <w:t xml:space="preserve"> (Planu Inwestycyjnego dla Europy). </w:t>
      </w:r>
      <w:r w:rsidR="00FC6943">
        <w:rPr>
          <w:rFonts w:asciiTheme="minorHAnsi" w:hAnsiTheme="minorHAnsi" w:cstheme="minorHAnsi"/>
          <w:bCs/>
          <w:color w:val="000000"/>
          <w:lang w:eastAsia="en-US"/>
        </w:rPr>
        <w:br/>
      </w:r>
      <w:r w:rsidRPr="00FC6943">
        <w:rPr>
          <w:rFonts w:asciiTheme="minorHAnsi" w:hAnsiTheme="minorHAnsi" w:cstheme="minorHAnsi"/>
          <w:bCs/>
          <w:color w:val="000000"/>
          <w:lang w:eastAsia="en-US"/>
        </w:rPr>
        <w:t xml:space="preserve">To czwarta inwestycja rządowa finansowana z tego źródła (wcześniej umowy zawarły Tauron Polska Energia, Energa i Przewozy Regionalne). W ramach Planu </w:t>
      </w:r>
      <w:proofErr w:type="spellStart"/>
      <w:r w:rsidRPr="00FC6943">
        <w:rPr>
          <w:rFonts w:asciiTheme="minorHAnsi" w:hAnsiTheme="minorHAnsi" w:cstheme="minorHAnsi"/>
          <w:bCs/>
          <w:color w:val="000000"/>
          <w:lang w:eastAsia="en-US"/>
        </w:rPr>
        <w:t>Junckera</w:t>
      </w:r>
      <w:proofErr w:type="spellEnd"/>
      <w:r w:rsidRPr="00FC6943">
        <w:rPr>
          <w:rFonts w:asciiTheme="minorHAnsi" w:hAnsiTheme="minorHAnsi" w:cstheme="minorHAnsi"/>
          <w:bCs/>
          <w:color w:val="000000"/>
          <w:lang w:eastAsia="en-US"/>
        </w:rPr>
        <w:t xml:space="preserve"> EBI wydał już 25 decyzji kredytowych dla polskich projektów (rządowych, prywatnych i samorządowych). </w:t>
      </w:r>
    </w:p>
    <w:p w:rsidR="007F58D5" w:rsidRPr="00FC6943" w:rsidRDefault="007F58D5" w:rsidP="00FC6943">
      <w:p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Cs/>
          <w:color w:val="000000"/>
          <w:lang w:eastAsia="en-US"/>
        </w:rPr>
        <w:t xml:space="preserve">– </w:t>
      </w:r>
      <w:r w:rsidRPr="00FC6943">
        <w:rPr>
          <w:rFonts w:asciiTheme="minorHAnsi" w:hAnsiTheme="minorHAnsi" w:cstheme="minorHAnsi"/>
          <w:bCs/>
          <w:i/>
          <w:color w:val="000000"/>
          <w:lang w:eastAsia="en-US"/>
        </w:rPr>
        <w:t>Zajmujemy szóstą pozycję w UE pod względem wysokości zatwierdzonego wsparcia, które wyniosło ponad 2,5 miliarda złotych. Wyprzedzają nas tylko największe gospodarki UE – Wielka Brytania, Francja, Włochy, Niemcy i Hiszpania. Tyle że w tych krajach fundusze unijne nie są tak dużą konkurencją dla finansowania zwrotnego</w:t>
      </w:r>
      <w:r w:rsidRPr="00FC6943">
        <w:rPr>
          <w:rFonts w:asciiTheme="minorHAnsi" w:hAnsiTheme="minorHAnsi" w:cstheme="minorHAnsi"/>
          <w:bCs/>
          <w:color w:val="000000"/>
          <w:lang w:eastAsia="en-US"/>
        </w:rPr>
        <w:t xml:space="preserve"> – podkreśla wiceminister inwestycji i rozwoju </w:t>
      </w:r>
      <w:r w:rsidRPr="00FC6943">
        <w:rPr>
          <w:rFonts w:asciiTheme="minorHAnsi" w:hAnsiTheme="minorHAnsi" w:cstheme="minorHAnsi"/>
          <w:b/>
          <w:bCs/>
          <w:color w:val="000000"/>
          <w:lang w:eastAsia="en-US"/>
        </w:rPr>
        <w:t>Witold Słowik</w:t>
      </w:r>
      <w:r w:rsidRPr="00FC6943">
        <w:rPr>
          <w:rFonts w:asciiTheme="minorHAnsi" w:hAnsiTheme="minorHAnsi" w:cstheme="minorHAnsi"/>
          <w:bCs/>
          <w:color w:val="000000"/>
          <w:lang w:eastAsia="en-US"/>
        </w:rPr>
        <w:t xml:space="preserve">, który w resorcie odpowiada za koordynację wdrażania Planu </w:t>
      </w:r>
      <w:proofErr w:type="spellStart"/>
      <w:r w:rsidRPr="00FC6943">
        <w:rPr>
          <w:rFonts w:asciiTheme="minorHAnsi" w:hAnsiTheme="minorHAnsi" w:cstheme="minorHAnsi"/>
          <w:bCs/>
          <w:color w:val="000000"/>
          <w:lang w:eastAsia="en-US"/>
        </w:rPr>
        <w:t>Junckera</w:t>
      </w:r>
      <w:proofErr w:type="spellEnd"/>
      <w:r w:rsidRPr="00FC6943">
        <w:rPr>
          <w:rFonts w:asciiTheme="minorHAnsi" w:hAnsiTheme="minorHAnsi" w:cstheme="minorHAnsi"/>
          <w:bCs/>
          <w:color w:val="000000"/>
          <w:lang w:eastAsia="en-US"/>
        </w:rPr>
        <w:t xml:space="preserve">. </w:t>
      </w:r>
    </w:p>
    <w:p w:rsidR="007F58D5" w:rsidRPr="00FC6943" w:rsidRDefault="007F58D5" w:rsidP="00FC6943">
      <w:p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Cs/>
          <w:color w:val="000000"/>
          <w:lang w:eastAsia="en-US"/>
        </w:rPr>
        <w:t>Europejski Bank Inwestycyjny wesprze również Grupę Azoty w finansowaniu istotnych projektów inwestycyjnych oraz obszaru badań i rozwoju.</w:t>
      </w:r>
    </w:p>
    <w:p w:rsidR="007F58D5" w:rsidRPr="00FC6943" w:rsidRDefault="007F58D5" w:rsidP="00FC6943">
      <w:p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Cs/>
          <w:color w:val="000000"/>
          <w:lang w:eastAsia="en-US"/>
        </w:rPr>
        <w:t xml:space="preserve">– </w:t>
      </w:r>
      <w:r w:rsidRPr="00FC6943">
        <w:rPr>
          <w:rFonts w:asciiTheme="minorHAnsi" w:hAnsiTheme="minorHAnsi" w:cstheme="minorHAnsi"/>
          <w:bCs/>
          <w:i/>
          <w:color w:val="000000"/>
          <w:lang w:eastAsia="en-US"/>
        </w:rPr>
        <w:t>Zawarcie nowej umowy z Europejskim Bankiem Inwestycyjnym to z jednej strony potwierdzenie wysokiej oceny sytuacji ekonomiczno-finansowej Grupy Azoty, z drugiej wyraz zaufania do zarządu i realizowanej strategii. Jako lider polskiego przemysłu chemicznego uzyskujemy w ten sposób dostęp do długoterminowego, stabilnego finansowania na bardzo dogodnych warunkach. To dobra informacja zarówno dla Grupy, jak i polskiej gospodarki, bo pokazuje, że polski champion chemiczny jest postrzegany jako pewny i znaczący podmiot. Umowa ułatwi nam finansowanie inwestycji rozwojowych oraz modernizacyjnych, zgodnych ze standardami BAT</w:t>
      </w:r>
      <w:r w:rsidRPr="00FC6943">
        <w:rPr>
          <w:rFonts w:asciiTheme="minorHAnsi" w:hAnsiTheme="minorHAnsi" w:cstheme="minorHAnsi"/>
          <w:bCs/>
          <w:color w:val="000000"/>
          <w:lang w:eastAsia="en-US"/>
        </w:rPr>
        <w:t xml:space="preserve"> – powiedział dr </w:t>
      </w:r>
      <w:r w:rsidRPr="00FC6943">
        <w:rPr>
          <w:rFonts w:asciiTheme="minorHAnsi" w:hAnsiTheme="minorHAnsi" w:cstheme="minorHAnsi"/>
          <w:b/>
          <w:bCs/>
          <w:color w:val="000000"/>
          <w:lang w:eastAsia="en-US"/>
        </w:rPr>
        <w:t>Wojciech Wardacki</w:t>
      </w:r>
      <w:r w:rsidRPr="00FC6943">
        <w:rPr>
          <w:rFonts w:asciiTheme="minorHAnsi" w:hAnsiTheme="minorHAnsi" w:cstheme="minorHAnsi"/>
          <w:bCs/>
          <w:color w:val="000000"/>
          <w:lang w:eastAsia="en-US"/>
        </w:rPr>
        <w:t xml:space="preserve">, Prezes Zarządu Grupy Azoty. </w:t>
      </w:r>
    </w:p>
    <w:p w:rsidR="007F58D5" w:rsidRPr="00FC6943" w:rsidRDefault="007F58D5" w:rsidP="00FC6943">
      <w:p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Cs/>
          <w:color w:val="000000"/>
          <w:lang w:eastAsia="en-US"/>
        </w:rPr>
        <w:t>Dodatkowych informacji udzielają:</w:t>
      </w:r>
    </w:p>
    <w:p w:rsidR="007F58D5" w:rsidRPr="00FC6943" w:rsidRDefault="007F58D5" w:rsidP="00FC6943">
      <w:pPr>
        <w:pStyle w:val="Akapitzlist"/>
        <w:numPr>
          <w:ilvl w:val="0"/>
          <w:numId w:val="29"/>
        </w:num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
          <w:bCs/>
          <w:color w:val="000000"/>
          <w:lang w:eastAsia="en-US"/>
        </w:rPr>
        <w:t>PKP LHS</w:t>
      </w:r>
      <w:r w:rsidRPr="00FC6943">
        <w:rPr>
          <w:rFonts w:asciiTheme="minorHAnsi" w:hAnsiTheme="minorHAnsi" w:cstheme="minorHAnsi"/>
          <w:bCs/>
          <w:color w:val="000000"/>
          <w:lang w:eastAsia="en-US"/>
        </w:rPr>
        <w:t xml:space="preserve"> | Agnieszka Hałasa, rzecznik prasowy | mobile: +48 697 047 438; agnieszka.halasa@pkp-lhs.pl</w:t>
      </w:r>
      <w:r w:rsidR="00FC6943">
        <w:rPr>
          <w:rFonts w:asciiTheme="minorHAnsi" w:hAnsiTheme="minorHAnsi" w:cstheme="minorHAnsi"/>
          <w:bCs/>
          <w:color w:val="000000"/>
          <w:lang w:eastAsia="en-US"/>
        </w:rPr>
        <w:t>;</w:t>
      </w:r>
    </w:p>
    <w:p w:rsidR="007F58D5" w:rsidRPr="00FC6943" w:rsidRDefault="007F58D5" w:rsidP="00FC6943">
      <w:pPr>
        <w:pStyle w:val="Akapitzlist"/>
        <w:numPr>
          <w:ilvl w:val="0"/>
          <w:numId w:val="29"/>
        </w:num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
          <w:bCs/>
          <w:color w:val="000000"/>
          <w:lang w:eastAsia="en-US"/>
        </w:rPr>
        <w:t>Grupa Azoty</w:t>
      </w:r>
      <w:r w:rsidRPr="00FC6943">
        <w:rPr>
          <w:rFonts w:asciiTheme="minorHAnsi" w:hAnsiTheme="minorHAnsi" w:cstheme="minorHAnsi"/>
          <w:bCs/>
          <w:color w:val="000000"/>
          <w:lang w:eastAsia="en-US"/>
        </w:rPr>
        <w:t xml:space="preserve"> | rzecznik prasowy | tel.: +48 14 637 40 56; rzecznik@grupaazoty.com</w:t>
      </w:r>
      <w:r w:rsidR="00FC6943">
        <w:rPr>
          <w:rFonts w:asciiTheme="minorHAnsi" w:hAnsiTheme="minorHAnsi" w:cstheme="minorHAnsi"/>
          <w:bCs/>
          <w:color w:val="000000"/>
          <w:lang w:eastAsia="en-US"/>
        </w:rPr>
        <w:t>;</w:t>
      </w:r>
    </w:p>
    <w:p w:rsidR="007F58D5" w:rsidRPr="00FC6943" w:rsidRDefault="007F58D5" w:rsidP="00FC6943">
      <w:pPr>
        <w:pStyle w:val="Akapitzlist"/>
        <w:numPr>
          <w:ilvl w:val="0"/>
          <w:numId w:val="29"/>
        </w:numPr>
        <w:autoSpaceDE w:val="0"/>
        <w:autoSpaceDN w:val="0"/>
        <w:adjustRightInd w:val="0"/>
        <w:spacing w:before="100" w:beforeAutospacing="1" w:after="100" w:afterAutospacing="1"/>
        <w:jc w:val="both"/>
        <w:rPr>
          <w:rFonts w:asciiTheme="minorHAnsi" w:hAnsiTheme="minorHAnsi" w:cstheme="minorHAnsi"/>
          <w:bCs/>
          <w:color w:val="000000"/>
          <w:lang w:eastAsia="en-US"/>
        </w:rPr>
      </w:pPr>
      <w:r w:rsidRPr="00FC6943">
        <w:rPr>
          <w:rFonts w:asciiTheme="minorHAnsi" w:hAnsiTheme="minorHAnsi" w:cstheme="minorHAnsi"/>
          <w:b/>
          <w:bCs/>
          <w:color w:val="000000"/>
          <w:lang w:eastAsia="en-US"/>
        </w:rPr>
        <w:t>Europejski Bank Inwestycyjny</w:t>
      </w:r>
      <w:r w:rsidRPr="00FC6943">
        <w:rPr>
          <w:rFonts w:asciiTheme="minorHAnsi" w:hAnsiTheme="minorHAnsi" w:cstheme="minorHAnsi"/>
          <w:bCs/>
          <w:color w:val="000000"/>
          <w:lang w:eastAsia="en-US"/>
        </w:rPr>
        <w:t xml:space="preserve"> | Andrea Morawski, rzecznik prasowy | tel.: +352 43 79 83427; mobile: +352 691 284 349; a.morawski@eib.org</w:t>
      </w:r>
      <w:r w:rsidR="00FC6943">
        <w:rPr>
          <w:rFonts w:asciiTheme="minorHAnsi" w:hAnsiTheme="minorHAnsi" w:cstheme="minorHAnsi"/>
          <w:bCs/>
          <w:color w:val="000000"/>
          <w:lang w:eastAsia="en-US"/>
        </w:rPr>
        <w:t>;</w:t>
      </w:r>
    </w:p>
    <w:p w:rsidR="004D0846" w:rsidRPr="00FC6943" w:rsidRDefault="007F58D5" w:rsidP="00FC6943">
      <w:pPr>
        <w:pStyle w:val="Akapitzlist"/>
        <w:numPr>
          <w:ilvl w:val="0"/>
          <w:numId w:val="29"/>
        </w:numPr>
        <w:autoSpaceDE w:val="0"/>
        <w:autoSpaceDN w:val="0"/>
        <w:adjustRightInd w:val="0"/>
        <w:spacing w:before="100" w:beforeAutospacing="1" w:after="100" w:afterAutospacing="1"/>
        <w:jc w:val="both"/>
        <w:rPr>
          <w:rFonts w:asciiTheme="minorHAnsi" w:eastAsia="Calibri" w:hAnsiTheme="minorHAnsi" w:cstheme="minorHAnsi"/>
          <w:lang w:eastAsia="en-US"/>
        </w:rPr>
      </w:pPr>
      <w:r w:rsidRPr="00FC6943">
        <w:rPr>
          <w:rFonts w:asciiTheme="minorHAnsi" w:hAnsiTheme="minorHAnsi" w:cstheme="minorHAnsi"/>
          <w:b/>
          <w:bCs/>
          <w:color w:val="000000"/>
          <w:lang w:eastAsia="en-US"/>
        </w:rPr>
        <w:t>Ministerstwo Inwestycji i Rozwoju</w:t>
      </w:r>
      <w:r w:rsidRPr="00FC6943">
        <w:rPr>
          <w:rFonts w:asciiTheme="minorHAnsi" w:hAnsiTheme="minorHAnsi" w:cstheme="minorHAnsi"/>
          <w:bCs/>
          <w:color w:val="000000"/>
          <w:lang w:eastAsia="en-US"/>
        </w:rPr>
        <w:t xml:space="preserve"> | Paweł Nowak, Departament Komunikacji | mobile: +48 666 865 604; media@mr.gov.pl</w:t>
      </w:r>
      <w:r w:rsidR="00FC6943">
        <w:rPr>
          <w:rFonts w:asciiTheme="minorHAnsi" w:hAnsiTheme="minorHAnsi" w:cstheme="minorHAnsi"/>
          <w:bCs/>
          <w:color w:val="000000"/>
          <w:lang w:eastAsia="en-US"/>
        </w:rPr>
        <w:t>;</w:t>
      </w:r>
    </w:p>
    <w:sectPr w:rsidR="004D0846" w:rsidRPr="00FC6943" w:rsidSect="00677B49">
      <w:headerReference w:type="default" r:id="rId9"/>
      <w:footerReference w:type="even" r:id="rId10"/>
      <w:footerReference w:type="default" r:id="rId11"/>
      <w:headerReference w:type="first" r:id="rId12"/>
      <w:footerReference w:type="first" r:id="rId13"/>
      <w:type w:val="continuous"/>
      <w:pgSz w:w="11906" w:h="16838" w:code="9"/>
      <w:pgMar w:top="464" w:right="720" w:bottom="720" w:left="720" w:header="567" w:footer="8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17" w:rsidRDefault="00823017">
      <w:r>
        <w:separator/>
      </w:r>
    </w:p>
  </w:endnote>
  <w:endnote w:type="continuationSeparator" w:id="0">
    <w:p w:rsidR="00823017" w:rsidRDefault="00823017">
      <w:r>
        <w:continuationSeparator/>
      </w:r>
    </w:p>
  </w:endnote>
  <w:endnote w:type="continuationNotice" w:id="1">
    <w:p w:rsidR="00823017" w:rsidRDefault="00823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libri Light">
    <w:altName w:val="Calibri"/>
    <w:charset w:val="00"/>
    <w:family w:val="auto"/>
    <w:pitch w:val="variable"/>
    <w:sig w:usb0="00000001"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CB" w:rsidRDefault="00F628CB"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F628CB" w:rsidRDefault="00F628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06985"/>
      <w:docPartObj>
        <w:docPartGallery w:val="Page Numbers (Bottom of Page)"/>
        <w:docPartUnique/>
      </w:docPartObj>
    </w:sdtPr>
    <w:sdtEndPr/>
    <w:sdtContent>
      <w:sdt>
        <w:sdtPr>
          <w:id w:val="860082579"/>
          <w:docPartObj>
            <w:docPartGallery w:val="Page Numbers (Top of Page)"/>
            <w:docPartUnique/>
          </w:docPartObj>
        </w:sdtPr>
        <w:sdtEndPr/>
        <w:sdtContent>
          <w:p w:rsidR="00A311B1" w:rsidRDefault="00A311B1">
            <w:pPr>
              <w:pStyle w:val="Stopka"/>
              <w:jc w:val="right"/>
            </w:pPr>
            <w:r w:rsidRPr="00A311B1">
              <w:rPr>
                <w:rFonts w:ascii="Arial" w:hAnsi="Arial" w:cs="Arial"/>
              </w:rPr>
              <w:t xml:space="preserve">Strona </w:t>
            </w:r>
            <w:r w:rsidRPr="00A311B1">
              <w:rPr>
                <w:rFonts w:ascii="Arial" w:hAnsi="Arial" w:cs="Arial"/>
                <w:b/>
                <w:bCs/>
              </w:rPr>
              <w:fldChar w:fldCharType="begin"/>
            </w:r>
            <w:r w:rsidRPr="00A311B1">
              <w:rPr>
                <w:rFonts w:ascii="Arial" w:hAnsi="Arial" w:cs="Arial"/>
                <w:b/>
                <w:bCs/>
              </w:rPr>
              <w:instrText>PAGE</w:instrText>
            </w:r>
            <w:r w:rsidRPr="00A311B1">
              <w:rPr>
                <w:rFonts w:ascii="Arial" w:hAnsi="Arial" w:cs="Arial"/>
                <w:b/>
                <w:bCs/>
              </w:rPr>
              <w:fldChar w:fldCharType="separate"/>
            </w:r>
            <w:r w:rsidR="00F13ECB">
              <w:rPr>
                <w:rFonts w:ascii="Arial" w:hAnsi="Arial" w:cs="Arial"/>
                <w:b/>
                <w:bCs/>
                <w:noProof/>
              </w:rPr>
              <w:t>1</w:t>
            </w:r>
            <w:r w:rsidRPr="00A311B1">
              <w:rPr>
                <w:rFonts w:ascii="Arial" w:hAnsi="Arial" w:cs="Arial"/>
                <w:b/>
                <w:bCs/>
              </w:rPr>
              <w:fldChar w:fldCharType="end"/>
            </w:r>
            <w:r w:rsidRPr="00A311B1">
              <w:rPr>
                <w:rFonts w:ascii="Arial" w:hAnsi="Arial" w:cs="Arial"/>
              </w:rPr>
              <w:t xml:space="preserve"> z </w:t>
            </w:r>
            <w:r w:rsidRPr="00A311B1">
              <w:rPr>
                <w:rFonts w:ascii="Arial" w:hAnsi="Arial" w:cs="Arial"/>
                <w:b/>
                <w:bCs/>
              </w:rPr>
              <w:fldChar w:fldCharType="begin"/>
            </w:r>
            <w:r w:rsidRPr="00A311B1">
              <w:rPr>
                <w:rFonts w:ascii="Arial" w:hAnsi="Arial" w:cs="Arial"/>
                <w:b/>
                <w:bCs/>
              </w:rPr>
              <w:instrText>NUMPAGES</w:instrText>
            </w:r>
            <w:r w:rsidRPr="00A311B1">
              <w:rPr>
                <w:rFonts w:ascii="Arial" w:hAnsi="Arial" w:cs="Arial"/>
                <w:b/>
                <w:bCs/>
              </w:rPr>
              <w:fldChar w:fldCharType="separate"/>
            </w:r>
            <w:r w:rsidR="00F13ECB">
              <w:rPr>
                <w:rFonts w:ascii="Arial" w:hAnsi="Arial" w:cs="Arial"/>
                <w:b/>
                <w:bCs/>
                <w:noProof/>
              </w:rPr>
              <w:t>2</w:t>
            </w:r>
            <w:r w:rsidRPr="00A311B1">
              <w:rPr>
                <w:rFonts w:ascii="Arial" w:hAnsi="Arial" w:cs="Arial"/>
                <w:b/>
                <w:bCs/>
              </w:rPr>
              <w:fldChar w:fldCharType="end"/>
            </w:r>
          </w:p>
        </w:sdtContent>
      </w:sdt>
    </w:sdtContent>
  </w:sdt>
  <w:p w:rsidR="00F628CB" w:rsidRPr="006E14A1" w:rsidRDefault="00375DFC" w:rsidP="006E14A1">
    <w:pPr>
      <w:tabs>
        <w:tab w:val="center" w:pos="2340"/>
        <w:tab w:val="right" w:pos="9072"/>
      </w:tabs>
      <w:ind w:right="-1"/>
      <w:jc w:val="center"/>
      <w:rPr>
        <w:rFonts w:ascii="Tahoma" w:hAnsi="Tahoma"/>
        <w:color w:val="0066CC"/>
        <w:sz w:val="22"/>
        <w:lang w:val="de-DE"/>
      </w:rPr>
    </w:pPr>
    <w:r w:rsidRPr="00375DFC">
      <w:rPr>
        <w:rFonts w:ascii="Garamond" w:hAnsi="Garamond"/>
        <w:color w:val="0066CC"/>
        <w:sz w:val="18"/>
        <w:szCs w:val="18"/>
        <w:lang w:val="de-D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1214"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6"/>
      <w:gridCol w:w="236"/>
      <w:gridCol w:w="222"/>
      <w:gridCol w:w="9070"/>
      <w:gridCol w:w="820"/>
    </w:tblGrid>
    <w:tr w:rsidR="00F628CB" w:rsidRPr="000318FA" w:rsidTr="00533CDC">
      <w:trPr>
        <w:trHeight w:val="108"/>
      </w:trPr>
      <w:tc>
        <w:tcPr>
          <w:tcW w:w="867" w:type="dxa"/>
        </w:tcPr>
        <w:p w:rsidR="00F628CB" w:rsidRPr="000318FA" w:rsidRDefault="00F628CB" w:rsidP="009B1911">
          <w:pPr>
            <w:pStyle w:val="Stopka"/>
            <w:jc w:val="center"/>
            <w:rPr>
              <w:rFonts w:asciiTheme="minorHAnsi" w:hAnsiTheme="minorHAnsi"/>
              <w:noProof/>
              <w:sz w:val="4"/>
              <w:szCs w:val="4"/>
              <w:lang w:val="en-US" w:eastAsia="en-US"/>
            </w:rPr>
          </w:pPr>
        </w:p>
      </w:tc>
      <w:tc>
        <w:tcPr>
          <w:tcW w:w="230" w:type="dxa"/>
        </w:tcPr>
        <w:p w:rsidR="00F628CB" w:rsidRPr="000318FA" w:rsidRDefault="00F628CB" w:rsidP="009B1911">
          <w:pPr>
            <w:pStyle w:val="Stopka"/>
            <w:jc w:val="center"/>
            <w:rPr>
              <w:rFonts w:asciiTheme="minorHAnsi" w:hAnsiTheme="minorHAnsi"/>
              <w:noProof/>
              <w:sz w:val="4"/>
              <w:szCs w:val="4"/>
              <w:lang w:val="en-US" w:eastAsia="en-US"/>
            </w:rPr>
          </w:pPr>
        </w:p>
      </w:tc>
      <w:tc>
        <w:tcPr>
          <w:tcW w:w="222" w:type="dxa"/>
          <w:tcMar>
            <w:left w:w="0" w:type="dxa"/>
          </w:tcMar>
        </w:tcPr>
        <w:p w:rsidR="00F628CB" w:rsidRPr="000318FA" w:rsidRDefault="00F628CB" w:rsidP="009B1911">
          <w:pPr>
            <w:pStyle w:val="Stopka"/>
            <w:jc w:val="center"/>
            <w:rPr>
              <w:rFonts w:asciiTheme="minorHAnsi" w:hAnsiTheme="minorHAnsi"/>
              <w:noProof/>
              <w:sz w:val="4"/>
              <w:szCs w:val="4"/>
              <w:lang w:val="en-US" w:eastAsia="en-US"/>
            </w:rPr>
          </w:pPr>
        </w:p>
      </w:tc>
      <w:tc>
        <w:tcPr>
          <w:tcW w:w="9075" w:type="dxa"/>
          <w:tcMar>
            <w:left w:w="369" w:type="dxa"/>
          </w:tcMar>
        </w:tcPr>
        <w:p w:rsidR="00F628CB" w:rsidRPr="000318FA" w:rsidRDefault="00F628CB" w:rsidP="009B1911">
          <w:pPr>
            <w:pStyle w:val="Stopka"/>
            <w:rPr>
              <w:rFonts w:asciiTheme="minorHAnsi" w:hAnsiTheme="minorHAnsi"/>
              <w:sz w:val="4"/>
              <w:szCs w:val="4"/>
            </w:rPr>
          </w:pPr>
        </w:p>
      </w:tc>
      <w:tc>
        <w:tcPr>
          <w:tcW w:w="820" w:type="dxa"/>
        </w:tcPr>
        <w:p w:rsidR="00F628CB" w:rsidRPr="000318FA" w:rsidRDefault="00F628CB" w:rsidP="009B1911">
          <w:pPr>
            <w:pStyle w:val="Stopka"/>
            <w:rPr>
              <w:rFonts w:asciiTheme="minorHAnsi" w:hAnsiTheme="minorHAnsi"/>
              <w:sz w:val="4"/>
              <w:szCs w:val="4"/>
            </w:rPr>
          </w:pPr>
        </w:p>
      </w:tc>
    </w:tr>
    <w:tr w:rsidR="00F628CB" w:rsidRPr="0017134B" w:rsidTr="00533CDC">
      <w:trPr>
        <w:trHeight w:val="284"/>
      </w:trPr>
      <w:tc>
        <w:tcPr>
          <w:tcW w:w="867" w:type="dxa"/>
        </w:tcPr>
        <w:p w:rsidR="00F628CB" w:rsidRDefault="00F628CB" w:rsidP="0017134B">
          <w:pPr>
            <w:pStyle w:val="Stopka"/>
            <w:rPr>
              <w:rFonts w:asciiTheme="minorHAnsi" w:hAnsiTheme="minorHAnsi"/>
              <w:noProof/>
              <w:sz w:val="15"/>
              <w:szCs w:val="15"/>
            </w:rPr>
          </w:pPr>
        </w:p>
        <w:p w:rsidR="00F628CB" w:rsidRDefault="00F628CB" w:rsidP="0017134B">
          <w:pPr>
            <w:pStyle w:val="Stopka"/>
            <w:rPr>
              <w:rFonts w:asciiTheme="minorHAnsi" w:hAnsiTheme="minorHAnsi"/>
              <w:noProof/>
              <w:sz w:val="15"/>
              <w:szCs w:val="15"/>
            </w:rPr>
          </w:pPr>
        </w:p>
      </w:tc>
      <w:tc>
        <w:tcPr>
          <w:tcW w:w="230" w:type="dxa"/>
        </w:tcPr>
        <w:p w:rsidR="00F628CB" w:rsidRDefault="00F628CB" w:rsidP="0017134B">
          <w:pPr>
            <w:pStyle w:val="Stopka"/>
            <w:rPr>
              <w:rFonts w:asciiTheme="minorHAnsi" w:hAnsiTheme="minorHAnsi"/>
              <w:noProof/>
              <w:sz w:val="15"/>
              <w:szCs w:val="15"/>
            </w:rPr>
          </w:pPr>
        </w:p>
      </w:tc>
      <w:tc>
        <w:tcPr>
          <w:tcW w:w="222" w:type="dxa"/>
          <w:tcMar>
            <w:left w:w="0" w:type="dxa"/>
          </w:tcMar>
        </w:tcPr>
        <w:p w:rsidR="00F628CB" w:rsidRDefault="00F628CB" w:rsidP="0017134B">
          <w:pPr>
            <w:pStyle w:val="Stopka"/>
            <w:rPr>
              <w:rFonts w:asciiTheme="minorHAnsi" w:hAnsiTheme="minorHAnsi"/>
              <w:noProof/>
              <w:sz w:val="15"/>
              <w:szCs w:val="15"/>
            </w:rPr>
          </w:pPr>
        </w:p>
      </w:tc>
      <w:tc>
        <w:tcPr>
          <w:tcW w:w="9075" w:type="dxa"/>
          <w:tcMar>
            <w:left w:w="369" w:type="dxa"/>
          </w:tcMar>
        </w:tcPr>
        <w:p w:rsidR="00F628CB" w:rsidRDefault="00F628CB" w:rsidP="00907C46">
          <w:pPr>
            <w:pStyle w:val="Stopka"/>
            <w:ind w:left="175"/>
            <w:rPr>
              <w:rFonts w:asciiTheme="minorHAnsi" w:hAnsiTheme="minorHAnsi"/>
              <w:sz w:val="15"/>
              <w:szCs w:val="15"/>
            </w:rPr>
          </w:pPr>
          <w:r>
            <w:rPr>
              <w:rFonts w:asciiTheme="minorHAnsi" w:hAnsiTheme="minorHAnsi"/>
              <w:sz w:val="15"/>
              <w:szCs w:val="15"/>
            </w:rPr>
            <w:t xml:space="preserve">                 </w:t>
          </w:r>
          <w:r w:rsidRPr="00060620">
            <w:rPr>
              <w:rFonts w:asciiTheme="minorHAnsi" w:hAnsiTheme="minorHAnsi"/>
              <w:sz w:val="15"/>
              <w:szCs w:val="15"/>
            </w:rPr>
            <w:t>Ministerstwo Rozwoju</w:t>
          </w:r>
          <w:r>
            <w:rPr>
              <w:rFonts w:asciiTheme="minorHAnsi" w:hAnsiTheme="minorHAnsi"/>
              <w:sz w:val="15"/>
              <w:szCs w:val="15"/>
            </w:rPr>
            <w:t>, Plac Trzech Krzyży 3/5, 00-507</w:t>
          </w:r>
          <w:r w:rsidRPr="00060620">
            <w:rPr>
              <w:rFonts w:asciiTheme="minorHAnsi" w:hAnsiTheme="minorHAnsi"/>
              <w:sz w:val="15"/>
              <w:szCs w:val="15"/>
            </w:rPr>
            <w:t xml:space="preserve"> Warszawa</w:t>
          </w:r>
          <w:r>
            <w:rPr>
              <w:rFonts w:asciiTheme="minorHAnsi" w:hAnsiTheme="minorHAnsi"/>
              <w:sz w:val="15"/>
              <w:szCs w:val="15"/>
            </w:rPr>
            <w:t xml:space="preserve">;  </w:t>
          </w:r>
          <w:r w:rsidRPr="00060620">
            <w:rPr>
              <w:rFonts w:asciiTheme="minorHAnsi" w:hAnsiTheme="minorHAnsi"/>
              <w:sz w:val="15"/>
              <w:szCs w:val="15"/>
            </w:rPr>
            <w:t>tel. 22</w:t>
          </w:r>
          <w:r>
            <w:rPr>
              <w:rFonts w:asciiTheme="minorHAnsi" w:hAnsiTheme="minorHAnsi"/>
              <w:sz w:val="15"/>
              <w:szCs w:val="15"/>
            </w:rPr>
            <w:t xml:space="preserve"> 273 79 50, </w:t>
          </w:r>
          <w:r w:rsidRPr="001E25BD">
            <w:rPr>
              <w:rFonts w:asciiTheme="minorHAnsi" w:hAnsiTheme="minorHAnsi"/>
              <w:sz w:val="15"/>
              <w:szCs w:val="15"/>
            </w:rPr>
            <w:t>fax 22</w:t>
          </w:r>
          <w:r>
            <w:rPr>
              <w:rFonts w:asciiTheme="minorHAnsi" w:hAnsiTheme="minorHAnsi"/>
              <w:sz w:val="15"/>
              <w:szCs w:val="15"/>
            </w:rPr>
            <w:t> 273 89 15</w:t>
          </w:r>
          <w:r w:rsidRPr="001E25BD">
            <w:rPr>
              <w:rFonts w:asciiTheme="minorHAnsi" w:hAnsiTheme="minorHAnsi"/>
              <w:sz w:val="15"/>
              <w:szCs w:val="15"/>
            </w:rPr>
            <w:t>,</w:t>
          </w:r>
          <w:r>
            <w:rPr>
              <w:rFonts w:asciiTheme="minorHAnsi" w:hAnsiTheme="minorHAnsi"/>
              <w:sz w:val="15"/>
              <w:szCs w:val="15"/>
            </w:rPr>
            <w:t xml:space="preserve"> </w:t>
          </w:r>
          <w:r w:rsidRPr="001E25BD">
            <w:rPr>
              <w:rFonts w:asciiTheme="minorHAnsi" w:hAnsiTheme="minorHAnsi"/>
              <w:sz w:val="15"/>
              <w:szCs w:val="15"/>
            </w:rPr>
            <w:t>www.mr.gov.pl</w:t>
          </w:r>
        </w:p>
      </w:tc>
      <w:tc>
        <w:tcPr>
          <w:tcW w:w="820" w:type="dxa"/>
        </w:tcPr>
        <w:p w:rsidR="00F628CB" w:rsidRDefault="00F628CB" w:rsidP="009B1911">
          <w:pPr>
            <w:pStyle w:val="Stopka"/>
            <w:rPr>
              <w:rFonts w:asciiTheme="minorHAnsi" w:hAnsiTheme="minorHAnsi"/>
              <w:sz w:val="15"/>
              <w:szCs w:val="15"/>
            </w:rPr>
          </w:pPr>
        </w:p>
      </w:tc>
    </w:tr>
  </w:tbl>
  <w:p w:rsidR="00F628CB" w:rsidRPr="001E25BD" w:rsidRDefault="00F628CB" w:rsidP="00907C46">
    <w:pPr>
      <w:pStyle w:val="Stopka"/>
      <w:rPr>
        <w:rFonts w:asciiTheme="minorHAnsi" w:hAnsiTheme="minorHAnsi"/>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17" w:rsidRDefault="00823017">
      <w:r>
        <w:separator/>
      </w:r>
    </w:p>
  </w:footnote>
  <w:footnote w:type="continuationSeparator" w:id="0">
    <w:p w:rsidR="00823017" w:rsidRDefault="00823017">
      <w:r>
        <w:continuationSeparator/>
      </w:r>
    </w:p>
  </w:footnote>
  <w:footnote w:type="continuationNotice" w:id="1">
    <w:p w:rsidR="00823017" w:rsidRDefault="008230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49" w:rsidRDefault="00677B49" w:rsidP="00677B49">
    <w:pPr>
      <w:pStyle w:val="Nagwek"/>
      <w:tabs>
        <w:tab w:val="clear" w:pos="4536"/>
        <w:tab w:val="clear" w:pos="9072"/>
      </w:tabs>
    </w:pPr>
    <w:r>
      <w:rPr>
        <w:noProof/>
      </w:rPr>
      <w:drawing>
        <wp:anchor distT="0" distB="0" distL="114300" distR="114300" simplePos="0" relativeHeight="251663360" behindDoc="0" locked="0" layoutInCell="1" allowOverlap="1" wp14:anchorId="0CB32DE3" wp14:editId="50F41AAE">
          <wp:simplePos x="0" y="0"/>
          <wp:positionH relativeFrom="margin">
            <wp:posOffset>2486025</wp:posOffset>
          </wp:positionH>
          <wp:positionV relativeFrom="margin">
            <wp:posOffset>-1259205</wp:posOffset>
          </wp:positionV>
          <wp:extent cx="1334770" cy="72961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70" cy="729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24CE11D" wp14:editId="7A64EBB3">
          <wp:simplePos x="0" y="0"/>
          <wp:positionH relativeFrom="margin">
            <wp:posOffset>28575</wp:posOffset>
          </wp:positionH>
          <wp:positionV relativeFrom="margin">
            <wp:posOffset>-1203325</wp:posOffset>
          </wp:positionV>
          <wp:extent cx="1390650" cy="474980"/>
          <wp:effectExtent l="0" t="0" r="0" b="1270"/>
          <wp:wrapSquare wrapText="bothSides"/>
          <wp:docPr id="8" name="Obraz 8" descr="C:\Users\Pawel_Nowak\AppData\Local\Temp\notesBAAA25\~7653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wel_Nowak\AppData\Local\Temp\notesBAAA25\~765353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065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7B49" w:rsidRDefault="00677B49" w:rsidP="00677B49">
    <w:pPr>
      <w:pStyle w:val="Nagwek"/>
      <w:tabs>
        <w:tab w:val="clear" w:pos="4536"/>
        <w:tab w:val="clear" w:pos="9072"/>
        <w:tab w:val="left" w:pos="4575"/>
        <w:tab w:val="left" w:pos="5805"/>
        <w:tab w:val="left" w:pos="7395"/>
      </w:tabs>
    </w:pPr>
  </w:p>
  <w:p w:rsidR="00677B49" w:rsidRDefault="00677B49" w:rsidP="00677B49">
    <w:pPr>
      <w:pStyle w:val="Nagwek"/>
      <w:tabs>
        <w:tab w:val="clear" w:pos="4536"/>
        <w:tab w:val="clear" w:pos="9072"/>
        <w:tab w:val="left" w:pos="4575"/>
        <w:tab w:val="left" w:pos="5805"/>
        <w:tab w:val="left" w:pos="7395"/>
      </w:tabs>
    </w:pPr>
    <w:r w:rsidRPr="00677B49">
      <w:rPr>
        <w:noProof/>
      </w:rPr>
      <w:drawing>
        <wp:anchor distT="0" distB="0" distL="114300" distR="114300" simplePos="0" relativeHeight="251666432" behindDoc="0" locked="0" layoutInCell="1" allowOverlap="1" wp14:anchorId="7E696287" wp14:editId="2BF5C417">
          <wp:simplePos x="0" y="0"/>
          <wp:positionH relativeFrom="margin">
            <wp:posOffset>1562100</wp:posOffset>
          </wp:positionH>
          <wp:positionV relativeFrom="margin">
            <wp:posOffset>-692785</wp:posOffset>
          </wp:positionV>
          <wp:extent cx="800100" cy="500380"/>
          <wp:effectExtent l="0" t="0" r="0" b="0"/>
          <wp:wrapSquare wrapText="bothSides"/>
          <wp:docPr id="9" name="Obraz 9" descr="http://media.grupaazoty.com/elements/24/logotyp/187/grupaazotylogopodstawow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grupaazoty.com/elements/24/logotyp/187/grupaazotylogopodstawowe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010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7B49" w:rsidRDefault="00677B49" w:rsidP="00677B49">
    <w:pPr>
      <w:pStyle w:val="Nagwek"/>
      <w:tabs>
        <w:tab w:val="clear" w:pos="4536"/>
        <w:tab w:val="clear" w:pos="9072"/>
        <w:tab w:val="left" w:pos="6705"/>
      </w:tabs>
    </w:pPr>
    <w:r w:rsidRPr="00677B49">
      <w:rPr>
        <w:noProof/>
      </w:rPr>
      <w:drawing>
        <wp:anchor distT="0" distB="0" distL="114300" distR="114300" simplePos="0" relativeHeight="251667456" behindDoc="0" locked="0" layoutInCell="1" allowOverlap="1" wp14:anchorId="0E706154" wp14:editId="0852851F">
          <wp:simplePos x="0" y="0"/>
          <wp:positionH relativeFrom="margin">
            <wp:posOffset>3705225</wp:posOffset>
          </wp:positionH>
          <wp:positionV relativeFrom="margin">
            <wp:posOffset>-530225</wp:posOffset>
          </wp:positionV>
          <wp:extent cx="1352550" cy="400050"/>
          <wp:effectExtent l="0" t="0" r="0" b="0"/>
          <wp:wrapSquare wrapText="bothSides"/>
          <wp:docPr id="10" name="Obraz 10" descr="https://lhs.com.pl/img/loga/LHS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s.com.pl/img/loga/LHS_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677B49" w:rsidRDefault="00677B49" w:rsidP="00677B49">
    <w:pPr>
      <w:pStyle w:val="Nagwek"/>
      <w:tabs>
        <w:tab w:val="clear" w:pos="4536"/>
        <w:tab w:val="clear" w:pos="9072"/>
        <w:tab w:val="left" w:pos="4575"/>
        <w:tab w:val="left" w:pos="5805"/>
        <w:tab w:val="left" w:pos="7395"/>
      </w:tabs>
    </w:pPr>
  </w:p>
  <w:p w:rsidR="00EE200E" w:rsidRDefault="00677B49" w:rsidP="00677B49">
    <w:pPr>
      <w:pStyle w:val="Nagwek"/>
      <w:tabs>
        <w:tab w:val="clear" w:pos="4536"/>
        <w:tab w:val="clear" w:pos="9072"/>
        <w:tab w:val="left" w:pos="4575"/>
        <w:tab w:val="left" w:pos="5805"/>
        <w:tab w:val="left" w:pos="7395"/>
      </w:tabs>
    </w:pPr>
    <w:r w:rsidRPr="00677B49">
      <w:rPr>
        <w:noProof/>
      </w:rPr>
      <w:drawing>
        <wp:anchor distT="0" distB="0" distL="114300" distR="114300" simplePos="0" relativeHeight="251664384" behindDoc="0" locked="0" layoutInCell="1" allowOverlap="1" wp14:anchorId="60C9B32D" wp14:editId="34EBB90A">
          <wp:simplePos x="0" y="0"/>
          <wp:positionH relativeFrom="margin">
            <wp:posOffset>4180205</wp:posOffset>
          </wp:positionH>
          <wp:positionV relativeFrom="margin">
            <wp:posOffset>-1155700</wp:posOffset>
          </wp:positionV>
          <wp:extent cx="2409825" cy="370205"/>
          <wp:effectExtent l="0" t="0" r="9525" b="0"/>
          <wp:wrapSquare wrapText="bothSides"/>
          <wp:docPr id="6" name="Obraz 6" descr="logo Ministerstwa Infrastruktury i Budownic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nisterstwa Infrastruktury i Budownict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37020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CB" w:rsidRDefault="00F628CB"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39B58022" wp14:editId="03016B73">
              <wp:simplePos x="0" y="0"/>
              <wp:positionH relativeFrom="column">
                <wp:posOffset>-462280</wp:posOffset>
              </wp:positionH>
              <wp:positionV relativeFrom="paragraph">
                <wp:posOffset>411971</wp:posOffset>
              </wp:positionV>
              <wp:extent cx="2623820" cy="771525"/>
              <wp:effectExtent l="0" t="0" r="5080" b="38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8CB" w:rsidRDefault="00F628CB" w:rsidP="00F21F64">
                          <w:pPr>
                            <w:jc w:val="center"/>
                            <w:rPr>
                              <w:color w:val="000000"/>
                            </w:rPr>
                          </w:pPr>
                          <w:r>
                            <w:rPr>
                              <w:noProof/>
                              <w:color w:val="000000"/>
                            </w:rPr>
                            <w:drawing>
                              <wp:inline distT="0" distB="0" distL="0" distR="0" wp14:anchorId="31915FD4" wp14:editId="31161DBC">
                                <wp:extent cx="546100" cy="546100"/>
                                <wp:effectExtent l="0" t="0" r="635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rsidR="00F628CB" w:rsidRPr="007E1616" w:rsidRDefault="00F628CB" w:rsidP="00F21F64">
                          <w:pPr>
                            <w:jc w:val="center"/>
                            <w:rPr>
                              <w:color w:val="000000"/>
                            </w:rPr>
                          </w:pPr>
                          <w:r w:rsidRPr="007E1616">
                            <w:rPr>
                              <w:color w:val="000000"/>
                            </w:rPr>
                            <w:t>MINISTERSTWO ROZWOJU</w:t>
                          </w:r>
                        </w:p>
                        <w:p w:rsidR="00F628CB" w:rsidRPr="007E1616" w:rsidRDefault="00F628CB" w:rsidP="00266130">
                          <w:pPr>
                            <w:jc w:val="center"/>
                            <w:rPr>
                              <w:color w:val="000000" w:themeColor="text1"/>
                            </w:rPr>
                          </w:pPr>
                        </w:p>
                        <w:p w:rsidR="00F628CB" w:rsidRPr="007E1616" w:rsidRDefault="00F628CB" w:rsidP="0003262F">
                          <w:pPr>
                            <w:jc w:val="center"/>
                            <w:rPr>
                              <w:b/>
                              <w:color w:val="000000" w:themeColor="text1"/>
                            </w:rPr>
                          </w:pPr>
                          <w:r w:rsidRPr="007E1616">
                            <w:rPr>
                              <w:color w:val="000000" w:themeColor="text1"/>
                            </w:rPr>
                            <w:t xml:space="preserve">DEPARTAMENT PARTNERSTWA </w:t>
                          </w:r>
                          <w:r w:rsidRPr="007E1616">
                            <w:rPr>
                              <w:color w:val="000000" w:themeColor="text1"/>
                            </w:rPr>
                            <w:br/>
                            <w:t>PUBLICZNO-PRYWATNEGO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6.4pt;margin-top:32.45pt;width:206.6pt;height:60.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" stroked="f">
              <v:textbox style="mso-fit-shape-to-text:t">
                <w:txbxContent>
                  <w:p w:rsidR="00F628CB" w:rsidRDefault="00F628CB" w:rsidP="00F21F64">
                    <w:pPr>
                      <w:jc w:val="center"/>
                      <w:rPr>
                        <w:color w:val="000000"/>
                      </w:rPr>
                    </w:pPr>
                    <w:r>
                      <w:rPr>
                        <w:noProof/>
                        <w:color w:val="000000"/>
                      </w:rPr>
                      <w:drawing>
                        <wp:inline distT="0" distB="0" distL="0" distR="0" wp14:anchorId="31915FD4" wp14:editId="31161DBC">
                          <wp:extent cx="546100" cy="546100"/>
                          <wp:effectExtent l="0" t="0" r="635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rsidR="00F628CB" w:rsidRPr="007E1616" w:rsidRDefault="00F628CB" w:rsidP="00F21F64">
                    <w:pPr>
                      <w:jc w:val="center"/>
                      <w:rPr>
                        <w:color w:val="000000"/>
                      </w:rPr>
                    </w:pPr>
                    <w:r w:rsidRPr="007E1616">
                      <w:rPr>
                        <w:color w:val="000000"/>
                      </w:rPr>
                      <w:t>MINISTERSTWO ROZWOJU</w:t>
                    </w:r>
                  </w:p>
                  <w:p w:rsidR="00F628CB" w:rsidRPr="007E1616" w:rsidRDefault="00F628CB" w:rsidP="00266130">
                    <w:pPr>
                      <w:jc w:val="center"/>
                      <w:rPr>
                        <w:color w:val="000000" w:themeColor="text1"/>
                      </w:rPr>
                    </w:pPr>
                  </w:p>
                  <w:p w:rsidR="00F628CB" w:rsidRPr="007E1616" w:rsidRDefault="00F628CB" w:rsidP="0003262F">
                    <w:pPr>
                      <w:jc w:val="center"/>
                      <w:rPr>
                        <w:b/>
                        <w:color w:val="000000" w:themeColor="text1"/>
                      </w:rPr>
                    </w:pPr>
                    <w:r w:rsidRPr="007E1616">
                      <w:rPr>
                        <w:color w:val="000000" w:themeColor="text1"/>
                      </w:rPr>
                      <w:t xml:space="preserve">DEPARTAMENT PARTNERSTWA </w:t>
                    </w:r>
                    <w:r w:rsidRPr="007E1616">
                      <w:rPr>
                        <w:color w:val="000000" w:themeColor="text1"/>
                      </w:rPr>
                      <w:br/>
                      <w:t>PUBLICZNO-PRYWATNEGO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B51"/>
    <w:multiLevelType w:val="hybridMultilevel"/>
    <w:tmpl w:val="964C55A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11546FA3"/>
    <w:multiLevelType w:val="hybridMultilevel"/>
    <w:tmpl w:val="F8A4694C"/>
    <w:lvl w:ilvl="0" w:tplc="12E665C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151904EE"/>
    <w:multiLevelType w:val="hybridMultilevel"/>
    <w:tmpl w:val="B0D6A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585EA4"/>
    <w:multiLevelType w:val="hybridMultilevel"/>
    <w:tmpl w:val="1958A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2B1351"/>
    <w:multiLevelType w:val="hybridMultilevel"/>
    <w:tmpl w:val="9402A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220F5E"/>
    <w:multiLevelType w:val="hybridMultilevel"/>
    <w:tmpl w:val="54640F6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67D46C0"/>
    <w:multiLevelType w:val="hybridMultilevel"/>
    <w:tmpl w:val="FF18E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BC1DF6"/>
    <w:multiLevelType w:val="hybridMultilevel"/>
    <w:tmpl w:val="446C5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C643E2"/>
    <w:multiLevelType w:val="hybridMultilevel"/>
    <w:tmpl w:val="E710C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CD6505"/>
    <w:multiLevelType w:val="hybridMultilevel"/>
    <w:tmpl w:val="864EF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007941"/>
    <w:multiLevelType w:val="hybridMultilevel"/>
    <w:tmpl w:val="F22E620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9112B2"/>
    <w:multiLevelType w:val="hybridMultilevel"/>
    <w:tmpl w:val="B810B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1A1E12"/>
    <w:multiLevelType w:val="hybridMultilevel"/>
    <w:tmpl w:val="AA4C9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8F4AFC"/>
    <w:multiLevelType w:val="hybridMultilevel"/>
    <w:tmpl w:val="BB682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65098E"/>
    <w:multiLevelType w:val="hybridMultilevel"/>
    <w:tmpl w:val="59AA3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DD6EA2"/>
    <w:multiLevelType w:val="hybridMultilevel"/>
    <w:tmpl w:val="0632E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0066ED"/>
    <w:multiLevelType w:val="hybridMultilevel"/>
    <w:tmpl w:val="BCEAC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5445A44"/>
    <w:multiLevelType w:val="hybridMultilevel"/>
    <w:tmpl w:val="5A225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6913409"/>
    <w:multiLevelType w:val="hybridMultilevel"/>
    <w:tmpl w:val="E7123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8401A5"/>
    <w:multiLevelType w:val="hybridMultilevel"/>
    <w:tmpl w:val="B700EC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D8769C"/>
    <w:multiLevelType w:val="hybridMultilevel"/>
    <w:tmpl w:val="4726FA18"/>
    <w:lvl w:ilvl="0" w:tplc="04150011">
      <w:start w:val="1"/>
      <w:numFmt w:val="decimal"/>
      <w:lvlText w:val="%1)"/>
      <w:lvlJc w:val="left"/>
      <w:pPr>
        <w:ind w:left="7307" w:hanging="360"/>
      </w:pPr>
    </w:lvl>
    <w:lvl w:ilvl="1" w:tplc="04150019">
      <w:start w:val="1"/>
      <w:numFmt w:val="lowerLetter"/>
      <w:lvlText w:val="%2."/>
      <w:lvlJc w:val="left"/>
      <w:pPr>
        <w:ind w:left="8027" w:hanging="360"/>
      </w:pPr>
    </w:lvl>
    <w:lvl w:ilvl="2" w:tplc="0415001B">
      <w:start w:val="1"/>
      <w:numFmt w:val="lowerRoman"/>
      <w:lvlText w:val="%3."/>
      <w:lvlJc w:val="right"/>
      <w:pPr>
        <w:ind w:left="8747" w:hanging="180"/>
      </w:pPr>
    </w:lvl>
    <w:lvl w:ilvl="3" w:tplc="0415000F">
      <w:start w:val="1"/>
      <w:numFmt w:val="decimal"/>
      <w:lvlText w:val="%4."/>
      <w:lvlJc w:val="left"/>
      <w:pPr>
        <w:ind w:left="9467" w:hanging="360"/>
      </w:pPr>
    </w:lvl>
    <w:lvl w:ilvl="4" w:tplc="04150019">
      <w:start w:val="1"/>
      <w:numFmt w:val="lowerLetter"/>
      <w:lvlText w:val="%5."/>
      <w:lvlJc w:val="left"/>
      <w:pPr>
        <w:ind w:left="10187" w:hanging="360"/>
      </w:pPr>
    </w:lvl>
    <w:lvl w:ilvl="5" w:tplc="0415001B">
      <w:start w:val="1"/>
      <w:numFmt w:val="lowerRoman"/>
      <w:lvlText w:val="%6."/>
      <w:lvlJc w:val="right"/>
      <w:pPr>
        <w:ind w:left="10907" w:hanging="180"/>
      </w:pPr>
    </w:lvl>
    <w:lvl w:ilvl="6" w:tplc="0415000F">
      <w:start w:val="1"/>
      <w:numFmt w:val="decimal"/>
      <w:lvlText w:val="%7."/>
      <w:lvlJc w:val="left"/>
      <w:pPr>
        <w:ind w:left="11627" w:hanging="360"/>
      </w:pPr>
    </w:lvl>
    <w:lvl w:ilvl="7" w:tplc="04150019">
      <w:start w:val="1"/>
      <w:numFmt w:val="lowerLetter"/>
      <w:lvlText w:val="%8."/>
      <w:lvlJc w:val="left"/>
      <w:pPr>
        <w:ind w:left="12347" w:hanging="360"/>
      </w:pPr>
    </w:lvl>
    <w:lvl w:ilvl="8" w:tplc="0415001B">
      <w:start w:val="1"/>
      <w:numFmt w:val="lowerRoman"/>
      <w:lvlText w:val="%9."/>
      <w:lvlJc w:val="right"/>
      <w:pPr>
        <w:ind w:left="13067" w:hanging="180"/>
      </w:pPr>
    </w:lvl>
  </w:abstractNum>
  <w:abstractNum w:abstractNumId="21">
    <w:nsid w:val="649A38DD"/>
    <w:multiLevelType w:val="hybridMultilevel"/>
    <w:tmpl w:val="197CF338"/>
    <w:lvl w:ilvl="0" w:tplc="CF243A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64F4300F"/>
    <w:multiLevelType w:val="hybridMultilevel"/>
    <w:tmpl w:val="DF08E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8C94343"/>
    <w:multiLevelType w:val="hybridMultilevel"/>
    <w:tmpl w:val="2BF23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F723755"/>
    <w:multiLevelType w:val="hybridMultilevel"/>
    <w:tmpl w:val="DA78E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6950446"/>
    <w:multiLevelType w:val="hybridMultilevel"/>
    <w:tmpl w:val="65A83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BC918F0"/>
    <w:multiLevelType w:val="hybridMultilevel"/>
    <w:tmpl w:val="F22E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D52D98"/>
    <w:multiLevelType w:val="hybridMultilevel"/>
    <w:tmpl w:val="38266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0"/>
  </w:num>
  <w:num w:numId="6">
    <w:abstractNumId w:val="14"/>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6"/>
  </w:num>
  <w:num w:numId="11">
    <w:abstractNumId w:val="19"/>
  </w:num>
  <w:num w:numId="12">
    <w:abstractNumId w:val="12"/>
  </w:num>
  <w:num w:numId="13">
    <w:abstractNumId w:val="23"/>
  </w:num>
  <w:num w:numId="14">
    <w:abstractNumId w:val="7"/>
  </w:num>
  <w:num w:numId="15">
    <w:abstractNumId w:val="27"/>
  </w:num>
  <w:num w:numId="16">
    <w:abstractNumId w:val="21"/>
  </w:num>
  <w:num w:numId="17">
    <w:abstractNumId w:val="15"/>
  </w:num>
  <w:num w:numId="18">
    <w:abstractNumId w:val="9"/>
  </w:num>
  <w:num w:numId="19">
    <w:abstractNumId w:val="2"/>
  </w:num>
  <w:num w:numId="20">
    <w:abstractNumId w:val="24"/>
  </w:num>
  <w:num w:numId="21">
    <w:abstractNumId w:val="4"/>
  </w:num>
  <w:num w:numId="22">
    <w:abstractNumId w:val="16"/>
  </w:num>
  <w:num w:numId="23">
    <w:abstractNumId w:val="13"/>
  </w:num>
  <w:num w:numId="24">
    <w:abstractNumId w:val="22"/>
  </w:num>
  <w:num w:numId="25">
    <w:abstractNumId w:val="18"/>
  </w:num>
  <w:num w:numId="26">
    <w:abstractNumId w:val="3"/>
  </w:num>
  <w:num w:numId="27">
    <w:abstractNumId w:val="8"/>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6"/>
    <w:rsid w:val="00000D16"/>
    <w:rsid w:val="0000137B"/>
    <w:rsid w:val="00002BCA"/>
    <w:rsid w:val="00006922"/>
    <w:rsid w:val="00006E63"/>
    <w:rsid w:val="00011EEA"/>
    <w:rsid w:val="00014F42"/>
    <w:rsid w:val="000159F4"/>
    <w:rsid w:val="00024C0C"/>
    <w:rsid w:val="000318FA"/>
    <w:rsid w:val="0003262F"/>
    <w:rsid w:val="000416EB"/>
    <w:rsid w:val="00050C91"/>
    <w:rsid w:val="00052D70"/>
    <w:rsid w:val="000532BC"/>
    <w:rsid w:val="00060620"/>
    <w:rsid w:val="00062843"/>
    <w:rsid w:val="000635E1"/>
    <w:rsid w:val="0006721A"/>
    <w:rsid w:val="000701E9"/>
    <w:rsid w:val="00084472"/>
    <w:rsid w:val="00092B3A"/>
    <w:rsid w:val="00092C82"/>
    <w:rsid w:val="00096671"/>
    <w:rsid w:val="000978C9"/>
    <w:rsid w:val="000A268B"/>
    <w:rsid w:val="000A4CDD"/>
    <w:rsid w:val="000B4B1C"/>
    <w:rsid w:val="000B4BBA"/>
    <w:rsid w:val="000B4D0E"/>
    <w:rsid w:val="000B6256"/>
    <w:rsid w:val="000C019C"/>
    <w:rsid w:val="000C19E0"/>
    <w:rsid w:val="000D3249"/>
    <w:rsid w:val="000E035B"/>
    <w:rsid w:val="000E3AD0"/>
    <w:rsid w:val="000E619E"/>
    <w:rsid w:val="000E755E"/>
    <w:rsid w:val="000F6660"/>
    <w:rsid w:val="00100321"/>
    <w:rsid w:val="001054DE"/>
    <w:rsid w:val="00106C63"/>
    <w:rsid w:val="0011392C"/>
    <w:rsid w:val="001139CE"/>
    <w:rsid w:val="00115B6B"/>
    <w:rsid w:val="00120136"/>
    <w:rsid w:val="0014265F"/>
    <w:rsid w:val="00151DD7"/>
    <w:rsid w:val="00154F03"/>
    <w:rsid w:val="00156DF1"/>
    <w:rsid w:val="00161052"/>
    <w:rsid w:val="00170E88"/>
    <w:rsid w:val="0017134B"/>
    <w:rsid w:val="00171BDC"/>
    <w:rsid w:val="00182B62"/>
    <w:rsid w:val="001938CA"/>
    <w:rsid w:val="001A2651"/>
    <w:rsid w:val="001A4280"/>
    <w:rsid w:val="001A5663"/>
    <w:rsid w:val="001A6363"/>
    <w:rsid w:val="001B32BB"/>
    <w:rsid w:val="001B3BFF"/>
    <w:rsid w:val="001B5EA7"/>
    <w:rsid w:val="001C432D"/>
    <w:rsid w:val="001C7E2B"/>
    <w:rsid w:val="001D0DC6"/>
    <w:rsid w:val="001D2F15"/>
    <w:rsid w:val="001D380E"/>
    <w:rsid w:val="001D799F"/>
    <w:rsid w:val="001E22BC"/>
    <w:rsid w:val="001E25BD"/>
    <w:rsid w:val="001E78CC"/>
    <w:rsid w:val="00200BCB"/>
    <w:rsid w:val="00205EE2"/>
    <w:rsid w:val="00215422"/>
    <w:rsid w:val="0021551B"/>
    <w:rsid w:val="002202FA"/>
    <w:rsid w:val="00225909"/>
    <w:rsid w:val="0022652E"/>
    <w:rsid w:val="00236BFC"/>
    <w:rsid w:val="002433E7"/>
    <w:rsid w:val="00243604"/>
    <w:rsid w:val="0024587C"/>
    <w:rsid w:val="002539EA"/>
    <w:rsid w:val="00254090"/>
    <w:rsid w:val="002545D7"/>
    <w:rsid w:val="002631D0"/>
    <w:rsid w:val="00266130"/>
    <w:rsid w:val="00266406"/>
    <w:rsid w:val="00273DCA"/>
    <w:rsid w:val="00275103"/>
    <w:rsid w:val="00277241"/>
    <w:rsid w:val="00280915"/>
    <w:rsid w:val="002867D5"/>
    <w:rsid w:val="00287DAF"/>
    <w:rsid w:val="00291EFD"/>
    <w:rsid w:val="002B1DE4"/>
    <w:rsid w:val="002B26DA"/>
    <w:rsid w:val="002B3741"/>
    <w:rsid w:val="002B453B"/>
    <w:rsid w:val="002B7D8D"/>
    <w:rsid w:val="002C3D31"/>
    <w:rsid w:val="002C7550"/>
    <w:rsid w:val="002C79D0"/>
    <w:rsid w:val="002D1B43"/>
    <w:rsid w:val="002E18C7"/>
    <w:rsid w:val="002E37F9"/>
    <w:rsid w:val="002E3A20"/>
    <w:rsid w:val="002F03C8"/>
    <w:rsid w:val="002F4A79"/>
    <w:rsid w:val="00305A92"/>
    <w:rsid w:val="00310E95"/>
    <w:rsid w:val="00315243"/>
    <w:rsid w:val="00322E0A"/>
    <w:rsid w:val="00325407"/>
    <w:rsid w:val="003431F0"/>
    <w:rsid w:val="00343996"/>
    <w:rsid w:val="00350465"/>
    <w:rsid w:val="00351CFF"/>
    <w:rsid w:val="0035237F"/>
    <w:rsid w:val="0035349A"/>
    <w:rsid w:val="00355E40"/>
    <w:rsid w:val="003579E6"/>
    <w:rsid w:val="00371721"/>
    <w:rsid w:val="00371B34"/>
    <w:rsid w:val="00374A3D"/>
    <w:rsid w:val="0037580A"/>
    <w:rsid w:val="00375DFC"/>
    <w:rsid w:val="00391C49"/>
    <w:rsid w:val="00394239"/>
    <w:rsid w:val="0039785E"/>
    <w:rsid w:val="003A1AC3"/>
    <w:rsid w:val="003A2E10"/>
    <w:rsid w:val="003A352D"/>
    <w:rsid w:val="003B0368"/>
    <w:rsid w:val="003B2377"/>
    <w:rsid w:val="003C097C"/>
    <w:rsid w:val="003C257B"/>
    <w:rsid w:val="003D3FED"/>
    <w:rsid w:val="003E0B73"/>
    <w:rsid w:val="003E2281"/>
    <w:rsid w:val="003E695E"/>
    <w:rsid w:val="003F1C67"/>
    <w:rsid w:val="003F2E2F"/>
    <w:rsid w:val="003F3928"/>
    <w:rsid w:val="003F47B2"/>
    <w:rsid w:val="00403C9C"/>
    <w:rsid w:val="00406F40"/>
    <w:rsid w:val="00407AC2"/>
    <w:rsid w:val="00411105"/>
    <w:rsid w:val="004166BE"/>
    <w:rsid w:val="00416912"/>
    <w:rsid w:val="00420AC6"/>
    <w:rsid w:val="00421B56"/>
    <w:rsid w:val="00423027"/>
    <w:rsid w:val="00427834"/>
    <w:rsid w:val="004315B1"/>
    <w:rsid w:val="00442629"/>
    <w:rsid w:val="0044354C"/>
    <w:rsid w:val="004435EC"/>
    <w:rsid w:val="00444737"/>
    <w:rsid w:val="00444DFC"/>
    <w:rsid w:val="0045111C"/>
    <w:rsid w:val="00463FAE"/>
    <w:rsid w:val="00467F72"/>
    <w:rsid w:val="00470DAA"/>
    <w:rsid w:val="00476B71"/>
    <w:rsid w:val="00480C8B"/>
    <w:rsid w:val="00481C2E"/>
    <w:rsid w:val="00485F06"/>
    <w:rsid w:val="004A4FF1"/>
    <w:rsid w:val="004A5A7F"/>
    <w:rsid w:val="004C29EE"/>
    <w:rsid w:val="004D0846"/>
    <w:rsid w:val="004D1E60"/>
    <w:rsid w:val="004D2E81"/>
    <w:rsid w:val="004E1B02"/>
    <w:rsid w:val="004E50F1"/>
    <w:rsid w:val="004F3D52"/>
    <w:rsid w:val="005009BA"/>
    <w:rsid w:val="005018F3"/>
    <w:rsid w:val="00502942"/>
    <w:rsid w:val="00502DF5"/>
    <w:rsid w:val="00507C3F"/>
    <w:rsid w:val="00533CDC"/>
    <w:rsid w:val="005409D3"/>
    <w:rsid w:val="00542DD6"/>
    <w:rsid w:val="00542F08"/>
    <w:rsid w:val="00544942"/>
    <w:rsid w:val="00545D33"/>
    <w:rsid w:val="005511B5"/>
    <w:rsid w:val="00551886"/>
    <w:rsid w:val="005547A6"/>
    <w:rsid w:val="00562F7F"/>
    <w:rsid w:val="00563B45"/>
    <w:rsid w:val="00567A17"/>
    <w:rsid w:val="0057131B"/>
    <w:rsid w:val="00580D80"/>
    <w:rsid w:val="00582D2D"/>
    <w:rsid w:val="005964C2"/>
    <w:rsid w:val="005A1811"/>
    <w:rsid w:val="005A2904"/>
    <w:rsid w:val="005A377D"/>
    <w:rsid w:val="005A3D3D"/>
    <w:rsid w:val="005B0F58"/>
    <w:rsid w:val="005B492B"/>
    <w:rsid w:val="005C462C"/>
    <w:rsid w:val="005C5ABC"/>
    <w:rsid w:val="005D3318"/>
    <w:rsid w:val="005D6DB3"/>
    <w:rsid w:val="005E0CB2"/>
    <w:rsid w:val="005E1F4A"/>
    <w:rsid w:val="005E70FA"/>
    <w:rsid w:val="005F6601"/>
    <w:rsid w:val="005F6737"/>
    <w:rsid w:val="006103E6"/>
    <w:rsid w:val="00623C00"/>
    <w:rsid w:val="00623C4B"/>
    <w:rsid w:val="0062750E"/>
    <w:rsid w:val="006302F0"/>
    <w:rsid w:val="006314DC"/>
    <w:rsid w:val="006325A2"/>
    <w:rsid w:val="006348BF"/>
    <w:rsid w:val="0063523C"/>
    <w:rsid w:val="0063680C"/>
    <w:rsid w:val="006416E3"/>
    <w:rsid w:val="006510A1"/>
    <w:rsid w:val="006514EB"/>
    <w:rsid w:val="0065189D"/>
    <w:rsid w:val="006523EC"/>
    <w:rsid w:val="00653FC4"/>
    <w:rsid w:val="00655713"/>
    <w:rsid w:val="00656E93"/>
    <w:rsid w:val="00657106"/>
    <w:rsid w:val="00662A83"/>
    <w:rsid w:val="00671F08"/>
    <w:rsid w:val="00677B49"/>
    <w:rsid w:val="00681129"/>
    <w:rsid w:val="006E11AB"/>
    <w:rsid w:val="006E14A1"/>
    <w:rsid w:val="006E1AE4"/>
    <w:rsid w:val="006E6B27"/>
    <w:rsid w:val="006E7DFA"/>
    <w:rsid w:val="006F1B94"/>
    <w:rsid w:val="006F351B"/>
    <w:rsid w:val="006F486C"/>
    <w:rsid w:val="006F5C90"/>
    <w:rsid w:val="006F5E24"/>
    <w:rsid w:val="007018D5"/>
    <w:rsid w:val="007029DE"/>
    <w:rsid w:val="00702D88"/>
    <w:rsid w:val="00705096"/>
    <w:rsid w:val="00725B5D"/>
    <w:rsid w:val="00727BE2"/>
    <w:rsid w:val="00730DA2"/>
    <w:rsid w:val="007338E6"/>
    <w:rsid w:val="00735829"/>
    <w:rsid w:val="0074128D"/>
    <w:rsid w:val="00745624"/>
    <w:rsid w:val="007502E0"/>
    <w:rsid w:val="00750793"/>
    <w:rsid w:val="0075183F"/>
    <w:rsid w:val="0077374E"/>
    <w:rsid w:val="00776B69"/>
    <w:rsid w:val="00777876"/>
    <w:rsid w:val="00783D1D"/>
    <w:rsid w:val="00787E2C"/>
    <w:rsid w:val="007912DA"/>
    <w:rsid w:val="007977FB"/>
    <w:rsid w:val="007A05A7"/>
    <w:rsid w:val="007B3BBB"/>
    <w:rsid w:val="007C5AFE"/>
    <w:rsid w:val="007D141B"/>
    <w:rsid w:val="007D3D3E"/>
    <w:rsid w:val="007E1616"/>
    <w:rsid w:val="007E33CB"/>
    <w:rsid w:val="007F58D5"/>
    <w:rsid w:val="00812087"/>
    <w:rsid w:val="00816D3B"/>
    <w:rsid w:val="0081724A"/>
    <w:rsid w:val="00817E18"/>
    <w:rsid w:val="008207CC"/>
    <w:rsid w:val="00823017"/>
    <w:rsid w:val="00834D73"/>
    <w:rsid w:val="008418C0"/>
    <w:rsid w:val="008451E8"/>
    <w:rsid w:val="00846A9B"/>
    <w:rsid w:val="0085425E"/>
    <w:rsid w:val="008568C7"/>
    <w:rsid w:val="00866C6B"/>
    <w:rsid w:val="00867892"/>
    <w:rsid w:val="00872107"/>
    <w:rsid w:val="00873719"/>
    <w:rsid w:val="0087396D"/>
    <w:rsid w:val="00875A86"/>
    <w:rsid w:val="00880FA7"/>
    <w:rsid w:val="008812C7"/>
    <w:rsid w:val="0088746D"/>
    <w:rsid w:val="008876BF"/>
    <w:rsid w:val="00894C91"/>
    <w:rsid w:val="0089584A"/>
    <w:rsid w:val="0089737E"/>
    <w:rsid w:val="008A1DAC"/>
    <w:rsid w:val="008A3D3A"/>
    <w:rsid w:val="008B3786"/>
    <w:rsid w:val="008B659D"/>
    <w:rsid w:val="008B6AE8"/>
    <w:rsid w:val="008B73C8"/>
    <w:rsid w:val="008B7E43"/>
    <w:rsid w:val="008D3DE1"/>
    <w:rsid w:val="008D5701"/>
    <w:rsid w:val="008E012D"/>
    <w:rsid w:val="008E0181"/>
    <w:rsid w:val="008F521C"/>
    <w:rsid w:val="008F7737"/>
    <w:rsid w:val="00907C46"/>
    <w:rsid w:val="00913278"/>
    <w:rsid w:val="009146B3"/>
    <w:rsid w:val="00914B2E"/>
    <w:rsid w:val="0092073C"/>
    <w:rsid w:val="009215A6"/>
    <w:rsid w:val="00933255"/>
    <w:rsid w:val="009332EF"/>
    <w:rsid w:val="0093509D"/>
    <w:rsid w:val="009352FE"/>
    <w:rsid w:val="00935BB9"/>
    <w:rsid w:val="0093631E"/>
    <w:rsid w:val="0094272D"/>
    <w:rsid w:val="009450ED"/>
    <w:rsid w:val="00946953"/>
    <w:rsid w:val="00961B5F"/>
    <w:rsid w:val="00970839"/>
    <w:rsid w:val="00975D88"/>
    <w:rsid w:val="00977625"/>
    <w:rsid w:val="00982593"/>
    <w:rsid w:val="009829DA"/>
    <w:rsid w:val="0098709D"/>
    <w:rsid w:val="009929E7"/>
    <w:rsid w:val="009946C9"/>
    <w:rsid w:val="009A09DE"/>
    <w:rsid w:val="009A0BEA"/>
    <w:rsid w:val="009A221A"/>
    <w:rsid w:val="009B1911"/>
    <w:rsid w:val="009B38B2"/>
    <w:rsid w:val="009C1942"/>
    <w:rsid w:val="009C3AB2"/>
    <w:rsid w:val="009E648D"/>
    <w:rsid w:val="009E6F91"/>
    <w:rsid w:val="00A00399"/>
    <w:rsid w:val="00A1442B"/>
    <w:rsid w:val="00A2104D"/>
    <w:rsid w:val="00A23050"/>
    <w:rsid w:val="00A24AC1"/>
    <w:rsid w:val="00A274E7"/>
    <w:rsid w:val="00A306D0"/>
    <w:rsid w:val="00A311B1"/>
    <w:rsid w:val="00A4192F"/>
    <w:rsid w:val="00A44D34"/>
    <w:rsid w:val="00A53DAE"/>
    <w:rsid w:val="00A70B20"/>
    <w:rsid w:val="00A70E99"/>
    <w:rsid w:val="00A73F98"/>
    <w:rsid w:val="00A74C8C"/>
    <w:rsid w:val="00A8048F"/>
    <w:rsid w:val="00A80DC1"/>
    <w:rsid w:val="00A8684B"/>
    <w:rsid w:val="00A94242"/>
    <w:rsid w:val="00A95F02"/>
    <w:rsid w:val="00A967D1"/>
    <w:rsid w:val="00AA2420"/>
    <w:rsid w:val="00AB07F7"/>
    <w:rsid w:val="00AB2164"/>
    <w:rsid w:val="00AB4848"/>
    <w:rsid w:val="00AB7CDB"/>
    <w:rsid w:val="00AC171E"/>
    <w:rsid w:val="00AC2036"/>
    <w:rsid w:val="00AC2105"/>
    <w:rsid w:val="00AC408D"/>
    <w:rsid w:val="00AD0BE3"/>
    <w:rsid w:val="00AD2F91"/>
    <w:rsid w:val="00AE14A2"/>
    <w:rsid w:val="00AE55CF"/>
    <w:rsid w:val="00AF13B2"/>
    <w:rsid w:val="00AF240F"/>
    <w:rsid w:val="00AF47E7"/>
    <w:rsid w:val="00AF7740"/>
    <w:rsid w:val="00B06C63"/>
    <w:rsid w:val="00B12479"/>
    <w:rsid w:val="00B1386B"/>
    <w:rsid w:val="00B13CB0"/>
    <w:rsid w:val="00B14DBF"/>
    <w:rsid w:val="00B207C3"/>
    <w:rsid w:val="00B2213F"/>
    <w:rsid w:val="00B30275"/>
    <w:rsid w:val="00B35419"/>
    <w:rsid w:val="00B440E9"/>
    <w:rsid w:val="00B4645A"/>
    <w:rsid w:val="00B54AD1"/>
    <w:rsid w:val="00B6554E"/>
    <w:rsid w:val="00B825B7"/>
    <w:rsid w:val="00B83EB5"/>
    <w:rsid w:val="00B91560"/>
    <w:rsid w:val="00B9345B"/>
    <w:rsid w:val="00BA24FD"/>
    <w:rsid w:val="00BA4DE3"/>
    <w:rsid w:val="00BB0818"/>
    <w:rsid w:val="00BB2A99"/>
    <w:rsid w:val="00BB613B"/>
    <w:rsid w:val="00BC20F2"/>
    <w:rsid w:val="00BC40B8"/>
    <w:rsid w:val="00BC7B67"/>
    <w:rsid w:val="00BD4FDD"/>
    <w:rsid w:val="00BF55D1"/>
    <w:rsid w:val="00BF6BC8"/>
    <w:rsid w:val="00C0383C"/>
    <w:rsid w:val="00C03FB7"/>
    <w:rsid w:val="00C05EDD"/>
    <w:rsid w:val="00C227F9"/>
    <w:rsid w:val="00C23FC8"/>
    <w:rsid w:val="00C25788"/>
    <w:rsid w:val="00C312CE"/>
    <w:rsid w:val="00C323D2"/>
    <w:rsid w:val="00C36968"/>
    <w:rsid w:val="00C40A73"/>
    <w:rsid w:val="00C416EF"/>
    <w:rsid w:val="00C51671"/>
    <w:rsid w:val="00C60032"/>
    <w:rsid w:val="00C62D64"/>
    <w:rsid w:val="00C63922"/>
    <w:rsid w:val="00C65A3D"/>
    <w:rsid w:val="00C66030"/>
    <w:rsid w:val="00C67C69"/>
    <w:rsid w:val="00C7134B"/>
    <w:rsid w:val="00C7227C"/>
    <w:rsid w:val="00C825F9"/>
    <w:rsid w:val="00C832F7"/>
    <w:rsid w:val="00C85974"/>
    <w:rsid w:val="00CA17BA"/>
    <w:rsid w:val="00CA60FF"/>
    <w:rsid w:val="00CB0F0D"/>
    <w:rsid w:val="00CB69EF"/>
    <w:rsid w:val="00CC0B94"/>
    <w:rsid w:val="00CC0FD5"/>
    <w:rsid w:val="00CC1969"/>
    <w:rsid w:val="00CC2AC4"/>
    <w:rsid w:val="00CC445E"/>
    <w:rsid w:val="00CD1A30"/>
    <w:rsid w:val="00CD206F"/>
    <w:rsid w:val="00CD2890"/>
    <w:rsid w:val="00CD3C84"/>
    <w:rsid w:val="00CD5101"/>
    <w:rsid w:val="00CF2A7F"/>
    <w:rsid w:val="00CF3B0D"/>
    <w:rsid w:val="00D00CD9"/>
    <w:rsid w:val="00D0176B"/>
    <w:rsid w:val="00D12CFE"/>
    <w:rsid w:val="00D153C7"/>
    <w:rsid w:val="00D37A1B"/>
    <w:rsid w:val="00D467AF"/>
    <w:rsid w:val="00D512E6"/>
    <w:rsid w:val="00D5211B"/>
    <w:rsid w:val="00D5268E"/>
    <w:rsid w:val="00D531C4"/>
    <w:rsid w:val="00D53FDD"/>
    <w:rsid w:val="00D60716"/>
    <w:rsid w:val="00D61E40"/>
    <w:rsid w:val="00D65298"/>
    <w:rsid w:val="00D7110B"/>
    <w:rsid w:val="00D8298C"/>
    <w:rsid w:val="00D867DF"/>
    <w:rsid w:val="00D86AB0"/>
    <w:rsid w:val="00D91150"/>
    <w:rsid w:val="00D9383F"/>
    <w:rsid w:val="00D95557"/>
    <w:rsid w:val="00DA2A33"/>
    <w:rsid w:val="00DA41BD"/>
    <w:rsid w:val="00DA7CA3"/>
    <w:rsid w:val="00DB0E8B"/>
    <w:rsid w:val="00DB140F"/>
    <w:rsid w:val="00DB29BD"/>
    <w:rsid w:val="00DB3DC5"/>
    <w:rsid w:val="00DB555E"/>
    <w:rsid w:val="00DB6BA8"/>
    <w:rsid w:val="00DC011D"/>
    <w:rsid w:val="00DC320A"/>
    <w:rsid w:val="00DD48BF"/>
    <w:rsid w:val="00DD681F"/>
    <w:rsid w:val="00DE1339"/>
    <w:rsid w:val="00DE2E76"/>
    <w:rsid w:val="00DF5942"/>
    <w:rsid w:val="00DF6C79"/>
    <w:rsid w:val="00DF76E6"/>
    <w:rsid w:val="00E01578"/>
    <w:rsid w:val="00E26F8A"/>
    <w:rsid w:val="00E32D0E"/>
    <w:rsid w:val="00E37D4E"/>
    <w:rsid w:val="00E42C8C"/>
    <w:rsid w:val="00E64988"/>
    <w:rsid w:val="00E75F19"/>
    <w:rsid w:val="00E813BF"/>
    <w:rsid w:val="00E82DB7"/>
    <w:rsid w:val="00E90A4A"/>
    <w:rsid w:val="00E91E2B"/>
    <w:rsid w:val="00EA2529"/>
    <w:rsid w:val="00EB434A"/>
    <w:rsid w:val="00EB7FA8"/>
    <w:rsid w:val="00EC325B"/>
    <w:rsid w:val="00EC4EE7"/>
    <w:rsid w:val="00EC6A19"/>
    <w:rsid w:val="00ED55A5"/>
    <w:rsid w:val="00ED7E4F"/>
    <w:rsid w:val="00EE0874"/>
    <w:rsid w:val="00EE200E"/>
    <w:rsid w:val="00EE207E"/>
    <w:rsid w:val="00EE752F"/>
    <w:rsid w:val="00EF0811"/>
    <w:rsid w:val="00EF30F0"/>
    <w:rsid w:val="00EF3425"/>
    <w:rsid w:val="00EF423D"/>
    <w:rsid w:val="00F0130B"/>
    <w:rsid w:val="00F02D0D"/>
    <w:rsid w:val="00F04AD7"/>
    <w:rsid w:val="00F13ECB"/>
    <w:rsid w:val="00F15039"/>
    <w:rsid w:val="00F21F64"/>
    <w:rsid w:val="00F22447"/>
    <w:rsid w:val="00F2762B"/>
    <w:rsid w:val="00F30381"/>
    <w:rsid w:val="00F30B64"/>
    <w:rsid w:val="00F479F9"/>
    <w:rsid w:val="00F47E58"/>
    <w:rsid w:val="00F628CB"/>
    <w:rsid w:val="00F67DCC"/>
    <w:rsid w:val="00F814EF"/>
    <w:rsid w:val="00F86A38"/>
    <w:rsid w:val="00F87267"/>
    <w:rsid w:val="00F876EB"/>
    <w:rsid w:val="00F912F5"/>
    <w:rsid w:val="00F94F4F"/>
    <w:rsid w:val="00F95853"/>
    <w:rsid w:val="00F96E6B"/>
    <w:rsid w:val="00FB262D"/>
    <w:rsid w:val="00FB7596"/>
    <w:rsid w:val="00FB75B5"/>
    <w:rsid w:val="00FC02AC"/>
    <w:rsid w:val="00FC0400"/>
    <w:rsid w:val="00FC04F3"/>
    <w:rsid w:val="00FC05C8"/>
    <w:rsid w:val="00FC34CB"/>
    <w:rsid w:val="00FC6943"/>
    <w:rsid w:val="00FD0889"/>
    <w:rsid w:val="00FD31DE"/>
    <w:rsid w:val="00FD4641"/>
    <w:rsid w:val="00FD5753"/>
    <w:rsid w:val="00FE0CAE"/>
    <w:rsid w:val="00FF21A0"/>
    <w:rsid w:val="00FF36B2"/>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bullet"/>
    <w:basedOn w:val="Normalny"/>
    <w:link w:val="AkapitzlistZnak"/>
    <w:uiPriority w:val="34"/>
    <w:qFormat/>
    <w:rsid w:val="004C29EE"/>
    <w:pPr>
      <w:ind w:left="720"/>
      <w:contextualSpacing/>
    </w:pPr>
  </w:style>
  <w:style w:type="character" w:customStyle="1" w:styleId="IGindeksgrny">
    <w:name w:val="_IG_ – indeks górny"/>
    <w:uiPriority w:val="4"/>
    <w:qFormat/>
    <w:rsid w:val="004C29EE"/>
    <w:rPr>
      <w:b w:val="0"/>
      <w:i w:val="0"/>
      <w:vanish w:val="0"/>
      <w:spacing w:val="0"/>
      <w:vertAlign w:val="superscript"/>
    </w:rPr>
  </w:style>
  <w:style w:type="paragraph" w:styleId="Tekstprzypisudolnego">
    <w:name w:val="footnote text"/>
    <w:basedOn w:val="Normalny"/>
    <w:link w:val="TekstprzypisudolnegoZnak"/>
    <w:uiPriority w:val="99"/>
    <w:semiHidden/>
    <w:unhideWhenUsed/>
    <w:rsid w:val="004C29E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C29EE"/>
    <w:rPr>
      <w:rFonts w:ascii="Calibri" w:eastAsia="Calibri" w:hAnsi="Calibri"/>
      <w:lang w:val="pl-PL"/>
    </w:rPr>
  </w:style>
  <w:style w:type="character" w:styleId="Odwoanieprzypisudolnego">
    <w:name w:val="footnote reference"/>
    <w:uiPriority w:val="99"/>
    <w:unhideWhenUsed/>
    <w:rsid w:val="004C29EE"/>
    <w:rPr>
      <w:vertAlign w:val="superscript"/>
    </w:rPr>
  </w:style>
  <w:style w:type="paragraph" w:customStyle="1" w:styleId="ODNONIKtreodnonika">
    <w:name w:val="ODNOŚNIK – treść odnośnika"/>
    <w:uiPriority w:val="19"/>
    <w:qFormat/>
    <w:rsid w:val="004C29EE"/>
    <w:pPr>
      <w:ind w:left="284" w:hanging="284"/>
      <w:jc w:val="both"/>
    </w:pPr>
    <w:rPr>
      <w:rFonts w:cs="Arial"/>
      <w:lang w:val="pl-PL" w:eastAsia="pl-PL"/>
    </w:rPr>
  </w:style>
  <w:style w:type="character" w:customStyle="1" w:styleId="AkapitzlistZnak">
    <w:name w:val="Akapit z listą Znak"/>
    <w:aliases w:val="List bullet Znak"/>
    <w:link w:val="Akapitzlist"/>
    <w:uiPriority w:val="34"/>
    <w:rsid w:val="00B440E9"/>
    <w:rPr>
      <w:sz w:val="24"/>
      <w:szCs w:val="24"/>
      <w:lang w:val="pl-PL" w:eastAsia="pl-PL"/>
    </w:rPr>
  </w:style>
  <w:style w:type="character" w:styleId="Odwoaniedokomentarza">
    <w:name w:val="annotation reference"/>
    <w:basedOn w:val="Domylnaczcionkaakapitu"/>
    <w:semiHidden/>
    <w:unhideWhenUsed/>
    <w:rsid w:val="0093509D"/>
    <w:rPr>
      <w:sz w:val="16"/>
      <w:szCs w:val="16"/>
    </w:rPr>
  </w:style>
  <w:style w:type="paragraph" w:styleId="Tekstkomentarza">
    <w:name w:val="annotation text"/>
    <w:basedOn w:val="Normalny"/>
    <w:link w:val="TekstkomentarzaZnak"/>
    <w:semiHidden/>
    <w:unhideWhenUsed/>
    <w:rsid w:val="0093509D"/>
    <w:rPr>
      <w:sz w:val="20"/>
      <w:szCs w:val="20"/>
    </w:rPr>
  </w:style>
  <w:style w:type="character" w:customStyle="1" w:styleId="TekstkomentarzaZnak">
    <w:name w:val="Tekst komentarza Znak"/>
    <w:basedOn w:val="Domylnaczcionkaakapitu"/>
    <w:link w:val="Tekstkomentarza"/>
    <w:semiHidden/>
    <w:rsid w:val="0093509D"/>
    <w:rPr>
      <w:lang w:val="pl-PL" w:eastAsia="pl-PL"/>
    </w:rPr>
  </w:style>
  <w:style w:type="paragraph" w:styleId="Tematkomentarza">
    <w:name w:val="annotation subject"/>
    <w:basedOn w:val="Tekstkomentarza"/>
    <w:next w:val="Tekstkomentarza"/>
    <w:link w:val="TematkomentarzaZnak"/>
    <w:semiHidden/>
    <w:unhideWhenUsed/>
    <w:rsid w:val="0093509D"/>
    <w:rPr>
      <w:b/>
      <w:bCs/>
    </w:rPr>
  </w:style>
  <w:style w:type="character" w:customStyle="1" w:styleId="TematkomentarzaZnak">
    <w:name w:val="Temat komentarza Znak"/>
    <w:basedOn w:val="TekstkomentarzaZnak"/>
    <w:link w:val="Tematkomentarza"/>
    <w:semiHidden/>
    <w:rsid w:val="0093509D"/>
    <w:rPr>
      <w:b/>
      <w:bCs/>
      <w:lang w:val="pl-PL" w:eastAsia="pl-PL"/>
    </w:rPr>
  </w:style>
  <w:style w:type="paragraph" w:styleId="Poprawka">
    <w:name w:val="Revision"/>
    <w:hidden/>
    <w:uiPriority w:val="99"/>
    <w:semiHidden/>
    <w:rsid w:val="0093509D"/>
    <w:rPr>
      <w:sz w:val="24"/>
      <w:szCs w:val="24"/>
      <w:lang w:val="pl-PL" w:eastAsia="pl-PL"/>
    </w:rPr>
  </w:style>
  <w:style w:type="character" w:customStyle="1" w:styleId="StopkaZnak">
    <w:name w:val="Stopka Znak"/>
    <w:basedOn w:val="Domylnaczcionkaakapitu"/>
    <w:link w:val="Stopka"/>
    <w:uiPriority w:val="99"/>
    <w:rsid w:val="00A311B1"/>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bullet"/>
    <w:basedOn w:val="Normalny"/>
    <w:link w:val="AkapitzlistZnak"/>
    <w:uiPriority w:val="34"/>
    <w:qFormat/>
    <w:rsid w:val="004C29EE"/>
    <w:pPr>
      <w:ind w:left="720"/>
      <w:contextualSpacing/>
    </w:pPr>
  </w:style>
  <w:style w:type="character" w:customStyle="1" w:styleId="IGindeksgrny">
    <w:name w:val="_IG_ – indeks górny"/>
    <w:uiPriority w:val="4"/>
    <w:qFormat/>
    <w:rsid w:val="004C29EE"/>
    <w:rPr>
      <w:b w:val="0"/>
      <w:i w:val="0"/>
      <w:vanish w:val="0"/>
      <w:spacing w:val="0"/>
      <w:vertAlign w:val="superscript"/>
    </w:rPr>
  </w:style>
  <w:style w:type="paragraph" w:styleId="Tekstprzypisudolnego">
    <w:name w:val="footnote text"/>
    <w:basedOn w:val="Normalny"/>
    <w:link w:val="TekstprzypisudolnegoZnak"/>
    <w:uiPriority w:val="99"/>
    <w:semiHidden/>
    <w:unhideWhenUsed/>
    <w:rsid w:val="004C29E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C29EE"/>
    <w:rPr>
      <w:rFonts w:ascii="Calibri" w:eastAsia="Calibri" w:hAnsi="Calibri"/>
      <w:lang w:val="pl-PL"/>
    </w:rPr>
  </w:style>
  <w:style w:type="character" w:styleId="Odwoanieprzypisudolnego">
    <w:name w:val="footnote reference"/>
    <w:uiPriority w:val="99"/>
    <w:unhideWhenUsed/>
    <w:rsid w:val="004C29EE"/>
    <w:rPr>
      <w:vertAlign w:val="superscript"/>
    </w:rPr>
  </w:style>
  <w:style w:type="paragraph" w:customStyle="1" w:styleId="ODNONIKtreodnonika">
    <w:name w:val="ODNOŚNIK – treść odnośnika"/>
    <w:uiPriority w:val="19"/>
    <w:qFormat/>
    <w:rsid w:val="004C29EE"/>
    <w:pPr>
      <w:ind w:left="284" w:hanging="284"/>
      <w:jc w:val="both"/>
    </w:pPr>
    <w:rPr>
      <w:rFonts w:cs="Arial"/>
      <w:lang w:val="pl-PL" w:eastAsia="pl-PL"/>
    </w:rPr>
  </w:style>
  <w:style w:type="character" w:customStyle="1" w:styleId="AkapitzlistZnak">
    <w:name w:val="Akapit z listą Znak"/>
    <w:aliases w:val="List bullet Znak"/>
    <w:link w:val="Akapitzlist"/>
    <w:uiPriority w:val="34"/>
    <w:rsid w:val="00B440E9"/>
    <w:rPr>
      <w:sz w:val="24"/>
      <w:szCs w:val="24"/>
      <w:lang w:val="pl-PL" w:eastAsia="pl-PL"/>
    </w:rPr>
  </w:style>
  <w:style w:type="character" w:styleId="Odwoaniedokomentarza">
    <w:name w:val="annotation reference"/>
    <w:basedOn w:val="Domylnaczcionkaakapitu"/>
    <w:semiHidden/>
    <w:unhideWhenUsed/>
    <w:rsid w:val="0093509D"/>
    <w:rPr>
      <w:sz w:val="16"/>
      <w:szCs w:val="16"/>
    </w:rPr>
  </w:style>
  <w:style w:type="paragraph" w:styleId="Tekstkomentarza">
    <w:name w:val="annotation text"/>
    <w:basedOn w:val="Normalny"/>
    <w:link w:val="TekstkomentarzaZnak"/>
    <w:semiHidden/>
    <w:unhideWhenUsed/>
    <w:rsid w:val="0093509D"/>
    <w:rPr>
      <w:sz w:val="20"/>
      <w:szCs w:val="20"/>
    </w:rPr>
  </w:style>
  <w:style w:type="character" w:customStyle="1" w:styleId="TekstkomentarzaZnak">
    <w:name w:val="Tekst komentarza Znak"/>
    <w:basedOn w:val="Domylnaczcionkaakapitu"/>
    <w:link w:val="Tekstkomentarza"/>
    <w:semiHidden/>
    <w:rsid w:val="0093509D"/>
    <w:rPr>
      <w:lang w:val="pl-PL" w:eastAsia="pl-PL"/>
    </w:rPr>
  </w:style>
  <w:style w:type="paragraph" w:styleId="Tematkomentarza">
    <w:name w:val="annotation subject"/>
    <w:basedOn w:val="Tekstkomentarza"/>
    <w:next w:val="Tekstkomentarza"/>
    <w:link w:val="TematkomentarzaZnak"/>
    <w:semiHidden/>
    <w:unhideWhenUsed/>
    <w:rsid w:val="0093509D"/>
    <w:rPr>
      <w:b/>
      <w:bCs/>
    </w:rPr>
  </w:style>
  <w:style w:type="character" w:customStyle="1" w:styleId="TematkomentarzaZnak">
    <w:name w:val="Temat komentarza Znak"/>
    <w:basedOn w:val="TekstkomentarzaZnak"/>
    <w:link w:val="Tematkomentarza"/>
    <w:semiHidden/>
    <w:rsid w:val="0093509D"/>
    <w:rPr>
      <w:b/>
      <w:bCs/>
      <w:lang w:val="pl-PL" w:eastAsia="pl-PL"/>
    </w:rPr>
  </w:style>
  <w:style w:type="paragraph" w:styleId="Poprawka">
    <w:name w:val="Revision"/>
    <w:hidden/>
    <w:uiPriority w:val="99"/>
    <w:semiHidden/>
    <w:rsid w:val="0093509D"/>
    <w:rPr>
      <w:sz w:val="24"/>
      <w:szCs w:val="24"/>
      <w:lang w:val="pl-PL" w:eastAsia="pl-PL"/>
    </w:rPr>
  </w:style>
  <w:style w:type="character" w:customStyle="1" w:styleId="StopkaZnak">
    <w:name w:val="Stopka Znak"/>
    <w:basedOn w:val="Domylnaczcionkaakapitu"/>
    <w:link w:val="Stopka"/>
    <w:uiPriority w:val="99"/>
    <w:rsid w:val="00A311B1"/>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22D5-436D-4F69-8A85-8716EE49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4784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2018-01-25T07:39:00Z</dcterms:created>
  <dcterms:modified xsi:type="dcterms:W3CDTF">2018-01-25T07:55:00Z</dcterms:modified>
</cp:coreProperties>
</file>