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356" w:type="dxa"/>
        <w:tblInd w:w="108" w:type="dxa"/>
        <w:shd w:val="clear" w:color="auto" w:fill="C6D9F1" w:themeFill="text2" w:themeFillTint="33"/>
        <w:tblLook w:val="04A0" w:firstRow="1" w:lastRow="0" w:firstColumn="1" w:lastColumn="0" w:noHBand="0" w:noVBand="1"/>
      </w:tblPr>
      <w:tblGrid>
        <w:gridCol w:w="9356"/>
      </w:tblGrid>
      <w:tr w:rsidR="00415124" w:rsidRPr="00C54D29" w:rsidTr="00345941">
        <w:tc>
          <w:tcPr>
            <w:tcW w:w="9356" w:type="dxa"/>
            <w:shd w:val="clear" w:color="auto" w:fill="C6D9F1" w:themeFill="text2" w:themeFillTint="33"/>
          </w:tcPr>
          <w:p w:rsidR="00415124" w:rsidRPr="00C33782" w:rsidRDefault="00C54D29" w:rsidP="00C54D29">
            <w:pPr>
              <w:spacing w:after="120" w:line="288" w:lineRule="auto"/>
              <w:ind w:left="37"/>
              <w:jc w:val="center"/>
              <w:rPr>
                <w:rFonts w:ascii="Segoe UI" w:eastAsia="Times New Roman" w:hAnsi="Segoe UI" w:cs="Segoe UI"/>
                <w:b/>
                <w:smallCaps/>
                <w:sz w:val="60"/>
                <w:szCs w:val="60"/>
                <w:lang w:val="pl-PL"/>
              </w:rPr>
            </w:pPr>
            <w:r w:rsidRPr="00C33782">
              <w:rPr>
                <w:rFonts w:ascii="Segoe UI" w:eastAsia="Times New Roman" w:hAnsi="Segoe UI" w:cs="Segoe UI"/>
                <w:b/>
                <w:smallCaps/>
                <w:sz w:val="60"/>
                <w:szCs w:val="60"/>
                <w:lang w:val="pl-PL"/>
              </w:rPr>
              <w:t>Biała księga</w:t>
            </w:r>
          </w:p>
          <w:p w:rsidR="00415124" w:rsidRPr="00C54D29" w:rsidRDefault="00C54D29" w:rsidP="00C54D29">
            <w:pPr>
              <w:spacing w:after="120" w:line="288" w:lineRule="auto"/>
              <w:ind w:left="37"/>
              <w:jc w:val="center"/>
              <w:rPr>
                <w:rFonts w:ascii="Segoe UI" w:eastAsia="Times New Roman" w:hAnsi="Segoe UI" w:cs="Segoe UI"/>
                <w:b/>
                <w:sz w:val="36"/>
                <w:szCs w:val="36"/>
                <w:lang w:val="pl-PL"/>
              </w:rPr>
            </w:pPr>
            <w:r w:rsidRPr="00C54D29">
              <w:rPr>
                <w:rFonts w:ascii="Segoe UI" w:eastAsia="Times New Roman" w:hAnsi="Segoe UI" w:cs="Segoe UI"/>
                <w:b/>
                <w:sz w:val="36"/>
                <w:szCs w:val="36"/>
                <w:lang w:val="pl-PL"/>
              </w:rPr>
              <w:t>w sprawie reform polskiego wymiaru sprawiedliwości</w:t>
            </w:r>
          </w:p>
          <w:p w:rsidR="00415124" w:rsidRPr="00C54D29" w:rsidRDefault="0061019A" w:rsidP="00C54D29">
            <w:pPr>
              <w:spacing w:after="120" w:line="288" w:lineRule="auto"/>
              <w:ind w:left="37"/>
              <w:jc w:val="center"/>
              <w:rPr>
                <w:rFonts w:ascii="Segoe UI" w:eastAsia="Times New Roman" w:hAnsi="Segoe UI" w:cs="Segoe UI"/>
                <w:smallCaps/>
                <w:sz w:val="40"/>
                <w:szCs w:val="40"/>
                <w:lang w:val="pl-PL"/>
              </w:rPr>
            </w:pPr>
            <w:r>
              <w:rPr>
                <w:rFonts w:ascii="Segoe UI" w:eastAsia="Times New Roman" w:hAnsi="Segoe UI" w:cs="Segoe UI"/>
                <w:smallCaps/>
                <w:sz w:val="40"/>
                <w:szCs w:val="40"/>
                <w:lang w:val="pl-PL"/>
              </w:rPr>
              <w:t>KOMPENDIUM</w:t>
            </w:r>
            <w:bookmarkStart w:id="0" w:name="_GoBack"/>
            <w:bookmarkEnd w:id="0"/>
          </w:p>
        </w:tc>
      </w:tr>
    </w:tbl>
    <w:p w:rsidR="005D051F" w:rsidRPr="00C54D29" w:rsidRDefault="005D051F" w:rsidP="00985A3F">
      <w:pPr>
        <w:spacing w:after="120" w:line="288" w:lineRule="auto"/>
        <w:ind w:left="360"/>
        <w:jc w:val="center"/>
        <w:rPr>
          <w:rFonts w:ascii="Segoe UI" w:eastAsia="Times New Roman" w:hAnsi="Segoe UI" w:cs="Segoe UI"/>
          <w:smallCaps/>
          <w:sz w:val="40"/>
          <w:szCs w:val="40"/>
          <w:lang w:val="pl-PL"/>
        </w:rPr>
      </w:pPr>
    </w:p>
    <w:p w:rsidR="00CB7E63" w:rsidRPr="00934DC6" w:rsidRDefault="00934DC6" w:rsidP="00C13538">
      <w:pPr>
        <w:pStyle w:val="Akapitzlist"/>
        <w:numPr>
          <w:ilvl w:val="0"/>
          <w:numId w:val="30"/>
        </w:numPr>
        <w:spacing w:after="120" w:line="288" w:lineRule="auto"/>
        <w:ind w:left="709" w:hanging="709"/>
        <w:jc w:val="both"/>
        <w:rPr>
          <w:rFonts w:ascii="Segoe UI" w:eastAsia="Times New Roman" w:hAnsi="Segoe UI" w:cs="Segoe UI"/>
          <w:b/>
          <w:smallCaps/>
          <w:sz w:val="28"/>
          <w:szCs w:val="28"/>
          <w:lang w:val="pl-PL"/>
        </w:rPr>
      </w:pPr>
      <w:r w:rsidRPr="00934DC6">
        <w:rPr>
          <w:rFonts w:ascii="Segoe UI" w:eastAsia="Times New Roman" w:hAnsi="Segoe UI" w:cs="Segoe UI"/>
          <w:b/>
          <w:smallCaps/>
          <w:sz w:val="28"/>
          <w:szCs w:val="28"/>
          <w:lang w:val="pl-PL"/>
        </w:rPr>
        <w:t>Dlaczego Polska potrzebuje reformy sądownictwa</w:t>
      </w:r>
      <w:r w:rsidR="008D7320" w:rsidRPr="00934DC6">
        <w:rPr>
          <w:rFonts w:ascii="Segoe UI" w:eastAsia="Times New Roman" w:hAnsi="Segoe UI" w:cs="Segoe UI"/>
          <w:b/>
          <w:smallCaps/>
          <w:sz w:val="28"/>
          <w:szCs w:val="28"/>
          <w:lang w:val="pl-PL"/>
        </w:rPr>
        <w:t>?</w:t>
      </w:r>
    </w:p>
    <w:p w:rsidR="00274070" w:rsidRPr="00934DC6" w:rsidRDefault="00274070" w:rsidP="00E9559C">
      <w:pPr>
        <w:spacing w:after="120" w:line="288" w:lineRule="auto"/>
        <w:jc w:val="both"/>
        <w:rPr>
          <w:rFonts w:ascii="Segoe UI" w:eastAsia="Times New Roman" w:hAnsi="Segoe UI" w:cs="Segoe UI"/>
          <w:smallCaps/>
          <w:sz w:val="2"/>
          <w:szCs w:val="2"/>
          <w:lang w:val="pl-PL"/>
        </w:rPr>
      </w:pPr>
    </w:p>
    <w:p w:rsidR="00934DC6" w:rsidRPr="00934DC6" w:rsidRDefault="00934DC6" w:rsidP="00934DC6">
      <w:pPr>
        <w:pStyle w:val="Akapitzlist"/>
        <w:numPr>
          <w:ilvl w:val="0"/>
          <w:numId w:val="21"/>
        </w:numPr>
        <w:spacing w:after="120" w:line="288" w:lineRule="auto"/>
        <w:ind w:hanging="720"/>
        <w:contextualSpacing w:val="0"/>
        <w:jc w:val="both"/>
        <w:rPr>
          <w:rFonts w:ascii="Segoe UI" w:eastAsia="Times New Roman" w:hAnsi="Segoe UI" w:cs="Segoe UI"/>
          <w:b/>
          <w:sz w:val="24"/>
          <w:szCs w:val="24"/>
          <w:lang w:val="pl-PL"/>
        </w:rPr>
      </w:pPr>
      <w:r w:rsidRPr="00934DC6">
        <w:rPr>
          <w:rFonts w:ascii="Segoe UI" w:eastAsia="Times New Roman" w:hAnsi="Segoe UI" w:cs="Segoe UI"/>
          <w:b/>
          <w:sz w:val="24"/>
          <w:szCs w:val="24"/>
          <w:u w:val="single"/>
          <w:lang w:val="pl-PL"/>
        </w:rPr>
        <w:t>Niskie zaufanie społeczne do wymiaru sprawiedliwości</w:t>
      </w:r>
      <w:r w:rsidR="005F5D21" w:rsidRPr="00934DC6">
        <w:rPr>
          <w:rFonts w:ascii="Segoe UI" w:eastAsia="Times New Roman" w:hAnsi="Segoe UI" w:cs="Segoe UI"/>
          <w:b/>
          <w:sz w:val="24"/>
          <w:szCs w:val="24"/>
          <w:lang w:val="pl-PL"/>
        </w:rPr>
        <w:t>.</w:t>
      </w:r>
      <w:r w:rsidR="008D7320" w:rsidRPr="00934DC6">
        <w:rPr>
          <w:rFonts w:ascii="Segoe UI" w:eastAsia="Times New Roman" w:hAnsi="Segoe UI" w:cs="Segoe UI"/>
          <w:sz w:val="24"/>
          <w:szCs w:val="24"/>
          <w:lang w:val="pl-PL"/>
        </w:rPr>
        <w:t xml:space="preserve"> </w:t>
      </w:r>
      <w:r w:rsidRPr="00934DC6">
        <w:rPr>
          <w:rFonts w:ascii="Segoe UI" w:eastAsia="Times New Roman" w:hAnsi="Segoe UI" w:cs="Segoe UI"/>
          <w:sz w:val="24"/>
          <w:szCs w:val="24"/>
          <w:lang w:val="pl-PL"/>
        </w:rPr>
        <w:t>Tylko 24% obywateli uważa</w:t>
      </w:r>
      <w:r>
        <w:rPr>
          <w:rFonts w:ascii="Segoe UI" w:eastAsia="Times New Roman" w:hAnsi="Segoe UI" w:cs="Segoe UI"/>
          <w:sz w:val="24"/>
          <w:szCs w:val="24"/>
          <w:lang w:val="pl-PL"/>
        </w:rPr>
        <w:t>ło jeszcze niedawno</w:t>
      </w:r>
      <w:r w:rsidRPr="00934DC6">
        <w:rPr>
          <w:rFonts w:ascii="Segoe UI" w:eastAsia="Times New Roman" w:hAnsi="Segoe UI" w:cs="Segoe UI"/>
          <w:sz w:val="24"/>
          <w:szCs w:val="24"/>
          <w:lang w:val="pl-PL"/>
        </w:rPr>
        <w:t>, że sądy są niezależne, a sędziowie niezawiśli „zawsze” lub „w zdecydowanej większości orzeczeń”.</w:t>
      </w:r>
      <w:r>
        <w:rPr>
          <w:rFonts w:ascii="Segoe UI" w:eastAsia="Times New Roman" w:hAnsi="Segoe UI" w:cs="Segoe UI"/>
          <w:sz w:val="24"/>
          <w:szCs w:val="24"/>
          <w:lang w:val="pl-PL"/>
        </w:rPr>
        <w:t xml:space="preserve"> Sami sędziowie też dostrzegają problemy ponad 1/3 uważała, że </w:t>
      </w:r>
      <w:r w:rsidRPr="00934DC6">
        <w:rPr>
          <w:rFonts w:ascii="Segoe UI" w:eastAsia="Times New Roman" w:hAnsi="Segoe UI" w:cs="Segoe UI"/>
          <w:sz w:val="24"/>
          <w:szCs w:val="24"/>
          <w:lang w:val="pl-PL"/>
        </w:rPr>
        <w:t>decyzje o awansie zawodowym opierały się wyłącznie na kryteriach merytorycznych</w:t>
      </w:r>
      <w:r>
        <w:rPr>
          <w:rFonts w:ascii="Segoe UI" w:eastAsia="Times New Roman" w:hAnsi="Segoe UI" w:cs="Segoe UI"/>
          <w:sz w:val="24"/>
          <w:szCs w:val="24"/>
          <w:lang w:val="pl-PL"/>
        </w:rPr>
        <w:t>, a nie na innych powodach.</w:t>
      </w:r>
    </w:p>
    <w:p w:rsidR="005F5D21" w:rsidRPr="006B6AFC" w:rsidRDefault="00934DC6" w:rsidP="00E9559C">
      <w:pPr>
        <w:pStyle w:val="Akapitzlist"/>
        <w:numPr>
          <w:ilvl w:val="0"/>
          <w:numId w:val="21"/>
        </w:numPr>
        <w:spacing w:after="120" w:line="288" w:lineRule="auto"/>
        <w:ind w:hanging="720"/>
        <w:contextualSpacing w:val="0"/>
        <w:jc w:val="both"/>
        <w:rPr>
          <w:rFonts w:ascii="Segoe UI" w:hAnsi="Segoe UI" w:cs="Segoe UI"/>
          <w:sz w:val="24"/>
          <w:szCs w:val="24"/>
          <w:lang w:val="pl-PL"/>
        </w:rPr>
      </w:pPr>
      <w:r w:rsidRPr="00934DC6">
        <w:rPr>
          <w:rFonts w:ascii="Segoe UI" w:hAnsi="Segoe UI" w:cs="Segoe UI"/>
          <w:b/>
          <w:sz w:val="24"/>
          <w:szCs w:val="24"/>
          <w:u w:val="single"/>
          <w:lang w:val="pl-PL"/>
        </w:rPr>
        <w:t>Nieefektywne procedury</w:t>
      </w:r>
      <w:r w:rsidR="005F5D21" w:rsidRPr="00934DC6">
        <w:rPr>
          <w:rFonts w:ascii="Segoe UI" w:hAnsi="Segoe UI" w:cs="Segoe UI"/>
          <w:b/>
          <w:sz w:val="24"/>
          <w:szCs w:val="24"/>
          <w:lang w:val="pl-PL"/>
        </w:rPr>
        <w:t xml:space="preserve">. </w:t>
      </w:r>
      <w:r w:rsidRPr="00934DC6">
        <w:rPr>
          <w:rFonts w:ascii="Segoe UI" w:hAnsi="Segoe UI" w:cs="Segoe UI"/>
          <w:sz w:val="24"/>
          <w:szCs w:val="24"/>
          <w:lang w:val="pl-PL"/>
        </w:rPr>
        <w:t xml:space="preserve"> Średnio 11 miesięcy trwa w polskim sądzie rejonowym </w:t>
      </w:r>
      <w:r w:rsidR="004678EB" w:rsidRPr="00934DC6">
        <w:rPr>
          <w:rFonts w:ascii="Segoe UI" w:hAnsi="Segoe UI" w:cs="Segoe UI"/>
          <w:sz w:val="24"/>
          <w:szCs w:val="24"/>
          <w:lang w:val="pl-PL"/>
        </w:rPr>
        <w:t>proces</w:t>
      </w:r>
      <w:r w:rsidRPr="00934DC6">
        <w:rPr>
          <w:rFonts w:ascii="Segoe UI" w:hAnsi="Segoe UI" w:cs="Segoe UI"/>
          <w:sz w:val="24"/>
          <w:szCs w:val="24"/>
          <w:lang w:val="pl-PL"/>
        </w:rPr>
        <w:t xml:space="preserve"> cywilny, 14 miesięcy – proces gos</w:t>
      </w:r>
      <w:r>
        <w:rPr>
          <w:rFonts w:ascii="Segoe UI" w:hAnsi="Segoe UI" w:cs="Segoe UI"/>
          <w:sz w:val="24"/>
          <w:szCs w:val="24"/>
          <w:lang w:val="pl-PL"/>
        </w:rPr>
        <w:t xml:space="preserve">podarczy. </w:t>
      </w:r>
      <w:r w:rsidRPr="00C33782">
        <w:rPr>
          <w:rFonts w:ascii="Segoe UI" w:hAnsi="Segoe UI" w:cs="Segoe UI"/>
          <w:sz w:val="24"/>
          <w:szCs w:val="24"/>
          <w:lang w:val="pl-PL"/>
        </w:rPr>
        <w:t xml:space="preserve">Prawie połowa tych ostatnich spraw trwa dłużej niż rok. </w:t>
      </w:r>
      <w:r w:rsidRPr="00934DC6">
        <w:rPr>
          <w:rFonts w:ascii="Segoe UI" w:hAnsi="Segoe UI" w:cs="Segoe UI"/>
          <w:sz w:val="24"/>
          <w:szCs w:val="24"/>
          <w:lang w:val="pl-PL"/>
        </w:rPr>
        <w:t>Te wskaźniki</w:t>
      </w:r>
      <w:r w:rsidR="005F5D21" w:rsidRPr="00934DC6">
        <w:rPr>
          <w:rFonts w:ascii="Segoe UI" w:hAnsi="Segoe UI" w:cs="Segoe UI"/>
          <w:sz w:val="24"/>
          <w:szCs w:val="24"/>
          <w:lang w:val="pl-PL"/>
        </w:rPr>
        <w:t xml:space="preserve"> (</w:t>
      </w:r>
      <w:r w:rsidRPr="00934DC6">
        <w:rPr>
          <w:rFonts w:ascii="Segoe UI" w:hAnsi="Segoe UI" w:cs="Segoe UI"/>
          <w:sz w:val="24"/>
          <w:szCs w:val="24"/>
          <w:lang w:val="pl-PL"/>
        </w:rPr>
        <w:t xml:space="preserve">a także dane </w:t>
      </w:r>
      <w:r w:rsidR="004678EB" w:rsidRPr="00934DC6">
        <w:rPr>
          <w:rFonts w:ascii="Segoe UI" w:hAnsi="Segoe UI" w:cs="Segoe UI"/>
          <w:sz w:val="24"/>
          <w:szCs w:val="24"/>
          <w:lang w:val="pl-PL"/>
        </w:rPr>
        <w:t>zebrane</w:t>
      </w:r>
      <w:r w:rsidRPr="00934DC6">
        <w:rPr>
          <w:rFonts w:ascii="Segoe UI" w:hAnsi="Segoe UI" w:cs="Segoe UI"/>
          <w:sz w:val="24"/>
          <w:szCs w:val="24"/>
          <w:lang w:val="pl-PL"/>
        </w:rPr>
        <w:t xml:space="preserve"> przez</w:t>
      </w:r>
      <w:r w:rsidR="005F5D21" w:rsidRPr="00934DC6">
        <w:rPr>
          <w:rFonts w:ascii="Segoe UI" w:hAnsi="Segoe UI" w:cs="Segoe UI"/>
          <w:sz w:val="24"/>
          <w:szCs w:val="24"/>
          <w:lang w:val="pl-PL"/>
        </w:rPr>
        <w:t xml:space="preserve"> World Justice Project, </w:t>
      </w:r>
      <w:r w:rsidRPr="00934DC6">
        <w:rPr>
          <w:rFonts w:ascii="Segoe UI" w:hAnsi="Segoe UI" w:cs="Segoe UI"/>
          <w:sz w:val="24"/>
          <w:szCs w:val="24"/>
          <w:lang w:val="pl-PL"/>
        </w:rPr>
        <w:t>Bank Światowy</w:t>
      </w:r>
      <w:r w:rsidR="005F5D21" w:rsidRPr="00934DC6">
        <w:rPr>
          <w:rFonts w:ascii="Segoe UI" w:hAnsi="Segoe UI" w:cs="Segoe UI"/>
          <w:sz w:val="24"/>
          <w:szCs w:val="24"/>
          <w:lang w:val="pl-PL"/>
        </w:rPr>
        <w:t xml:space="preserve">, CEPEJ, </w:t>
      </w:r>
      <w:r w:rsidRPr="00934DC6">
        <w:rPr>
          <w:rFonts w:ascii="Segoe UI" w:hAnsi="Segoe UI" w:cs="Segoe UI"/>
          <w:sz w:val="24"/>
          <w:szCs w:val="24"/>
          <w:lang w:val="pl-PL"/>
        </w:rPr>
        <w:t xml:space="preserve">czy </w:t>
      </w:r>
      <w:r w:rsidR="005F5D21" w:rsidRPr="00934DC6">
        <w:rPr>
          <w:rFonts w:ascii="Segoe UI" w:hAnsi="Segoe UI" w:cs="Segoe UI"/>
          <w:sz w:val="24"/>
          <w:szCs w:val="24"/>
          <w:lang w:val="pl-PL"/>
        </w:rPr>
        <w:t xml:space="preserve">Eurostat) </w:t>
      </w:r>
      <w:r w:rsidRPr="00934DC6">
        <w:rPr>
          <w:rFonts w:ascii="Segoe UI" w:hAnsi="Segoe UI" w:cs="Segoe UI"/>
          <w:sz w:val="24"/>
          <w:szCs w:val="24"/>
          <w:lang w:val="pl-PL"/>
        </w:rPr>
        <w:t xml:space="preserve">umieszczają </w:t>
      </w:r>
      <w:r w:rsidR="006B6AFC">
        <w:rPr>
          <w:rFonts w:ascii="Segoe UI" w:hAnsi="Segoe UI" w:cs="Segoe UI"/>
          <w:sz w:val="24"/>
          <w:szCs w:val="24"/>
          <w:lang w:val="pl-PL"/>
        </w:rPr>
        <w:t>P</w:t>
      </w:r>
      <w:r w:rsidRPr="00934DC6">
        <w:rPr>
          <w:rFonts w:ascii="Segoe UI" w:hAnsi="Segoe UI" w:cs="Segoe UI"/>
          <w:sz w:val="24"/>
          <w:szCs w:val="24"/>
          <w:lang w:val="pl-PL"/>
        </w:rPr>
        <w:t xml:space="preserve">olskę poniżej średniej dla krajów rozwiniętych. </w:t>
      </w:r>
      <w:r w:rsidRPr="006B6AFC">
        <w:rPr>
          <w:rFonts w:ascii="Segoe UI" w:hAnsi="Segoe UI" w:cs="Segoe UI"/>
          <w:sz w:val="24"/>
          <w:szCs w:val="24"/>
          <w:lang w:val="pl-PL"/>
        </w:rPr>
        <w:t>Postępowania karne też są przewlekłe – w 2015 Europejski Trybunał Praw Człowieka uznał wręcz, że to systemowy problem</w:t>
      </w:r>
      <w:r w:rsidR="005F5D21" w:rsidRPr="006B6AFC">
        <w:rPr>
          <w:rFonts w:ascii="Segoe UI" w:hAnsi="Segoe UI" w:cs="Segoe UI"/>
          <w:sz w:val="24"/>
          <w:szCs w:val="24"/>
          <w:lang w:val="pl-PL"/>
        </w:rPr>
        <w:t>.</w:t>
      </w:r>
    </w:p>
    <w:p w:rsidR="00013662" w:rsidRPr="006B6AFC" w:rsidRDefault="006B6AFC" w:rsidP="00D94BC0">
      <w:pPr>
        <w:pStyle w:val="Akapitzlist"/>
        <w:numPr>
          <w:ilvl w:val="0"/>
          <w:numId w:val="21"/>
        </w:numPr>
        <w:spacing w:after="120" w:line="288" w:lineRule="auto"/>
        <w:ind w:hanging="720"/>
        <w:contextualSpacing w:val="0"/>
        <w:jc w:val="both"/>
        <w:rPr>
          <w:rFonts w:ascii="Segoe UI" w:eastAsia="Times New Roman" w:hAnsi="Segoe UI" w:cs="Segoe UI"/>
          <w:i/>
          <w:sz w:val="20"/>
          <w:szCs w:val="20"/>
          <w:lang w:val="pl-PL"/>
        </w:rPr>
      </w:pPr>
      <w:r w:rsidRPr="006B6AFC">
        <w:rPr>
          <w:rFonts w:ascii="Segoe UI" w:hAnsi="Segoe UI" w:cs="Segoe UI"/>
          <w:b/>
          <w:sz w:val="24"/>
          <w:szCs w:val="24"/>
          <w:u w:val="single"/>
          <w:lang w:val="pl-PL"/>
        </w:rPr>
        <w:t>Sądy są dobrze obsadzone i finansowane</w:t>
      </w:r>
      <w:r w:rsidR="005F5D21" w:rsidRPr="006B6AFC">
        <w:rPr>
          <w:rFonts w:ascii="Segoe UI" w:hAnsi="Segoe UI" w:cs="Segoe UI"/>
          <w:b/>
          <w:sz w:val="24"/>
          <w:szCs w:val="24"/>
          <w:lang w:val="pl-PL"/>
        </w:rPr>
        <w:t>.</w:t>
      </w:r>
      <w:r w:rsidR="005F5D21" w:rsidRPr="006B6AFC">
        <w:rPr>
          <w:rFonts w:ascii="Segoe UI" w:hAnsi="Segoe UI" w:cs="Segoe UI"/>
          <w:sz w:val="24"/>
          <w:szCs w:val="24"/>
          <w:lang w:val="pl-PL"/>
        </w:rPr>
        <w:t xml:space="preserve"> </w:t>
      </w:r>
      <w:r w:rsidRPr="006B6AFC">
        <w:rPr>
          <w:rFonts w:ascii="Segoe UI" w:hAnsi="Segoe UI" w:cs="Segoe UI"/>
          <w:sz w:val="24"/>
          <w:szCs w:val="24"/>
          <w:lang w:val="pl-PL"/>
        </w:rPr>
        <w:t xml:space="preserve">W Unii Europejskiej </w:t>
      </w:r>
      <w:r w:rsidR="00C33782">
        <w:rPr>
          <w:rFonts w:ascii="Segoe UI" w:hAnsi="Segoe UI" w:cs="Segoe UI"/>
          <w:sz w:val="24"/>
          <w:szCs w:val="24"/>
          <w:lang w:val="pl-PL"/>
        </w:rPr>
        <w:t>t</w:t>
      </w:r>
      <w:r w:rsidRPr="006B6AFC">
        <w:rPr>
          <w:rFonts w:ascii="Segoe UI" w:hAnsi="Segoe UI" w:cs="Segoe UI"/>
          <w:sz w:val="24"/>
          <w:szCs w:val="24"/>
          <w:lang w:val="pl-PL"/>
        </w:rPr>
        <w:t>ylko w</w:t>
      </w:r>
      <w:r w:rsidR="00577646">
        <w:rPr>
          <w:rFonts w:ascii="Segoe UI" w:hAnsi="Segoe UI" w:cs="Segoe UI"/>
          <w:sz w:val="24"/>
          <w:szCs w:val="24"/>
          <w:lang w:val="pl-PL"/>
        </w:rPr>
        <w:t> </w:t>
      </w:r>
      <w:r>
        <w:rPr>
          <w:rFonts w:ascii="Segoe UI" w:hAnsi="Segoe UI" w:cs="Segoe UI"/>
          <w:sz w:val="24"/>
          <w:szCs w:val="24"/>
          <w:lang w:val="pl-PL"/>
        </w:rPr>
        <w:t>N</w:t>
      </w:r>
      <w:r w:rsidRPr="006B6AFC">
        <w:rPr>
          <w:rFonts w:ascii="Segoe UI" w:hAnsi="Segoe UI" w:cs="Segoe UI"/>
          <w:sz w:val="24"/>
          <w:szCs w:val="24"/>
          <w:lang w:val="pl-PL"/>
        </w:rPr>
        <w:t>iemczech jest więcej sędziów niż w Polsce,</w:t>
      </w:r>
      <w:r>
        <w:rPr>
          <w:rFonts w:ascii="Segoe UI" w:hAnsi="Segoe UI" w:cs="Segoe UI"/>
          <w:sz w:val="24"/>
          <w:szCs w:val="24"/>
          <w:lang w:val="pl-PL"/>
        </w:rPr>
        <w:t xml:space="preserve"> a </w:t>
      </w:r>
      <w:r w:rsidRPr="006B6AFC">
        <w:rPr>
          <w:rFonts w:ascii="Segoe UI" w:hAnsi="Segoe UI" w:cs="Segoe UI"/>
          <w:sz w:val="24"/>
          <w:szCs w:val="24"/>
          <w:lang w:val="pl-PL"/>
        </w:rPr>
        <w:t>poziom polskich wydatków publicznych na sądownictwo</w:t>
      </w:r>
      <w:r>
        <w:rPr>
          <w:rFonts w:ascii="Segoe UI" w:hAnsi="Segoe UI" w:cs="Segoe UI"/>
          <w:sz w:val="24"/>
          <w:szCs w:val="24"/>
          <w:lang w:val="pl-PL"/>
        </w:rPr>
        <w:t xml:space="preserve"> również</w:t>
      </w:r>
      <w:r w:rsidRPr="006B6AFC">
        <w:rPr>
          <w:rFonts w:ascii="Segoe UI" w:hAnsi="Segoe UI" w:cs="Segoe UI"/>
          <w:sz w:val="24"/>
          <w:szCs w:val="24"/>
          <w:lang w:val="pl-PL"/>
        </w:rPr>
        <w:t xml:space="preserve"> jest relatywnie wysok</w:t>
      </w:r>
      <w:r>
        <w:rPr>
          <w:rFonts w:ascii="Segoe UI" w:hAnsi="Segoe UI" w:cs="Segoe UI"/>
          <w:sz w:val="24"/>
          <w:szCs w:val="24"/>
          <w:lang w:val="pl-PL"/>
        </w:rPr>
        <w:t xml:space="preserve">i. </w:t>
      </w:r>
      <w:r w:rsidRPr="006B6AFC">
        <w:rPr>
          <w:rFonts w:ascii="Segoe UI" w:hAnsi="Segoe UI" w:cs="Segoe UI"/>
          <w:sz w:val="24"/>
          <w:szCs w:val="24"/>
          <w:lang w:val="pl-PL"/>
        </w:rPr>
        <w:t xml:space="preserve">Widać więc wyraźnie, że </w:t>
      </w:r>
      <w:r>
        <w:rPr>
          <w:rFonts w:ascii="Segoe UI" w:hAnsi="Segoe UI" w:cs="Segoe UI"/>
          <w:sz w:val="24"/>
          <w:szCs w:val="24"/>
          <w:lang w:val="pl-PL"/>
        </w:rPr>
        <w:t>to nie</w:t>
      </w:r>
      <w:r w:rsidRPr="006B6AFC">
        <w:rPr>
          <w:rFonts w:ascii="Segoe UI" w:hAnsi="Segoe UI" w:cs="Segoe UI"/>
          <w:sz w:val="24"/>
          <w:szCs w:val="24"/>
          <w:lang w:val="pl-PL"/>
        </w:rPr>
        <w:t xml:space="preserve"> niedobór kadr w sądach</w:t>
      </w:r>
      <w:r>
        <w:rPr>
          <w:rFonts w:ascii="Segoe UI" w:hAnsi="Segoe UI" w:cs="Segoe UI"/>
          <w:sz w:val="24"/>
          <w:szCs w:val="24"/>
          <w:lang w:val="pl-PL"/>
        </w:rPr>
        <w:t xml:space="preserve"> czy ich niedofinansowanie jest przyczyną przewlekłości.</w:t>
      </w:r>
    </w:p>
    <w:p w:rsidR="006E4F2B" w:rsidRPr="006B6AFC" w:rsidRDefault="006B6AFC" w:rsidP="00D94BC0">
      <w:pPr>
        <w:pStyle w:val="Akapitzlist"/>
        <w:numPr>
          <w:ilvl w:val="0"/>
          <w:numId w:val="21"/>
        </w:numPr>
        <w:spacing w:after="120" w:line="288" w:lineRule="auto"/>
        <w:ind w:hanging="720"/>
        <w:contextualSpacing w:val="0"/>
        <w:jc w:val="both"/>
        <w:rPr>
          <w:rFonts w:ascii="Segoe UI" w:eastAsia="Times New Roman" w:hAnsi="Segoe UI" w:cs="Segoe UI"/>
          <w:i/>
          <w:sz w:val="20"/>
          <w:szCs w:val="20"/>
          <w:lang w:val="pl-PL"/>
        </w:rPr>
      </w:pPr>
      <w:r w:rsidRPr="00577646">
        <w:rPr>
          <w:rFonts w:ascii="Segoe UI" w:eastAsia="Times New Roman" w:hAnsi="Segoe UI" w:cs="Segoe UI"/>
          <w:b/>
          <w:sz w:val="24"/>
          <w:szCs w:val="24"/>
          <w:u w:val="single"/>
          <w:lang w:val="pl-PL"/>
        </w:rPr>
        <w:t>Komunistyczna przeszłość</w:t>
      </w:r>
      <w:r w:rsidR="00013662" w:rsidRPr="00577646">
        <w:rPr>
          <w:rFonts w:ascii="Segoe UI" w:eastAsia="Times New Roman" w:hAnsi="Segoe UI" w:cs="Segoe UI"/>
          <w:sz w:val="24"/>
          <w:szCs w:val="24"/>
          <w:lang w:val="pl-PL"/>
        </w:rPr>
        <w:t xml:space="preserve">. </w:t>
      </w:r>
      <w:r w:rsidRPr="006B6AFC">
        <w:rPr>
          <w:rFonts w:ascii="Segoe UI" w:eastAsia="Times New Roman" w:hAnsi="Segoe UI" w:cs="Segoe UI"/>
          <w:sz w:val="24"/>
          <w:szCs w:val="24"/>
          <w:lang w:val="pl-PL"/>
        </w:rPr>
        <w:t>Polskie sądownictwo nigdy nie rozliczyło się z</w:t>
      </w:r>
      <w:r w:rsidR="00577646">
        <w:rPr>
          <w:rFonts w:ascii="Segoe UI" w:eastAsia="Times New Roman" w:hAnsi="Segoe UI" w:cs="Segoe UI"/>
          <w:sz w:val="24"/>
          <w:szCs w:val="24"/>
          <w:lang w:val="pl-PL"/>
        </w:rPr>
        <w:t> </w:t>
      </w:r>
      <w:r w:rsidRPr="006B6AFC">
        <w:rPr>
          <w:rFonts w:ascii="Segoe UI" w:eastAsia="Times New Roman" w:hAnsi="Segoe UI" w:cs="Segoe UI"/>
          <w:sz w:val="24"/>
          <w:szCs w:val="24"/>
          <w:lang w:val="pl-PL"/>
        </w:rPr>
        <w:t xml:space="preserve">komunistycznej przeszłości. w 1990 roku usunięto jedynie część najbardziej skompromitowanych sędziów z Sądu Najwyższego </w:t>
      </w:r>
      <w:r w:rsidR="00013662" w:rsidRPr="006B6AFC">
        <w:rPr>
          <w:rFonts w:ascii="Segoe UI" w:eastAsia="Times New Roman" w:hAnsi="Segoe UI" w:cs="Segoe UI"/>
          <w:sz w:val="24"/>
          <w:szCs w:val="24"/>
          <w:lang w:val="pl-PL"/>
        </w:rPr>
        <w:t xml:space="preserve">– </w:t>
      </w:r>
      <w:r w:rsidR="004678EB" w:rsidRPr="006B6AFC">
        <w:rPr>
          <w:rFonts w:ascii="Segoe UI" w:eastAsia="Times New Roman" w:hAnsi="Segoe UI" w:cs="Segoe UI"/>
          <w:sz w:val="24"/>
          <w:szCs w:val="24"/>
          <w:lang w:val="pl-PL"/>
        </w:rPr>
        <w:t>a większość</w:t>
      </w:r>
      <w:r w:rsidRPr="006B6AFC">
        <w:rPr>
          <w:rFonts w:ascii="Segoe UI" w:eastAsia="Times New Roman" w:hAnsi="Segoe UI" w:cs="Segoe UI"/>
          <w:b/>
          <w:sz w:val="24"/>
          <w:szCs w:val="24"/>
          <w:lang w:val="pl-PL"/>
        </w:rPr>
        <w:t xml:space="preserve"> sędzi</w:t>
      </w:r>
      <w:r>
        <w:rPr>
          <w:rFonts w:ascii="Segoe UI" w:eastAsia="Times New Roman" w:hAnsi="Segoe UI" w:cs="Segoe UI"/>
          <w:b/>
          <w:sz w:val="24"/>
          <w:szCs w:val="24"/>
          <w:lang w:val="pl-PL"/>
        </w:rPr>
        <w:t>ów</w:t>
      </w:r>
      <w:r w:rsidRPr="006B6AFC">
        <w:rPr>
          <w:rFonts w:ascii="Segoe UI" w:eastAsia="Times New Roman" w:hAnsi="Segoe UI" w:cs="Segoe UI"/>
          <w:b/>
          <w:sz w:val="24"/>
          <w:szCs w:val="24"/>
          <w:lang w:val="pl-PL"/>
        </w:rPr>
        <w:t xml:space="preserve"> sądów pow</w:t>
      </w:r>
      <w:r>
        <w:rPr>
          <w:rFonts w:ascii="Segoe UI" w:eastAsia="Times New Roman" w:hAnsi="Segoe UI" w:cs="Segoe UI"/>
          <w:b/>
          <w:sz w:val="24"/>
          <w:szCs w:val="24"/>
          <w:lang w:val="pl-PL"/>
        </w:rPr>
        <w:t>szechnych nie przeszło żadnej weryfikacji</w:t>
      </w:r>
      <w:r w:rsidR="00DC6519" w:rsidRPr="006B6AFC">
        <w:rPr>
          <w:rFonts w:ascii="Segoe UI" w:eastAsia="Times New Roman" w:hAnsi="Segoe UI" w:cs="Segoe UI"/>
          <w:sz w:val="24"/>
          <w:szCs w:val="24"/>
          <w:lang w:val="pl-PL"/>
        </w:rPr>
        <w:t xml:space="preserve">. </w:t>
      </w:r>
      <w:r w:rsidRPr="006B6AFC">
        <w:rPr>
          <w:rFonts w:ascii="Segoe UI" w:eastAsia="Times New Roman" w:hAnsi="Segoe UI" w:cs="Segoe UI"/>
          <w:sz w:val="24"/>
          <w:szCs w:val="24"/>
          <w:lang w:val="pl-PL"/>
        </w:rPr>
        <w:t xml:space="preserve">Stopniowo sędziowie tych sądów – w tym także ci, którzy brali udział w wydawaniu wyroków naruszających swobody obywatelskie i łamiących prawa człowieka – awansowali i rozwijali swoje kariery, </w:t>
      </w:r>
      <w:r w:rsidRPr="006B6AFC">
        <w:rPr>
          <w:rFonts w:ascii="Segoe UI" w:eastAsia="Times New Roman" w:hAnsi="Segoe UI" w:cs="Segoe UI"/>
          <w:b/>
          <w:sz w:val="24"/>
          <w:szCs w:val="24"/>
          <w:lang w:val="pl-PL"/>
        </w:rPr>
        <w:t>dochodząc aż do najważniejszego sądu w Polsce</w:t>
      </w:r>
      <w:r w:rsidR="00DC6519" w:rsidRPr="006B6AFC">
        <w:rPr>
          <w:rFonts w:ascii="Segoe UI" w:eastAsia="Times New Roman" w:hAnsi="Segoe UI" w:cs="Segoe UI"/>
          <w:sz w:val="24"/>
          <w:szCs w:val="24"/>
          <w:lang w:val="pl-PL"/>
        </w:rPr>
        <w:t>. S</w:t>
      </w:r>
      <w:r w:rsidRPr="006B6AFC">
        <w:rPr>
          <w:rFonts w:ascii="Segoe UI" w:eastAsia="Times New Roman" w:hAnsi="Segoe UI" w:cs="Segoe UI"/>
          <w:sz w:val="24"/>
          <w:szCs w:val="24"/>
          <w:lang w:val="pl-PL"/>
        </w:rPr>
        <w:t>ędziowie</w:t>
      </w:r>
      <w:r>
        <w:rPr>
          <w:rFonts w:ascii="Segoe UI" w:eastAsia="Times New Roman" w:hAnsi="Segoe UI" w:cs="Segoe UI"/>
          <w:sz w:val="24"/>
          <w:szCs w:val="24"/>
          <w:lang w:val="pl-PL"/>
        </w:rPr>
        <w:t xml:space="preserve"> ci,</w:t>
      </w:r>
      <w:r w:rsidRPr="006B6AFC">
        <w:rPr>
          <w:rFonts w:ascii="Segoe UI" w:eastAsia="Times New Roman" w:hAnsi="Segoe UI" w:cs="Segoe UI"/>
          <w:sz w:val="24"/>
          <w:szCs w:val="24"/>
          <w:lang w:val="pl-PL"/>
        </w:rPr>
        <w:t xml:space="preserve"> którzy skazywali opozycjonistów na kary wieloletniego </w:t>
      </w:r>
      <w:r w:rsidRPr="006B6AFC">
        <w:rPr>
          <w:rFonts w:ascii="Segoe UI" w:eastAsia="Times New Roman" w:hAnsi="Segoe UI" w:cs="Segoe UI"/>
          <w:sz w:val="24"/>
          <w:szCs w:val="24"/>
          <w:lang w:val="pl-PL"/>
        </w:rPr>
        <w:lastRenderedPageBreak/>
        <w:t>więzienia za rozdawanie ulotek, organizację strajków czy udział w</w:t>
      </w:r>
      <w:r w:rsidR="00577646">
        <w:rPr>
          <w:rFonts w:ascii="Segoe UI" w:eastAsia="Times New Roman" w:hAnsi="Segoe UI" w:cs="Segoe UI"/>
          <w:sz w:val="24"/>
          <w:szCs w:val="24"/>
          <w:lang w:val="pl-PL"/>
        </w:rPr>
        <w:t> </w:t>
      </w:r>
      <w:r w:rsidRPr="006B6AFC">
        <w:rPr>
          <w:rFonts w:ascii="Segoe UI" w:eastAsia="Times New Roman" w:hAnsi="Segoe UI" w:cs="Segoe UI"/>
          <w:sz w:val="24"/>
          <w:szCs w:val="24"/>
          <w:lang w:val="pl-PL"/>
        </w:rPr>
        <w:t xml:space="preserve">manifestacjach </w:t>
      </w:r>
      <w:r>
        <w:rPr>
          <w:rFonts w:ascii="Segoe UI" w:eastAsia="Times New Roman" w:hAnsi="Segoe UI" w:cs="Segoe UI"/>
          <w:sz w:val="24"/>
          <w:szCs w:val="24"/>
          <w:lang w:val="pl-PL"/>
        </w:rPr>
        <w:t>nadal zasiadają w Sądzie Najwyższym.</w:t>
      </w:r>
    </w:p>
    <w:p w:rsidR="00DC6519" w:rsidRPr="006B6AFC" w:rsidRDefault="006B6AFC" w:rsidP="00D94BC0">
      <w:pPr>
        <w:pStyle w:val="Akapitzlist"/>
        <w:numPr>
          <w:ilvl w:val="0"/>
          <w:numId w:val="21"/>
        </w:numPr>
        <w:spacing w:after="120" w:line="288" w:lineRule="auto"/>
        <w:ind w:hanging="720"/>
        <w:contextualSpacing w:val="0"/>
        <w:jc w:val="both"/>
        <w:rPr>
          <w:rFonts w:ascii="Segoe UI" w:eastAsia="Times New Roman" w:hAnsi="Segoe UI" w:cs="Segoe UI"/>
          <w:i/>
          <w:sz w:val="20"/>
          <w:szCs w:val="20"/>
          <w:lang w:val="pl-PL"/>
        </w:rPr>
      </w:pPr>
      <w:r w:rsidRPr="00C33782">
        <w:rPr>
          <w:rFonts w:ascii="Segoe UI" w:eastAsia="Times New Roman" w:hAnsi="Segoe UI" w:cs="Segoe UI"/>
          <w:b/>
          <w:sz w:val="24"/>
          <w:szCs w:val="24"/>
          <w:u w:val="single"/>
          <w:lang w:val="pl-PL"/>
        </w:rPr>
        <w:t>Wpływ na system</w:t>
      </w:r>
      <w:r w:rsidR="00DC6519" w:rsidRPr="00C33782">
        <w:rPr>
          <w:rFonts w:ascii="Segoe UI" w:eastAsia="Times New Roman" w:hAnsi="Segoe UI" w:cs="Segoe UI"/>
          <w:sz w:val="24"/>
          <w:szCs w:val="24"/>
          <w:lang w:val="pl-PL"/>
        </w:rPr>
        <w:t xml:space="preserve">. </w:t>
      </w:r>
      <w:r w:rsidRPr="006B6AFC">
        <w:rPr>
          <w:rFonts w:ascii="Segoe UI" w:eastAsia="Times New Roman" w:hAnsi="Segoe UI" w:cs="Segoe UI"/>
          <w:sz w:val="24"/>
          <w:szCs w:val="24"/>
          <w:lang w:val="pl-PL"/>
        </w:rPr>
        <w:t>Postkomuni</w:t>
      </w:r>
      <w:r>
        <w:rPr>
          <w:rFonts w:ascii="Segoe UI" w:eastAsia="Times New Roman" w:hAnsi="Segoe UI" w:cs="Segoe UI"/>
          <w:sz w:val="24"/>
          <w:szCs w:val="24"/>
          <w:lang w:val="pl-PL"/>
        </w:rPr>
        <w:t>z</w:t>
      </w:r>
      <w:r w:rsidRPr="006B6AFC">
        <w:rPr>
          <w:rFonts w:ascii="Segoe UI" w:eastAsia="Times New Roman" w:hAnsi="Segoe UI" w:cs="Segoe UI"/>
          <w:sz w:val="24"/>
          <w:szCs w:val="24"/>
          <w:lang w:val="pl-PL"/>
        </w:rPr>
        <w:t>m odcisnął piętno na sposobie funkcjonowania sądownictwa. Nawet całe lata po przemianach demokratycznych prawie żaden z ko</w:t>
      </w:r>
      <w:r>
        <w:rPr>
          <w:rFonts w:ascii="Segoe UI" w:eastAsia="Times New Roman" w:hAnsi="Segoe UI" w:cs="Segoe UI"/>
          <w:sz w:val="24"/>
          <w:szCs w:val="24"/>
          <w:lang w:val="pl-PL"/>
        </w:rPr>
        <w:t xml:space="preserve">munistycznych zbrodniarzy nie został osądzony za swe czyny. </w:t>
      </w:r>
      <w:r w:rsidRPr="006B6AFC">
        <w:rPr>
          <w:rFonts w:ascii="Segoe UI" w:eastAsia="Times New Roman" w:hAnsi="Segoe UI" w:cs="Segoe UI"/>
          <w:sz w:val="24"/>
          <w:szCs w:val="24"/>
          <w:lang w:val="pl-PL"/>
        </w:rPr>
        <w:t xml:space="preserve">Jeszcze w 2007 roku – niemal 20 lat po upadku komunizmu – Sąd Najwyższy podjął </w:t>
      </w:r>
      <w:r w:rsidR="004678EB" w:rsidRPr="006B6AFC">
        <w:rPr>
          <w:rFonts w:ascii="Segoe UI" w:eastAsia="Times New Roman" w:hAnsi="Segoe UI" w:cs="Segoe UI"/>
          <w:sz w:val="24"/>
          <w:szCs w:val="24"/>
          <w:lang w:val="pl-PL"/>
        </w:rPr>
        <w:t>uchwałę w</w:t>
      </w:r>
      <w:r w:rsidRPr="006B6AFC">
        <w:rPr>
          <w:rFonts w:ascii="Segoe UI" w:eastAsia="Times New Roman" w:hAnsi="Segoe UI" w:cs="Segoe UI"/>
          <w:sz w:val="24"/>
          <w:szCs w:val="24"/>
          <w:lang w:val="pl-PL"/>
        </w:rPr>
        <w:t xml:space="preserve"> praktyce uwalniającą wszystkich sędziów od odpowiedzialności</w:t>
      </w:r>
      <w:r w:rsidR="00FC32E1" w:rsidRPr="006B6AFC">
        <w:rPr>
          <w:rFonts w:ascii="Segoe UI" w:eastAsia="Times New Roman" w:hAnsi="Segoe UI" w:cs="Segoe UI"/>
          <w:sz w:val="24"/>
          <w:szCs w:val="24"/>
          <w:lang w:val="pl-PL"/>
        </w:rPr>
        <w:t>.</w:t>
      </w:r>
    </w:p>
    <w:p w:rsidR="00DC6519" w:rsidRPr="006B6AFC" w:rsidRDefault="006B6AFC" w:rsidP="00D94BC0">
      <w:pPr>
        <w:pStyle w:val="Akapitzlist"/>
        <w:numPr>
          <w:ilvl w:val="0"/>
          <w:numId w:val="21"/>
        </w:numPr>
        <w:spacing w:after="120" w:line="288" w:lineRule="auto"/>
        <w:ind w:hanging="720"/>
        <w:contextualSpacing w:val="0"/>
        <w:jc w:val="both"/>
        <w:rPr>
          <w:rFonts w:ascii="Segoe UI" w:eastAsia="Times New Roman" w:hAnsi="Segoe UI" w:cs="Segoe UI"/>
          <w:i/>
          <w:sz w:val="20"/>
          <w:szCs w:val="20"/>
          <w:lang w:val="pl-PL"/>
        </w:rPr>
      </w:pPr>
      <w:r w:rsidRPr="006B6AFC">
        <w:rPr>
          <w:rFonts w:ascii="Segoe UI" w:eastAsia="Times New Roman" w:hAnsi="Segoe UI" w:cs="Segoe UI"/>
          <w:b/>
          <w:sz w:val="24"/>
          <w:szCs w:val="24"/>
          <w:u w:val="single"/>
          <w:lang w:val="pl-PL"/>
        </w:rPr>
        <w:t>Rozliczenie totalitarnej przeszłości jest jedną z najważniejszyc</w:t>
      </w:r>
      <w:r>
        <w:rPr>
          <w:rFonts w:ascii="Segoe UI" w:eastAsia="Times New Roman" w:hAnsi="Segoe UI" w:cs="Segoe UI"/>
          <w:b/>
          <w:sz w:val="24"/>
          <w:szCs w:val="24"/>
          <w:u w:val="single"/>
          <w:lang w:val="pl-PL"/>
        </w:rPr>
        <w:t>h europejskich wartości</w:t>
      </w:r>
      <w:r w:rsidR="009D7A63" w:rsidRPr="006B6AFC">
        <w:rPr>
          <w:rFonts w:ascii="Segoe UI" w:eastAsia="Times New Roman" w:hAnsi="Segoe UI" w:cs="Segoe UI"/>
          <w:sz w:val="24"/>
          <w:szCs w:val="24"/>
          <w:lang w:val="pl-PL"/>
        </w:rPr>
        <w:t xml:space="preserve">. </w:t>
      </w:r>
      <w:r w:rsidRPr="006B6AFC">
        <w:rPr>
          <w:rFonts w:ascii="Segoe UI" w:hAnsi="Segoe UI" w:cs="Segoe UI"/>
          <w:sz w:val="24"/>
          <w:szCs w:val="24"/>
          <w:lang w:val="pl-PL"/>
        </w:rPr>
        <w:t xml:space="preserve">Unia powstała w reakcji na faszystowskie </w:t>
      </w:r>
      <w:r w:rsidR="00577646">
        <w:rPr>
          <w:rFonts w:ascii="Segoe UI" w:hAnsi="Segoe UI" w:cs="Segoe UI"/>
          <w:sz w:val="24"/>
          <w:szCs w:val="24"/>
          <w:lang w:val="pl-PL"/>
        </w:rPr>
        <w:t>i </w:t>
      </w:r>
      <w:r w:rsidRPr="006B6AFC">
        <w:rPr>
          <w:rFonts w:ascii="Segoe UI" w:hAnsi="Segoe UI" w:cs="Segoe UI"/>
          <w:sz w:val="24"/>
          <w:szCs w:val="24"/>
          <w:lang w:val="pl-PL"/>
        </w:rPr>
        <w:t xml:space="preserve">komunistyczne totalitaryzmy, a rządy prawa są </w:t>
      </w:r>
      <w:r>
        <w:rPr>
          <w:rFonts w:ascii="Segoe UI" w:hAnsi="Segoe UI" w:cs="Segoe UI"/>
          <w:sz w:val="24"/>
          <w:szCs w:val="24"/>
          <w:lang w:val="pl-PL"/>
        </w:rPr>
        <w:t>jedną z jej najważniejszych wartości.</w:t>
      </w:r>
      <w:r w:rsidR="00DC6519" w:rsidRPr="006B6AFC">
        <w:rPr>
          <w:rFonts w:ascii="Segoe UI" w:hAnsi="Segoe UI" w:cs="Segoe UI"/>
          <w:bCs/>
          <w:sz w:val="24"/>
          <w:szCs w:val="24"/>
          <w:lang w:val="pl-PL"/>
        </w:rPr>
        <w:t xml:space="preserve"> </w:t>
      </w:r>
      <w:r w:rsidRPr="006B6AFC">
        <w:rPr>
          <w:rFonts w:ascii="Segoe UI" w:hAnsi="Segoe UI" w:cs="Segoe UI"/>
          <w:b/>
          <w:bCs/>
          <w:sz w:val="24"/>
          <w:szCs w:val="24"/>
          <w:lang w:val="pl-PL"/>
        </w:rPr>
        <w:t xml:space="preserve">Sędziowie – a zwłaszcza sędziowie Sądu Najwyższego – </w:t>
      </w:r>
      <w:r w:rsidR="004678EB" w:rsidRPr="006B6AFC">
        <w:rPr>
          <w:rFonts w:ascii="Segoe UI" w:hAnsi="Segoe UI" w:cs="Segoe UI"/>
          <w:b/>
          <w:bCs/>
          <w:sz w:val="24"/>
          <w:szCs w:val="24"/>
          <w:lang w:val="pl-PL"/>
        </w:rPr>
        <w:t>pełnią doniosłą</w:t>
      </w:r>
      <w:r w:rsidRPr="006B6AFC">
        <w:rPr>
          <w:rFonts w:ascii="Segoe UI" w:hAnsi="Segoe UI" w:cs="Segoe UI"/>
          <w:b/>
          <w:bCs/>
          <w:sz w:val="24"/>
          <w:szCs w:val="24"/>
          <w:lang w:val="pl-PL"/>
        </w:rPr>
        <w:t xml:space="preserve"> funkcję strażników praworządności. </w:t>
      </w:r>
      <w:r w:rsidRPr="006B6AFC">
        <w:rPr>
          <w:rFonts w:ascii="Segoe UI" w:hAnsi="Segoe UI" w:cs="Segoe UI"/>
          <w:bCs/>
          <w:sz w:val="24"/>
          <w:szCs w:val="24"/>
          <w:lang w:val="pl-PL"/>
        </w:rPr>
        <w:t>Jeśli funkcja ta sprawowana jest przez osoby niegodne, w tym takie, które w przeszłości nie stały na straży prawa, tylko używały go jako instrumentu do tłumienia wolności obywatelskich i łamania praw człowieka, negatywnie wpływa to na poziom społecznego z</w:t>
      </w:r>
      <w:r>
        <w:rPr>
          <w:rFonts w:ascii="Segoe UI" w:hAnsi="Segoe UI" w:cs="Segoe UI"/>
          <w:bCs/>
          <w:sz w:val="24"/>
          <w:szCs w:val="24"/>
          <w:lang w:val="pl-PL"/>
        </w:rPr>
        <w:t>aufania do wymiary sprawiedliwości</w:t>
      </w:r>
      <w:r w:rsidR="00DC6519" w:rsidRPr="006B6AFC">
        <w:rPr>
          <w:rFonts w:ascii="Segoe UI" w:hAnsi="Segoe UI" w:cs="Segoe UI"/>
          <w:bCs/>
          <w:sz w:val="24"/>
          <w:szCs w:val="24"/>
          <w:lang w:val="pl-PL"/>
        </w:rPr>
        <w:t>.</w:t>
      </w:r>
      <w:r>
        <w:rPr>
          <w:rFonts w:ascii="Segoe UI" w:hAnsi="Segoe UI" w:cs="Segoe UI"/>
          <w:bCs/>
          <w:sz w:val="24"/>
          <w:szCs w:val="24"/>
          <w:lang w:val="pl-PL"/>
        </w:rPr>
        <w:t xml:space="preserve"> </w:t>
      </w:r>
      <w:r w:rsidRPr="006B6AFC">
        <w:rPr>
          <w:rFonts w:ascii="Segoe UI" w:hAnsi="Segoe UI" w:cs="Segoe UI"/>
          <w:bCs/>
          <w:sz w:val="24"/>
          <w:szCs w:val="24"/>
          <w:lang w:val="pl-PL"/>
        </w:rPr>
        <w:t>Ta sprawa nie może zostać pozostawiona bez rozwiązania, na</w:t>
      </w:r>
      <w:r>
        <w:rPr>
          <w:rFonts w:ascii="Segoe UI" w:hAnsi="Segoe UI" w:cs="Segoe UI"/>
          <w:bCs/>
          <w:sz w:val="24"/>
          <w:szCs w:val="24"/>
          <w:lang w:val="pl-PL"/>
        </w:rPr>
        <w:t>wet po wielu latach.</w:t>
      </w:r>
    </w:p>
    <w:p w:rsidR="00FC32E1" w:rsidRPr="002F6C62" w:rsidRDefault="006B6AFC" w:rsidP="00FC32E1">
      <w:pPr>
        <w:pStyle w:val="Akapitzlist"/>
        <w:numPr>
          <w:ilvl w:val="0"/>
          <w:numId w:val="21"/>
        </w:numPr>
        <w:spacing w:after="120" w:line="288" w:lineRule="auto"/>
        <w:ind w:hanging="720"/>
        <w:contextualSpacing w:val="0"/>
        <w:jc w:val="both"/>
        <w:rPr>
          <w:rFonts w:ascii="Segoe UI" w:eastAsia="Times New Roman" w:hAnsi="Segoe UI" w:cs="Segoe UI"/>
          <w:i/>
          <w:sz w:val="20"/>
          <w:szCs w:val="20"/>
          <w:lang w:val="pl-PL"/>
        </w:rPr>
      </w:pPr>
      <w:r w:rsidRPr="00C33782">
        <w:rPr>
          <w:rFonts w:ascii="Segoe UI" w:eastAsia="Times New Roman" w:hAnsi="Segoe UI" w:cs="Segoe UI"/>
          <w:b/>
          <w:sz w:val="24"/>
          <w:szCs w:val="24"/>
          <w:u w:val="single"/>
          <w:lang w:val="pl-PL"/>
        </w:rPr>
        <w:t>Nierównowaga między władzami</w:t>
      </w:r>
      <w:r w:rsidR="00FC32E1" w:rsidRPr="00C33782">
        <w:rPr>
          <w:rFonts w:ascii="Segoe UI" w:eastAsia="Times New Roman" w:hAnsi="Segoe UI" w:cs="Segoe UI"/>
          <w:sz w:val="24"/>
          <w:szCs w:val="24"/>
          <w:lang w:val="pl-PL"/>
        </w:rPr>
        <w:t xml:space="preserve">. </w:t>
      </w:r>
      <w:r w:rsidRPr="006B6AFC">
        <w:rPr>
          <w:rFonts w:ascii="Segoe UI" w:eastAsia="Times New Roman" w:hAnsi="Segoe UI" w:cs="Segoe UI"/>
          <w:sz w:val="24"/>
          <w:szCs w:val="24"/>
          <w:lang w:val="pl-PL"/>
        </w:rPr>
        <w:t xml:space="preserve">Współczesna demokracja opiera się na zasadzie podziału </w:t>
      </w:r>
      <w:r w:rsidR="00577646">
        <w:rPr>
          <w:rFonts w:ascii="Segoe UI" w:eastAsia="Times New Roman" w:hAnsi="Segoe UI" w:cs="Segoe UI"/>
          <w:sz w:val="24"/>
          <w:szCs w:val="24"/>
          <w:lang w:val="pl-PL"/>
        </w:rPr>
        <w:t>i</w:t>
      </w:r>
      <w:r w:rsidRPr="006B6AFC">
        <w:rPr>
          <w:rFonts w:ascii="Segoe UI" w:eastAsia="Times New Roman" w:hAnsi="Segoe UI" w:cs="Segoe UI"/>
          <w:sz w:val="24"/>
          <w:szCs w:val="24"/>
          <w:lang w:val="pl-PL"/>
        </w:rPr>
        <w:t xml:space="preserve"> równowagi między władzą ustawodawczą, wykonawczą </w:t>
      </w:r>
      <w:r w:rsidR="00577646">
        <w:rPr>
          <w:rFonts w:ascii="Segoe UI" w:eastAsia="Times New Roman" w:hAnsi="Segoe UI" w:cs="Segoe UI"/>
          <w:sz w:val="24"/>
          <w:szCs w:val="24"/>
          <w:lang w:val="pl-PL"/>
        </w:rPr>
        <w:t>i </w:t>
      </w:r>
      <w:r w:rsidRPr="006B6AFC">
        <w:rPr>
          <w:rFonts w:ascii="Segoe UI" w:eastAsia="Times New Roman" w:hAnsi="Segoe UI" w:cs="Segoe UI"/>
          <w:sz w:val="24"/>
          <w:szCs w:val="24"/>
          <w:lang w:val="pl-PL"/>
        </w:rPr>
        <w:t xml:space="preserve">sądowniczą. W </w:t>
      </w:r>
      <w:r w:rsidR="002F6C62">
        <w:rPr>
          <w:rFonts w:ascii="Segoe UI" w:eastAsia="Times New Roman" w:hAnsi="Segoe UI" w:cs="Segoe UI"/>
          <w:sz w:val="24"/>
          <w:szCs w:val="24"/>
          <w:lang w:val="pl-PL"/>
        </w:rPr>
        <w:t>P</w:t>
      </w:r>
      <w:r w:rsidRPr="006B6AFC">
        <w:rPr>
          <w:rFonts w:ascii="Segoe UI" w:eastAsia="Times New Roman" w:hAnsi="Segoe UI" w:cs="Segoe UI"/>
          <w:sz w:val="24"/>
          <w:szCs w:val="24"/>
          <w:lang w:val="pl-PL"/>
        </w:rPr>
        <w:t>olsce równowaga ta była przez lata zaburzona – sędziowie cieszą się szerokim immunitetem (co jest słuszne i pozostanie niezmienione),</w:t>
      </w:r>
      <w:r>
        <w:rPr>
          <w:rFonts w:ascii="Segoe UI" w:eastAsia="Times New Roman" w:hAnsi="Segoe UI" w:cs="Segoe UI"/>
          <w:sz w:val="24"/>
          <w:szCs w:val="24"/>
          <w:lang w:val="pl-PL"/>
        </w:rPr>
        <w:t xml:space="preserve"> ale nie ponosili realnej odpowiedzialności za postępowanie niegodne sędziego. </w:t>
      </w:r>
      <w:r w:rsidRPr="002F6C62">
        <w:rPr>
          <w:rFonts w:ascii="Segoe UI" w:eastAsia="Times New Roman" w:hAnsi="Segoe UI" w:cs="Segoe UI"/>
          <w:sz w:val="24"/>
          <w:szCs w:val="24"/>
          <w:lang w:val="pl-PL"/>
        </w:rPr>
        <w:t>Zbyt często sprawy dyscyplinarne kończyły się</w:t>
      </w:r>
      <w:r w:rsidR="002F6C62" w:rsidRPr="002F6C62">
        <w:rPr>
          <w:rFonts w:ascii="Segoe UI" w:eastAsia="Times New Roman" w:hAnsi="Segoe UI" w:cs="Segoe UI"/>
          <w:sz w:val="24"/>
          <w:szCs w:val="24"/>
          <w:lang w:val="pl-PL"/>
        </w:rPr>
        <w:t xml:space="preserve"> łagodnymi karami lub brakiem kar w ogóle</w:t>
      </w:r>
      <w:r w:rsidR="00FC32E1" w:rsidRPr="002F6C62">
        <w:rPr>
          <w:rFonts w:ascii="Segoe UI" w:eastAsia="Times New Roman" w:hAnsi="Segoe UI" w:cs="Segoe UI"/>
          <w:sz w:val="24"/>
          <w:szCs w:val="24"/>
          <w:lang w:val="pl-PL"/>
        </w:rPr>
        <w:t xml:space="preserve"> – </w:t>
      </w:r>
      <w:r w:rsidR="002F6C62" w:rsidRPr="002F6C62">
        <w:rPr>
          <w:rFonts w:ascii="Segoe UI" w:eastAsia="Times New Roman" w:hAnsi="Segoe UI" w:cs="Segoe UI"/>
          <w:sz w:val="24"/>
          <w:szCs w:val="24"/>
          <w:lang w:val="pl-PL"/>
        </w:rPr>
        <w:t>i to nie</w:t>
      </w:r>
      <w:r w:rsidR="002F6C62">
        <w:rPr>
          <w:rFonts w:ascii="Segoe UI" w:eastAsia="Times New Roman" w:hAnsi="Segoe UI" w:cs="Segoe UI"/>
          <w:sz w:val="24"/>
          <w:szCs w:val="24"/>
          <w:lang w:val="pl-PL"/>
        </w:rPr>
        <w:t>jednokrotnie z powodu przedawnienia. Ten problem musi zostać rozwiązany w taki sposób, aby niezawisłość sędziowska została ochroniona, ale jednocześnie by przywrócona została naruszona równowaga</w:t>
      </w:r>
    </w:p>
    <w:p w:rsidR="004A33F0" w:rsidRPr="002F6C62" w:rsidRDefault="002F6C62" w:rsidP="004678EB">
      <w:pPr>
        <w:pStyle w:val="Akapitzlist"/>
        <w:numPr>
          <w:ilvl w:val="0"/>
          <w:numId w:val="21"/>
        </w:numPr>
        <w:spacing w:after="120" w:line="288" w:lineRule="auto"/>
        <w:ind w:hanging="720"/>
        <w:contextualSpacing w:val="0"/>
        <w:jc w:val="both"/>
        <w:rPr>
          <w:rFonts w:ascii="Segoe UI" w:hAnsi="Segoe UI" w:cs="Segoe UI"/>
          <w:b/>
          <w:sz w:val="24"/>
          <w:szCs w:val="24"/>
          <w:lang w:val="pl-PL"/>
        </w:rPr>
      </w:pPr>
      <w:r w:rsidRPr="00C33782">
        <w:rPr>
          <w:rFonts w:ascii="Segoe UI" w:eastAsia="Times New Roman" w:hAnsi="Segoe UI" w:cs="Segoe UI"/>
          <w:b/>
          <w:sz w:val="24"/>
          <w:szCs w:val="24"/>
          <w:u w:val="single"/>
          <w:lang w:val="pl-PL"/>
        </w:rPr>
        <w:t>Kult formalizmu</w:t>
      </w:r>
      <w:r w:rsidR="00FC32E1" w:rsidRPr="00C33782">
        <w:rPr>
          <w:rFonts w:ascii="Segoe UI" w:eastAsia="Times New Roman" w:hAnsi="Segoe UI" w:cs="Segoe UI"/>
          <w:sz w:val="24"/>
          <w:szCs w:val="24"/>
          <w:lang w:val="pl-PL"/>
        </w:rPr>
        <w:t xml:space="preserve">. </w:t>
      </w:r>
      <w:r w:rsidRPr="002F6C62">
        <w:rPr>
          <w:rFonts w:ascii="Segoe UI" w:eastAsia="Times New Roman" w:hAnsi="Segoe UI" w:cs="Segoe UI"/>
          <w:sz w:val="24"/>
          <w:szCs w:val="24"/>
          <w:lang w:val="pl-PL"/>
        </w:rPr>
        <w:t xml:space="preserve">W polskim sądownictwie wykształciła się specyficzna, zbiurokratyzowana kultura korporacyjna </w:t>
      </w:r>
      <w:r w:rsidR="00FC32E1" w:rsidRPr="002F6C62">
        <w:rPr>
          <w:rFonts w:ascii="Segoe UI" w:eastAsia="Times New Roman" w:hAnsi="Segoe UI" w:cs="Segoe UI"/>
          <w:sz w:val="24"/>
          <w:szCs w:val="24"/>
          <w:lang w:val="pl-PL"/>
        </w:rPr>
        <w:t xml:space="preserve">– </w:t>
      </w:r>
      <w:r w:rsidRPr="002F6C62">
        <w:rPr>
          <w:rFonts w:ascii="Segoe UI" w:eastAsia="Times New Roman" w:hAnsi="Segoe UI" w:cs="Segoe UI"/>
          <w:sz w:val="24"/>
          <w:szCs w:val="24"/>
          <w:lang w:val="pl-PL"/>
        </w:rPr>
        <w:t xml:space="preserve">prowadząca do powszechnego przekonania, że </w:t>
      </w:r>
      <w:r>
        <w:rPr>
          <w:rFonts w:ascii="Segoe UI" w:eastAsia="Times New Roman" w:hAnsi="Segoe UI" w:cs="Segoe UI"/>
          <w:sz w:val="24"/>
          <w:szCs w:val="24"/>
          <w:lang w:val="pl-PL"/>
        </w:rPr>
        <w:t xml:space="preserve">niektórzy sędziowie </w:t>
      </w:r>
      <w:r w:rsidRPr="002F6C62">
        <w:rPr>
          <w:rFonts w:ascii="Segoe UI" w:eastAsia="Times New Roman" w:hAnsi="Segoe UI" w:cs="Segoe UI"/>
          <w:sz w:val="24"/>
          <w:szCs w:val="24"/>
          <w:lang w:val="pl-PL"/>
        </w:rPr>
        <w:t>przywiąz</w:t>
      </w:r>
      <w:r>
        <w:rPr>
          <w:rFonts w:ascii="Segoe UI" w:eastAsia="Times New Roman" w:hAnsi="Segoe UI" w:cs="Segoe UI"/>
          <w:sz w:val="24"/>
          <w:szCs w:val="24"/>
          <w:lang w:val="pl-PL"/>
        </w:rPr>
        <w:t>ują</w:t>
      </w:r>
      <w:r w:rsidRPr="002F6C62">
        <w:rPr>
          <w:rFonts w:ascii="Segoe UI" w:eastAsia="Times New Roman" w:hAnsi="Segoe UI" w:cs="Segoe UI"/>
          <w:sz w:val="24"/>
          <w:szCs w:val="24"/>
          <w:lang w:val="pl-PL"/>
        </w:rPr>
        <w:t xml:space="preserve"> większ</w:t>
      </w:r>
      <w:r>
        <w:rPr>
          <w:rFonts w:ascii="Segoe UI" w:eastAsia="Times New Roman" w:hAnsi="Segoe UI" w:cs="Segoe UI"/>
          <w:sz w:val="24"/>
          <w:szCs w:val="24"/>
          <w:lang w:val="pl-PL"/>
        </w:rPr>
        <w:t>ą</w:t>
      </w:r>
      <w:r w:rsidRPr="002F6C62">
        <w:rPr>
          <w:rFonts w:ascii="Segoe UI" w:eastAsia="Times New Roman" w:hAnsi="Segoe UI" w:cs="Segoe UI"/>
          <w:sz w:val="24"/>
          <w:szCs w:val="24"/>
          <w:lang w:val="pl-PL"/>
        </w:rPr>
        <w:t xml:space="preserve"> wag</w:t>
      </w:r>
      <w:r>
        <w:rPr>
          <w:rFonts w:ascii="Segoe UI" w:eastAsia="Times New Roman" w:hAnsi="Segoe UI" w:cs="Segoe UI"/>
          <w:sz w:val="24"/>
          <w:szCs w:val="24"/>
          <w:lang w:val="pl-PL"/>
        </w:rPr>
        <w:t>ę</w:t>
      </w:r>
      <w:r w:rsidRPr="002F6C62">
        <w:rPr>
          <w:rFonts w:ascii="Segoe UI" w:eastAsia="Times New Roman" w:hAnsi="Segoe UI" w:cs="Segoe UI"/>
          <w:sz w:val="24"/>
          <w:szCs w:val="24"/>
          <w:lang w:val="pl-PL"/>
        </w:rPr>
        <w:t xml:space="preserve"> do tego, czy wyrok da się uzasadnić z formalnego punktu widzenia niż czy rzeczywiście jest sprawiedliw</w:t>
      </w:r>
      <w:r>
        <w:rPr>
          <w:rFonts w:ascii="Segoe UI" w:eastAsia="Times New Roman" w:hAnsi="Segoe UI" w:cs="Segoe UI"/>
          <w:sz w:val="24"/>
          <w:szCs w:val="24"/>
          <w:lang w:val="pl-PL"/>
        </w:rPr>
        <w:t>y</w:t>
      </w:r>
      <w:r w:rsidR="003E2ABF" w:rsidRPr="002F6C62">
        <w:rPr>
          <w:rFonts w:ascii="Segoe UI" w:eastAsia="Times New Roman" w:hAnsi="Segoe UI" w:cs="Segoe UI"/>
          <w:sz w:val="24"/>
          <w:szCs w:val="24"/>
          <w:lang w:val="pl-PL"/>
        </w:rPr>
        <w:t>.</w:t>
      </w:r>
      <w:r w:rsidR="00655A24" w:rsidRPr="002F6C62">
        <w:rPr>
          <w:rFonts w:ascii="Segoe UI" w:hAnsi="Segoe UI" w:cs="Segoe UI"/>
          <w:sz w:val="24"/>
          <w:szCs w:val="24"/>
          <w:lang w:val="pl-PL"/>
        </w:rPr>
        <w:t xml:space="preserve"> </w:t>
      </w:r>
      <w:r w:rsidRPr="002F6C62">
        <w:rPr>
          <w:rFonts w:ascii="Segoe UI" w:hAnsi="Segoe UI" w:cs="Segoe UI"/>
          <w:sz w:val="24"/>
          <w:szCs w:val="24"/>
          <w:lang w:val="pl-PL"/>
        </w:rPr>
        <w:t>Źródłem tej kultury są nie tylko zawiłe przepisy proceduralne, ale także zaburzenia mechanizmu trójpodziału władzy –</w:t>
      </w:r>
      <w:r>
        <w:rPr>
          <w:rFonts w:ascii="Segoe UI" w:hAnsi="Segoe UI" w:cs="Segoe UI"/>
          <w:sz w:val="24"/>
          <w:szCs w:val="24"/>
          <w:lang w:val="pl-PL"/>
        </w:rPr>
        <w:t xml:space="preserve"> a przede wszystkim brak zewnętrznych bodźców, by orzekać w inny sposób.</w:t>
      </w:r>
    </w:p>
    <w:p w:rsidR="007E6697" w:rsidRPr="002F6C62" w:rsidRDefault="002F6C62" w:rsidP="004678EB">
      <w:pPr>
        <w:pStyle w:val="Akapitzlist"/>
        <w:numPr>
          <w:ilvl w:val="0"/>
          <w:numId w:val="21"/>
        </w:numPr>
        <w:spacing w:after="120" w:line="288" w:lineRule="auto"/>
        <w:ind w:hanging="720"/>
        <w:contextualSpacing w:val="0"/>
        <w:jc w:val="both"/>
        <w:rPr>
          <w:rFonts w:ascii="Segoe UI" w:hAnsi="Segoe UI" w:cs="Segoe UI"/>
          <w:sz w:val="24"/>
          <w:szCs w:val="24"/>
          <w:lang w:val="pl-PL"/>
        </w:rPr>
      </w:pPr>
      <w:r w:rsidRPr="002F6C62">
        <w:rPr>
          <w:rFonts w:ascii="Segoe UI" w:eastAsia="Times New Roman" w:hAnsi="Segoe UI" w:cs="Segoe UI"/>
          <w:b/>
          <w:sz w:val="24"/>
          <w:szCs w:val="24"/>
          <w:u w:val="single"/>
          <w:lang w:val="pl-PL"/>
        </w:rPr>
        <w:t>Ochrona niezawisłości</w:t>
      </w:r>
      <w:r w:rsidR="004A33F0" w:rsidRPr="002F6C62">
        <w:rPr>
          <w:rFonts w:ascii="Segoe UI" w:eastAsia="Times New Roman" w:hAnsi="Segoe UI" w:cs="Segoe UI"/>
          <w:b/>
          <w:sz w:val="24"/>
          <w:szCs w:val="24"/>
          <w:u w:val="single"/>
          <w:lang w:val="pl-PL"/>
        </w:rPr>
        <w:t xml:space="preserve">, </w:t>
      </w:r>
      <w:r w:rsidRPr="002F6C62">
        <w:rPr>
          <w:rFonts w:ascii="Segoe UI" w:eastAsia="Times New Roman" w:hAnsi="Segoe UI" w:cs="Segoe UI"/>
          <w:b/>
          <w:sz w:val="24"/>
          <w:szCs w:val="24"/>
          <w:u w:val="single"/>
          <w:lang w:val="pl-PL"/>
        </w:rPr>
        <w:t>przywrócenie równowagi</w:t>
      </w:r>
      <w:r w:rsidR="004A33F0" w:rsidRPr="002F6C62">
        <w:rPr>
          <w:rFonts w:ascii="Segoe UI" w:eastAsia="Times New Roman" w:hAnsi="Segoe UI" w:cs="Segoe UI"/>
          <w:sz w:val="24"/>
          <w:szCs w:val="24"/>
          <w:lang w:val="pl-PL"/>
        </w:rPr>
        <w:t xml:space="preserve">. </w:t>
      </w:r>
      <w:r>
        <w:rPr>
          <w:rFonts w:ascii="Segoe UI" w:eastAsia="Times New Roman" w:hAnsi="Segoe UI" w:cs="Segoe UI"/>
          <w:sz w:val="24"/>
          <w:szCs w:val="24"/>
          <w:lang w:val="pl-PL"/>
        </w:rPr>
        <w:t>P</w:t>
      </w:r>
      <w:r w:rsidRPr="002F6C62">
        <w:rPr>
          <w:rFonts w:ascii="Segoe UI" w:eastAsia="Times New Roman" w:hAnsi="Segoe UI" w:cs="Segoe UI"/>
          <w:sz w:val="24"/>
          <w:szCs w:val="24"/>
          <w:lang w:val="pl-PL"/>
        </w:rPr>
        <w:t>odporządkowanie sądownictwa innym władzom</w:t>
      </w:r>
      <w:r>
        <w:rPr>
          <w:rFonts w:ascii="Segoe UI" w:eastAsia="Times New Roman" w:hAnsi="Segoe UI" w:cs="Segoe UI"/>
          <w:sz w:val="24"/>
          <w:szCs w:val="24"/>
          <w:lang w:val="pl-PL"/>
        </w:rPr>
        <w:t xml:space="preserve"> b</w:t>
      </w:r>
      <w:r w:rsidRPr="002F6C62">
        <w:rPr>
          <w:rFonts w:ascii="Segoe UI" w:eastAsia="Times New Roman" w:hAnsi="Segoe UI" w:cs="Segoe UI"/>
          <w:sz w:val="24"/>
          <w:szCs w:val="24"/>
          <w:lang w:val="pl-PL"/>
        </w:rPr>
        <w:t>yłoby wielkim błędem</w:t>
      </w:r>
      <w:r>
        <w:rPr>
          <w:rFonts w:ascii="Segoe UI" w:eastAsia="Times New Roman" w:hAnsi="Segoe UI" w:cs="Segoe UI"/>
          <w:sz w:val="24"/>
          <w:szCs w:val="24"/>
          <w:lang w:val="pl-PL"/>
        </w:rPr>
        <w:t xml:space="preserve"> – ale nasze reformy nic </w:t>
      </w:r>
      <w:r>
        <w:rPr>
          <w:rFonts w:ascii="Segoe UI" w:eastAsia="Times New Roman" w:hAnsi="Segoe UI" w:cs="Segoe UI"/>
          <w:sz w:val="24"/>
          <w:szCs w:val="24"/>
          <w:lang w:val="pl-PL"/>
        </w:rPr>
        <w:lastRenderedPageBreak/>
        <w:t>takiego nie wprowadzają.</w:t>
      </w:r>
      <w:r w:rsidRPr="002F6C62">
        <w:rPr>
          <w:rFonts w:ascii="Segoe UI" w:eastAsia="Times New Roman" w:hAnsi="Segoe UI" w:cs="Segoe UI"/>
          <w:sz w:val="24"/>
          <w:szCs w:val="24"/>
          <w:lang w:val="pl-PL"/>
        </w:rPr>
        <w:t xml:space="preserve"> </w:t>
      </w:r>
      <w:r>
        <w:rPr>
          <w:rFonts w:ascii="Segoe UI" w:eastAsia="Times New Roman" w:hAnsi="Segoe UI" w:cs="Segoe UI"/>
          <w:sz w:val="24"/>
          <w:szCs w:val="24"/>
          <w:lang w:val="pl-PL"/>
        </w:rPr>
        <w:t xml:space="preserve">Ich głównym </w:t>
      </w:r>
      <w:r w:rsidRPr="002F6C62">
        <w:rPr>
          <w:rFonts w:ascii="Segoe UI" w:eastAsia="Times New Roman" w:hAnsi="Segoe UI" w:cs="Segoe UI"/>
          <w:sz w:val="24"/>
          <w:szCs w:val="24"/>
          <w:lang w:val="pl-PL"/>
        </w:rPr>
        <w:t>jest przywrócenie niezbędnej równowagi – przy zapewnieniu wszystkich gwarancji niezawisłości, a nawet ich wzmocnieniu</w:t>
      </w:r>
      <w:r>
        <w:rPr>
          <w:rFonts w:ascii="Segoe UI" w:eastAsia="Times New Roman" w:hAnsi="Segoe UI" w:cs="Segoe UI"/>
          <w:sz w:val="24"/>
          <w:szCs w:val="24"/>
          <w:lang w:val="pl-PL"/>
        </w:rPr>
        <w:t>,</w:t>
      </w:r>
      <w:r w:rsidRPr="002F6C62">
        <w:rPr>
          <w:rFonts w:ascii="Segoe UI" w:eastAsia="Times New Roman" w:hAnsi="Segoe UI" w:cs="Segoe UI"/>
          <w:sz w:val="24"/>
          <w:szCs w:val="24"/>
          <w:lang w:val="pl-PL"/>
        </w:rPr>
        <w:t xml:space="preserve"> a zarazem stworzenie mechanizmów zapobiegających patologiom, których nie byli dotąd w stanie naprawić sami sędziowie</w:t>
      </w:r>
    </w:p>
    <w:p w:rsidR="004A33F0" w:rsidRPr="002F6C62" w:rsidRDefault="004A33F0" w:rsidP="004A33F0">
      <w:pPr>
        <w:pStyle w:val="Akapitzlist"/>
        <w:spacing w:after="120" w:line="288" w:lineRule="auto"/>
        <w:contextualSpacing w:val="0"/>
        <w:jc w:val="both"/>
        <w:rPr>
          <w:rFonts w:ascii="Segoe UI" w:hAnsi="Segoe UI" w:cs="Segoe UI"/>
          <w:sz w:val="24"/>
          <w:szCs w:val="24"/>
          <w:lang w:val="pl-PL"/>
        </w:rPr>
      </w:pPr>
    </w:p>
    <w:p w:rsidR="002D339A" w:rsidRPr="00E84A77" w:rsidRDefault="00E84A77" w:rsidP="001053F8">
      <w:pPr>
        <w:pStyle w:val="Akapitzlist"/>
        <w:numPr>
          <w:ilvl w:val="0"/>
          <w:numId w:val="30"/>
        </w:numPr>
        <w:spacing w:after="120" w:line="288" w:lineRule="auto"/>
        <w:ind w:left="709" w:hanging="709"/>
        <w:jc w:val="both"/>
        <w:rPr>
          <w:rFonts w:ascii="Segoe UI" w:eastAsia="Times New Roman" w:hAnsi="Segoe UI" w:cs="Segoe UI"/>
          <w:b/>
          <w:smallCaps/>
          <w:sz w:val="28"/>
          <w:szCs w:val="28"/>
          <w:lang w:val="pl-PL"/>
        </w:rPr>
      </w:pPr>
      <w:r w:rsidRPr="00E84A77">
        <w:rPr>
          <w:rFonts w:ascii="Segoe UI" w:eastAsia="Times New Roman" w:hAnsi="Segoe UI" w:cs="Segoe UI"/>
          <w:b/>
          <w:smallCaps/>
          <w:sz w:val="28"/>
          <w:szCs w:val="28"/>
          <w:lang w:val="pl-PL"/>
        </w:rPr>
        <w:t>Dlaczego reformy są uzasadnione i proporcjonalne.</w:t>
      </w:r>
    </w:p>
    <w:p w:rsidR="002D339A" w:rsidRPr="00E84A77" w:rsidRDefault="002D339A" w:rsidP="002D339A">
      <w:pPr>
        <w:pStyle w:val="Akapitzlist"/>
        <w:spacing w:after="120" w:line="288" w:lineRule="auto"/>
        <w:contextualSpacing w:val="0"/>
        <w:jc w:val="both"/>
        <w:rPr>
          <w:rFonts w:ascii="Segoe UI" w:hAnsi="Segoe UI" w:cs="Segoe UI"/>
          <w:sz w:val="2"/>
          <w:szCs w:val="2"/>
          <w:lang w:val="pl-PL"/>
        </w:rPr>
      </w:pPr>
    </w:p>
    <w:p w:rsidR="00BE6BC6" w:rsidRPr="00E84A77" w:rsidRDefault="00E84A77"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577646">
        <w:rPr>
          <w:rFonts w:ascii="Segoe UI" w:eastAsia="Times New Roman" w:hAnsi="Segoe UI" w:cs="Segoe UI"/>
          <w:b/>
          <w:sz w:val="24"/>
          <w:szCs w:val="24"/>
          <w:u w:val="single"/>
          <w:lang w:val="pl-PL"/>
        </w:rPr>
        <w:t>Europejskie standardy są przestrzegane</w:t>
      </w:r>
      <w:r w:rsidR="00BE6BC6" w:rsidRPr="00577646">
        <w:rPr>
          <w:rFonts w:ascii="Segoe UI" w:eastAsia="Times New Roman" w:hAnsi="Segoe UI" w:cs="Segoe UI"/>
          <w:b/>
          <w:sz w:val="24"/>
          <w:szCs w:val="24"/>
          <w:lang w:val="pl-PL"/>
        </w:rPr>
        <w:t>.</w:t>
      </w:r>
      <w:r w:rsidR="00BE6BC6" w:rsidRPr="00577646">
        <w:rPr>
          <w:rFonts w:ascii="Segoe UI" w:eastAsia="Times New Roman" w:hAnsi="Segoe UI" w:cs="Segoe UI"/>
          <w:sz w:val="24"/>
          <w:szCs w:val="24"/>
          <w:lang w:val="pl-PL"/>
        </w:rPr>
        <w:t xml:space="preserve"> </w:t>
      </w:r>
      <w:r w:rsidRPr="00E84A77">
        <w:rPr>
          <w:rFonts w:ascii="Segoe UI" w:eastAsia="Times New Roman" w:hAnsi="Segoe UI" w:cs="Segoe UI"/>
          <w:sz w:val="24"/>
          <w:szCs w:val="24"/>
          <w:lang w:val="pl-PL"/>
        </w:rPr>
        <w:t>Bardzo często pomija się fakt, że</w:t>
      </w:r>
      <w:r w:rsidR="00577646">
        <w:rPr>
          <w:rFonts w:ascii="Segoe UI" w:eastAsia="Times New Roman" w:hAnsi="Segoe UI" w:cs="Segoe UI"/>
          <w:sz w:val="24"/>
          <w:szCs w:val="24"/>
          <w:lang w:val="pl-PL"/>
        </w:rPr>
        <w:t> </w:t>
      </w:r>
      <w:r w:rsidRPr="00E84A77">
        <w:rPr>
          <w:rFonts w:ascii="Segoe UI" w:eastAsia="Times New Roman" w:hAnsi="Segoe UI" w:cs="Segoe UI"/>
          <w:sz w:val="24"/>
          <w:szCs w:val="24"/>
          <w:lang w:val="pl-PL"/>
        </w:rPr>
        <w:t xml:space="preserve">Komisja Wenecka i inne organizacje międzynarodowe krytyczne wobec polskich reform nie uwzględniły argumentów, które je uzasadniają.  Komisja Wenecka wielokrotnie wzywała różne kraje do zapewnienia, aby rady sądownictwa nie były zbyt mocno zdominowane przez sędziów </w:t>
      </w:r>
      <w:r>
        <w:rPr>
          <w:rFonts w:ascii="Segoe UI" w:eastAsia="Times New Roman" w:hAnsi="Segoe UI" w:cs="Segoe UI"/>
          <w:sz w:val="24"/>
          <w:szCs w:val="24"/>
          <w:lang w:val="pl-PL"/>
        </w:rPr>
        <w:t>– gdyż może to prowadzić do</w:t>
      </w:r>
      <w:r w:rsidRPr="00E84A77">
        <w:rPr>
          <w:rFonts w:ascii="Segoe UI" w:eastAsia="Times New Roman" w:hAnsi="Segoe UI" w:cs="Segoe UI"/>
          <w:sz w:val="24"/>
          <w:szCs w:val="24"/>
          <w:lang w:val="pl-PL"/>
        </w:rPr>
        <w:t xml:space="preserve"> koteryjności, dbania </w:t>
      </w:r>
      <w:r>
        <w:rPr>
          <w:rFonts w:ascii="Segoe UI" w:eastAsia="Times New Roman" w:hAnsi="Segoe UI" w:cs="Segoe UI"/>
          <w:sz w:val="24"/>
          <w:szCs w:val="24"/>
          <w:lang w:val="pl-PL"/>
        </w:rPr>
        <w:t xml:space="preserve">przez sędziów </w:t>
      </w:r>
      <w:r w:rsidRPr="00E84A77">
        <w:rPr>
          <w:rFonts w:ascii="Segoe UI" w:eastAsia="Times New Roman" w:hAnsi="Segoe UI" w:cs="Segoe UI"/>
          <w:sz w:val="24"/>
          <w:szCs w:val="24"/>
          <w:lang w:val="pl-PL"/>
        </w:rPr>
        <w:t xml:space="preserve">o własne interesy, nieuzasadnionej obrony członków </w:t>
      </w:r>
      <w:r>
        <w:rPr>
          <w:rFonts w:ascii="Segoe UI" w:eastAsia="Times New Roman" w:hAnsi="Segoe UI" w:cs="Segoe UI"/>
          <w:sz w:val="24"/>
          <w:szCs w:val="24"/>
          <w:lang w:val="pl-PL"/>
        </w:rPr>
        <w:t xml:space="preserve">swojej grupy zawodowej </w:t>
      </w:r>
      <w:r w:rsidRPr="00E84A77">
        <w:rPr>
          <w:rFonts w:ascii="Segoe UI" w:eastAsia="Times New Roman" w:hAnsi="Segoe UI" w:cs="Segoe UI"/>
          <w:sz w:val="24"/>
          <w:szCs w:val="24"/>
          <w:lang w:val="pl-PL"/>
        </w:rPr>
        <w:t>i tworzenia się społecznego obrazu korporacjonizmu sędziowskiego</w:t>
      </w:r>
      <w:r>
        <w:rPr>
          <w:rFonts w:ascii="Segoe UI" w:hAnsi="Segoe UI" w:cs="Segoe UI"/>
          <w:color w:val="000000" w:themeColor="text1"/>
          <w:sz w:val="24"/>
          <w:szCs w:val="24"/>
          <w:lang w:val="pl-PL"/>
        </w:rPr>
        <w:t>. Polskie reformy Krajowej Rady Sądownictwa przeprowadzone są w duchu tych zaleceń.</w:t>
      </w:r>
    </w:p>
    <w:p w:rsidR="00BE6BC6" w:rsidRPr="00740A34" w:rsidRDefault="00E84A77"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E84A77">
        <w:rPr>
          <w:rFonts w:ascii="Segoe UI" w:eastAsia="Times New Roman" w:hAnsi="Segoe UI" w:cs="Segoe UI"/>
          <w:b/>
          <w:sz w:val="24"/>
          <w:szCs w:val="24"/>
          <w:u w:val="single"/>
          <w:lang w:val="pl-PL"/>
        </w:rPr>
        <w:t>Wielu polskich sędziów przez lata również apelowało o zmiany</w:t>
      </w:r>
      <w:r w:rsidR="00BE6BC6" w:rsidRPr="00E84A77">
        <w:rPr>
          <w:rFonts w:ascii="Segoe UI" w:eastAsia="Times New Roman" w:hAnsi="Segoe UI" w:cs="Segoe UI"/>
          <w:sz w:val="24"/>
          <w:szCs w:val="24"/>
          <w:lang w:val="pl-PL"/>
        </w:rPr>
        <w:t xml:space="preserve">. </w:t>
      </w:r>
      <w:r w:rsidRPr="00E84A77">
        <w:rPr>
          <w:rFonts w:ascii="Segoe UI" w:eastAsia="Times New Roman" w:hAnsi="Segoe UI" w:cs="Segoe UI"/>
          <w:sz w:val="24"/>
          <w:szCs w:val="24"/>
          <w:lang w:val="pl-PL"/>
        </w:rPr>
        <w:t>W</w:t>
      </w:r>
      <w:r w:rsidR="00BE6BC6" w:rsidRPr="00E84A77">
        <w:rPr>
          <w:rFonts w:ascii="Segoe UI" w:eastAsia="Times New Roman" w:hAnsi="Segoe UI" w:cs="Segoe UI"/>
          <w:sz w:val="24"/>
          <w:szCs w:val="24"/>
          <w:lang w:val="pl-PL"/>
        </w:rPr>
        <w:t xml:space="preserve"> 2014</w:t>
      </w:r>
      <w:r w:rsidRPr="00E84A77">
        <w:rPr>
          <w:rFonts w:ascii="Segoe UI" w:eastAsia="Times New Roman" w:hAnsi="Segoe UI" w:cs="Segoe UI"/>
          <w:sz w:val="24"/>
          <w:szCs w:val="24"/>
          <w:lang w:val="pl-PL"/>
        </w:rPr>
        <w:t xml:space="preserve"> roku zgromadzenie reprezentujące sędziów sądów niższych szczebli (ok 90% wszystkich sędziów w Polsce) stwi</w:t>
      </w:r>
      <w:r>
        <w:rPr>
          <w:rFonts w:ascii="Segoe UI" w:eastAsia="Times New Roman" w:hAnsi="Segoe UI" w:cs="Segoe UI"/>
          <w:sz w:val="24"/>
          <w:szCs w:val="24"/>
          <w:lang w:val="pl-PL"/>
        </w:rPr>
        <w:t>erdziło, że KRS wybi</w:t>
      </w:r>
      <w:r w:rsidR="004678EB">
        <w:rPr>
          <w:rFonts w:ascii="Segoe UI" w:eastAsia="Times New Roman" w:hAnsi="Segoe UI" w:cs="Segoe UI"/>
          <w:sz w:val="24"/>
          <w:szCs w:val="24"/>
          <w:lang w:val="pl-PL"/>
        </w:rPr>
        <w:t>e</w:t>
      </w:r>
      <w:r>
        <w:rPr>
          <w:rFonts w:ascii="Segoe UI" w:eastAsia="Times New Roman" w:hAnsi="Segoe UI" w:cs="Segoe UI"/>
          <w:sz w:val="24"/>
          <w:szCs w:val="24"/>
          <w:lang w:val="pl-PL"/>
        </w:rPr>
        <w:t xml:space="preserve">rana jest w formie </w:t>
      </w:r>
      <w:r w:rsidRPr="00740A34">
        <w:rPr>
          <w:rFonts w:ascii="Segoe UI" w:eastAsia="Times New Roman" w:hAnsi="Segoe UI" w:cs="Segoe UI"/>
          <w:b/>
          <w:i/>
          <w:sz w:val="24"/>
          <w:szCs w:val="24"/>
          <w:lang w:val="pl-PL"/>
        </w:rPr>
        <w:t>„niedemokratycznych wyborów kurialnych”</w:t>
      </w:r>
      <w:r>
        <w:rPr>
          <w:rFonts w:ascii="Segoe UI" w:eastAsia="Times New Roman" w:hAnsi="Segoe UI" w:cs="Segoe UI"/>
          <w:sz w:val="24"/>
          <w:szCs w:val="24"/>
          <w:lang w:val="pl-PL"/>
        </w:rPr>
        <w:t xml:space="preserve">, i że system ten jest niezgodny z Konstytucją. </w:t>
      </w:r>
      <w:r w:rsidRPr="00740A34">
        <w:rPr>
          <w:rFonts w:ascii="Segoe UI" w:eastAsia="Times New Roman" w:hAnsi="Segoe UI" w:cs="Segoe UI"/>
          <w:sz w:val="24"/>
          <w:szCs w:val="24"/>
          <w:lang w:val="pl-PL"/>
        </w:rPr>
        <w:t>Poprzedni prezesi Trybunału Konstytucyjnego (TK) również krytykowali sądownictwo</w:t>
      </w:r>
      <w:r w:rsidR="00740A34" w:rsidRPr="00740A34">
        <w:rPr>
          <w:rFonts w:ascii="Segoe UI" w:eastAsia="Times New Roman" w:hAnsi="Segoe UI" w:cs="Segoe UI"/>
          <w:sz w:val="24"/>
          <w:szCs w:val="24"/>
          <w:lang w:val="pl-PL"/>
        </w:rPr>
        <w:t>, wskazując że nie przeszło ono żadnej weryfikacji po komuni</w:t>
      </w:r>
      <w:r w:rsidR="00740A34">
        <w:rPr>
          <w:rFonts w:ascii="Segoe UI" w:eastAsia="Times New Roman" w:hAnsi="Segoe UI" w:cs="Segoe UI"/>
          <w:sz w:val="24"/>
          <w:szCs w:val="24"/>
          <w:lang w:val="pl-PL"/>
        </w:rPr>
        <w:t>z</w:t>
      </w:r>
      <w:r w:rsidR="00740A34" w:rsidRPr="00740A34">
        <w:rPr>
          <w:rFonts w:ascii="Segoe UI" w:eastAsia="Times New Roman" w:hAnsi="Segoe UI" w:cs="Segoe UI"/>
          <w:sz w:val="24"/>
          <w:szCs w:val="24"/>
          <w:lang w:val="pl-PL"/>
        </w:rPr>
        <w:t xml:space="preserve">mie, a także że KRS stała się </w:t>
      </w:r>
      <w:r w:rsidR="00740A34" w:rsidRPr="00740A34">
        <w:rPr>
          <w:rFonts w:ascii="Segoe UI" w:eastAsia="Times New Roman" w:hAnsi="Segoe UI" w:cs="Segoe UI"/>
          <w:i/>
          <w:sz w:val="24"/>
          <w:szCs w:val="24"/>
          <w:lang w:val="pl-PL"/>
        </w:rPr>
        <w:t xml:space="preserve">„swoistym państwowym związkiem zawodowym </w:t>
      </w:r>
      <w:r w:rsidR="00740A34" w:rsidRPr="00740A34">
        <w:rPr>
          <w:rFonts w:ascii="Segoe UI" w:eastAsia="Times New Roman" w:hAnsi="Segoe UI" w:cs="Segoe UI"/>
          <w:b/>
          <w:i/>
          <w:sz w:val="24"/>
          <w:szCs w:val="24"/>
          <w:lang w:val="pl-PL"/>
        </w:rPr>
        <w:t>konserwującym interesy źle służące polskiemu sądownictwu</w:t>
      </w:r>
      <w:r w:rsidR="00740A34" w:rsidRPr="00740A34">
        <w:rPr>
          <w:rFonts w:ascii="Segoe UI" w:eastAsia="Times New Roman" w:hAnsi="Segoe UI" w:cs="Segoe UI"/>
          <w:i/>
          <w:sz w:val="24"/>
          <w:szCs w:val="24"/>
          <w:lang w:val="pl-PL"/>
        </w:rPr>
        <w:t>”</w:t>
      </w:r>
      <w:r w:rsidR="00740A34">
        <w:rPr>
          <w:rFonts w:ascii="Segoe UI" w:eastAsia="Times New Roman" w:hAnsi="Segoe UI" w:cs="Segoe UI"/>
          <w:sz w:val="24"/>
          <w:szCs w:val="24"/>
          <w:lang w:val="pl-PL"/>
        </w:rPr>
        <w:t>.</w:t>
      </w:r>
    </w:p>
    <w:p w:rsidR="00054245" w:rsidRPr="00740A34" w:rsidRDefault="00740A34"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740A34">
        <w:rPr>
          <w:rFonts w:ascii="Segoe UI" w:eastAsia="Times New Roman" w:hAnsi="Segoe UI" w:cs="Segoe UI"/>
          <w:b/>
          <w:sz w:val="24"/>
          <w:szCs w:val="24"/>
          <w:u w:val="single"/>
          <w:lang w:val="pl-PL"/>
        </w:rPr>
        <w:t>Krajowa Rada Sądownictwa stanie się bardziej zrównoważona</w:t>
      </w:r>
      <w:r w:rsidRPr="00740A34">
        <w:rPr>
          <w:rFonts w:ascii="Segoe UI" w:eastAsia="Times New Roman" w:hAnsi="Segoe UI" w:cs="Segoe UI"/>
          <w:sz w:val="24"/>
          <w:szCs w:val="24"/>
          <w:lang w:val="pl-PL"/>
        </w:rPr>
        <w:t xml:space="preserve">. Konstytucja </w:t>
      </w:r>
      <w:r w:rsidR="004678EB" w:rsidRPr="00740A34">
        <w:rPr>
          <w:rFonts w:ascii="Segoe UI" w:eastAsia="Times New Roman" w:hAnsi="Segoe UI" w:cs="Segoe UI"/>
          <w:sz w:val="24"/>
          <w:szCs w:val="24"/>
          <w:lang w:val="pl-PL"/>
        </w:rPr>
        <w:t>stanowi,</w:t>
      </w:r>
      <w:r w:rsidRPr="00740A34">
        <w:rPr>
          <w:rFonts w:ascii="Segoe UI" w:eastAsia="Times New Roman" w:hAnsi="Segoe UI" w:cs="Segoe UI"/>
          <w:sz w:val="24"/>
          <w:szCs w:val="24"/>
          <w:lang w:val="pl-PL"/>
        </w:rPr>
        <w:t xml:space="preserve"> że w jej 25-osobowy skład powinno wchodzić nie mniej niż 17 sędziów</w:t>
      </w:r>
      <w:r w:rsidR="00054245" w:rsidRPr="00740A34">
        <w:rPr>
          <w:rFonts w:ascii="Segoe UI" w:eastAsia="Times New Roman" w:hAnsi="Segoe UI" w:cs="Segoe UI"/>
          <w:sz w:val="24"/>
          <w:szCs w:val="24"/>
          <w:lang w:val="pl-PL"/>
        </w:rPr>
        <w:t xml:space="preserve"> </w:t>
      </w:r>
      <w:r w:rsidRPr="00740A34">
        <w:rPr>
          <w:rFonts w:ascii="Segoe UI" w:eastAsia="Times New Roman" w:hAnsi="Segoe UI" w:cs="Segoe UI"/>
          <w:sz w:val="24"/>
          <w:szCs w:val="24"/>
          <w:lang w:val="pl-PL"/>
        </w:rPr>
        <w:t>(t</w:t>
      </w:r>
      <w:r>
        <w:rPr>
          <w:rFonts w:ascii="Segoe UI" w:eastAsia="Times New Roman" w:hAnsi="Segoe UI" w:cs="Segoe UI"/>
          <w:sz w:val="24"/>
          <w:szCs w:val="24"/>
          <w:lang w:val="pl-PL"/>
        </w:rPr>
        <w:t xml:space="preserve">j. ponad 2/3) – i tak nadal będzie. </w:t>
      </w:r>
      <w:r w:rsidRPr="00740A34">
        <w:rPr>
          <w:rFonts w:ascii="Segoe UI" w:eastAsia="Times New Roman" w:hAnsi="Segoe UI" w:cs="Segoe UI"/>
          <w:sz w:val="24"/>
          <w:szCs w:val="24"/>
          <w:lang w:val="pl-PL"/>
        </w:rPr>
        <w:t>Wybór dokonywany jest przez Sejm – ale wyłącznie spo</w:t>
      </w:r>
      <w:r>
        <w:rPr>
          <w:rFonts w:ascii="Segoe UI" w:eastAsia="Times New Roman" w:hAnsi="Segoe UI" w:cs="Segoe UI"/>
          <w:sz w:val="24"/>
          <w:szCs w:val="24"/>
          <w:lang w:val="pl-PL"/>
        </w:rPr>
        <w:t xml:space="preserve">śród kandydatów wskazanych przez co najmniej 25 innych sędziów lub grupę 2 000 obywateli. </w:t>
      </w:r>
      <w:r w:rsidRPr="00740A34">
        <w:rPr>
          <w:rFonts w:ascii="Segoe UI" w:eastAsia="Times New Roman" w:hAnsi="Segoe UI" w:cs="Segoe UI"/>
          <w:sz w:val="24"/>
          <w:szCs w:val="24"/>
          <w:lang w:val="pl-PL"/>
        </w:rPr>
        <w:t xml:space="preserve">Wybierani są oni na stałą, wspólną 4-letnią kadencję </w:t>
      </w:r>
      <w:r w:rsidR="00577646">
        <w:rPr>
          <w:rFonts w:ascii="Segoe UI" w:eastAsia="Times New Roman" w:hAnsi="Segoe UI" w:cs="Segoe UI"/>
          <w:sz w:val="24"/>
          <w:szCs w:val="24"/>
          <w:lang w:val="pl-PL"/>
        </w:rPr>
        <w:t>i</w:t>
      </w:r>
      <w:r w:rsidRPr="00740A34">
        <w:rPr>
          <w:rFonts w:ascii="Segoe UI" w:eastAsia="Times New Roman" w:hAnsi="Segoe UI" w:cs="Segoe UI"/>
          <w:sz w:val="24"/>
          <w:szCs w:val="24"/>
          <w:lang w:val="pl-PL"/>
        </w:rPr>
        <w:t xml:space="preserve"> nie mogą </w:t>
      </w:r>
      <w:r>
        <w:rPr>
          <w:rFonts w:ascii="Segoe UI" w:eastAsia="Times New Roman" w:hAnsi="Segoe UI" w:cs="Segoe UI"/>
          <w:sz w:val="24"/>
          <w:szCs w:val="24"/>
          <w:lang w:val="pl-PL"/>
        </w:rPr>
        <w:t xml:space="preserve">zostać odwołani – a zatem nie istnieje </w:t>
      </w:r>
      <w:r w:rsidR="004678EB">
        <w:rPr>
          <w:rFonts w:ascii="Segoe UI" w:eastAsia="Times New Roman" w:hAnsi="Segoe UI" w:cs="Segoe UI"/>
          <w:sz w:val="24"/>
          <w:szCs w:val="24"/>
          <w:lang w:val="pl-PL"/>
        </w:rPr>
        <w:t>ryzyko,</w:t>
      </w:r>
      <w:r>
        <w:rPr>
          <w:rFonts w:ascii="Segoe UI" w:eastAsia="Times New Roman" w:hAnsi="Segoe UI" w:cs="Segoe UI"/>
          <w:sz w:val="24"/>
          <w:szCs w:val="24"/>
          <w:lang w:val="pl-PL"/>
        </w:rPr>
        <w:t xml:space="preserve"> że</w:t>
      </w:r>
      <w:r w:rsidR="00577646">
        <w:rPr>
          <w:rFonts w:ascii="Segoe UI" w:eastAsia="Times New Roman" w:hAnsi="Segoe UI" w:cs="Segoe UI"/>
          <w:sz w:val="24"/>
          <w:szCs w:val="24"/>
          <w:lang w:val="pl-PL"/>
        </w:rPr>
        <w:t> </w:t>
      </w:r>
      <w:r>
        <w:rPr>
          <w:rFonts w:ascii="Segoe UI" w:eastAsia="Times New Roman" w:hAnsi="Segoe UI" w:cs="Segoe UI"/>
          <w:sz w:val="24"/>
          <w:szCs w:val="24"/>
          <w:lang w:val="pl-PL"/>
        </w:rPr>
        <w:t>ktoś będzie mógł wywierać na nich naciski po dokonaniu wyboru: nie ma żadnych mechanizmów które by na to pozwalały</w:t>
      </w:r>
      <w:r w:rsidR="00AC3D4D" w:rsidRPr="00740A34">
        <w:rPr>
          <w:rFonts w:ascii="Segoe UI" w:eastAsia="Times New Roman" w:hAnsi="Segoe UI" w:cs="Segoe UI"/>
          <w:sz w:val="24"/>
          <w:szCs w:val="24"/>
          <w:lang w:val="pl-PL"/>
        </w:rPr>
        <w:t xml:space="preserve">. </w:t>
      </w:r>
      <w:r w:rsidRPr="00740A34">
        <w:rPr>
          <w:rFonts w:ascii="Segoe UI" w:eastAsia="Times New Roman" w:hAnsi="Segoe UI" w:cs="Segoe UI"/>
          <w:sz w:val="24"/>
          <w:szCs w:val="24"/>
          <w:lang w:val="pl-PL"/>
        </w:rPr>
        <w:t>Można to porównać do innych urz</w:t>
      </w:r>
      <w:r>
        <w:rPr>
          <w:rFonts w:ascii="Segoe UI" w:eastAsia="Times New Roman" w:hAnsi="Segoe UI" w:cs="Segoe UI"/>
          <w:sz w:val="24"/>
          <w:szCs w:val="24"/>
          <w:lang w:val="pl-PL"/>
        </w:rPr>
        <w:t>ę</w:t>
      </w:r>
      <w:r w:rsidRPr="00740A34">
        <w:rPr>
          <w:rFonts w:ascii="Segoe UI" w:eastAsia="Times New Roman" w:hAnsi="Segoe UI" w:cs="Segoe UI"/>
          <w:sz w:val="24"/>
          <w:szCs w:val="24"/>
          <w:lang w:val="pl-PL"/>
        </w:rPr>
        <w:t xml:space="preserve">dów obsadzanych przez Sejm, </w:t>
      </w:r>
      <w:r>
        <w:rPr>
          <w:rFonts w:ascii="Segoe UI" w:eastAsia="Times New Roman" w:hAnsi="Segoe UI" w:cs="Segoe UI"/>
          <w:sz w:val="24"/>
          <w:szCs w:val="24"/>
          <w:lang w:val="pl-PL"/>
        </w:rPr>
        <w:t xml:space="preserve">np. Rzecznika Praw Obywatelskich: nikt nie </w:t>
      </w:r>
      <w:r w:rsidR="004678EB">
        <w:rPr>
          <w:rFonts w:ascii="Segoe UI" w:eastAsia="Times New Roman" w:hAnsi="Segoe UI" w:cs="Segoe UI"/>
          <w:sz w:val="24"/>
          <w:szCs w:val="24"/>
          <w:lang w:val="pl-PL"/>
        </w:rPr>
        <w:t>twierdzi,</w:t>
      </w:r>
      <w:r>
        <w:rPr>
          <w:rFonts w:ascii="Segoe UI" w:eastAsia="Times New Roman" w:hAnsi="Segoe UI" w:cs="Segoe UI"/>
          <w:sz w:val="24"/>
          <w:szCs w:val="24"/>
          <w:lang w:val="pl-PL"/>
        </w:rPr>
        <w:t xml:space="preserve"> że jest on narzędziem w rękach parlamentarnej większości, istnieją bowiem gwarancje, które zapewniają mu niezależność – i tak też jest z</w:t>
      </w:r>
      <w:r w:rsidR="00577646">
        <w:rPr>
          <w:rFonts w:ascii="Segoe UI" w:eastAsia="Times New Roman" w:hAnsi="Segoe UI" w:cs="Segoe UI"/>
          <w:sz w:val="24"/>
          <w:szCs w:val="24"/>
          <w:lang w:val="pl-PL"/>
        </w:rPr>
        <w:t> </w:t>
      </w:r>
      <w:r>
        <w:rPr>
          <w:rFonts w:ascii="Segoe UI" w:eastAsia="Times New Roman" w:hAnsi="Segoe UI" w:cs="Segoe UI"/>
          <w:sz w:val="24"/>
          <w:szCs w:val="24"/>
          <w:lang w:val="pl-PL"/>
        </w:rPr>
        <w:t>członkami KRS.</w:t>
      </w:r>
    </w:p>
    <w:p w:rsidR="004A33F0" w:rsidRPr="00740A34" w:rsidRDefault="00740A34" w:rsidP="00BD5FCF">
      <w:pPr>
        <w:pStyle w:val="Akapitzlist"/>
        <w:numPr>
          <w:ilvl w:val="0"/>
          <w:numId w:val="21"/>
        </w:numPr>
        <w:spacing w:after="120" w:line="288" w:lineRule="auto"/>
        <w:ind w:hanging="720"/>
        <w:contextualSpacing w:val="0"/>
        <w:jc w:val="both"/>
        <w:rPr>
          <w:rFonts w:ascii="Segoe UI" w:hAnsi="Segoe UI" w:cs="Segoe UI"/>
          <w:b/>
          <w:sz w:val="24"/>
          <w:szCs w:val="24"/>
          <w:lang w:val="pl-PL"/>
        </w:rPr>
      </w:pPr>
      <w:r w:rsidRPr="00740A34">
        <w:rPr>
          <w:rFonts w:ascii="Segoe UI" w:eastAsia="Times New Roman" w:hAnsi="Segoe UI" w:cs="Segoe UI"/>
          <w:b/>
          <w:sz w:val="24"/>
          <w:szCs w:val="24"/>
          <w:u w:val="single"/>
          <w:lang w:val="pl-PL"/>
        </w:rPr>
        <w:t xml:space="preserve">Reforma jest </w:t>
      </w:r>
      <w:r w:rsidR="0037118F">
        <w:rPr>
          <w:rFonts w:ascii="Segoe UI" w:eastAsia="Times New Roman" w:hAnsi="Segoe UI" w:cs="Segoe UI"/>
          <w:b/>
          <w:sz w:val="24"/>
          <w:szCs w:val="24"/>
          <w:u w:val="single"/>
          <w:lang w:val="pl-PL"/>
        </w:rPr>
        <w:t xml:space="preserve">zainspirowana </w:t>
      </w:r>
      <w:r w:rsidRPr="00740A34">
        <w:rPr>
          <w:rFonts w:ascii="Segoe UI" w:eastAsia="Times New Roman" w:hAnsi="Segoe UI" w:cs="Segoe UI"/>
          <w:b/>
          <w:sz w:val="24"/>
          <w:szCs w:val="24"/>
          <w:u w:val="single"/>
          <w:lang w:val="pl-PL"/>
        </w:rPr>
        <w:t>dobry</w:t>
      </w:r>
      <w:r w:rsidR="0037118F">
        <w:rPr>
          <w:rFonts w:ascii="Segoe UI" w:eastAsia="Times New Roman" w:hAnsi="Segoe UI" w:cs="Segoe UI"/>
          <w:b/>
          <w:sz w:val="24"/>
          <w:szCs w:val="24"/>
          <w:u w:val="single"/>
          <w:lang w:val="pl-PL"/>
        </w:rPr>
        <w:t>mi</w:t>
      </w:r>
      <w:r w:rsidRPr="00740A34">
        <w:rPr>
          <w:rFonts w:ascii="Segoe UI" w:eastAsia="Times New Roman" w:hAnsi="Segoe UI" w:cs="Segoe UI"/>
          <w:b/>
          <w:sz w:val="24"/>
          <w:szCs w:val="24"/>
          <w:u w:val="single"/>
          <w:lang w:val="pl-PL"/>
        </w:rPr>
        <w:t xml:space="preserve"> praktyka</w:t>
      </w:r>
      <w:r w:rsidR="0037118F">
        <w:rPr>
          <w:rFonts w:ascii="Segoe UI" w:eastAsia="Times New Roman" w:hAnsi="Segoe UI" w:cs="Segoe UI"/>
          <w:b/>
          <w:sz w:val="24"/>
          <w:szCs w:val="24"/>
          <w:u w:val="single"/>
          <w:lang w:val="pl-PL"/>
        </w:rPr>
        <w:t>mi</w:t>
      </w:r>
      <w:r w:rsidRPr="00740A34">
        <w:rPr>
          <w:rFonts w:ascii="Segoe UI" w:eastAsia="Times New Roman" w:hAnsi="Segoe UI" w:cs="Segoe UI"/>
          <w:b/>
          <w:sz w:val="24"/>
          <w:szCs w:val="24"/>
          <w:u w:val="single"/>
          <w:lang w:val="pl-PL"/>
        </w:rPr>
        <w:t xml:space="preserve"> innych pańs</w:t>
      </w:r>
      <w:r>
        <w:rPr>
          <w:rFonts w:ascii="Segoe UI" w:eastAsia="Times New Roman" w:hAnsi="Segoe UI" w:cs="Segoe UI"/>
          <w:b/>
          <w:sz w:val="24"/>
          <w:szCs w:val="24"/>
          <w:u w:val="single"/>
          <w:lang w:val="pl-PL"/>
        </w:rPr>
        <w:t>tw członkowskich</w:t>
      </w:r>
      <w:r w:rsidR="004A33F0" w:rsidRPr="00740A34">
        <w:rPr>
          <w:rFonts w:ascii="Segoe UI" w:eastAsia="Times New Roman" w:hAnsi="Segoe UI" w:cs="Segoe UI"/>
          <w:sz w:val="24"/>
          <w:szCs w:val="24"/>
          <w:lang w:val="pl-PL"/>
        </w:rPr>
        <w:t xml:space="preserve">. </w:t>
      </w:r>
      <w:r>
        <w:rPr>
          <w:rFonts w:ascii="Segoe UI" w:eastAsia="Times New Roman" w:hAnsi="Segoe UI" w:cs="Segoe UI"/>
          <w:sz w:val="24"/>
          <w:szCs w:val="24"/>
          <w:lang w:val="pl-PL"/>
        </w:rPr>
        <w:t>W</w:t>
      </w:r>
      <w:r w:rsidRPr="00740A34">
        <w:rPr>
          <w:rFonts w:ascii="Segoe UI" w:eastAsia="Times New Roman" w:hAnsi="Segoe UI" w:cs="Segoe UI"/>
          <w:sz w:val="24"/>
          <w:szCs w:val="24"/>
          <w:lang w:val="pl-PL"/>
        </w:rPr>
        <w:t xml:space="preserve">szystkie </w:t>
      </w:r>
      <w:r>
        <w:rPr>
          <w:rFonts w:ascii="Segoe UI" w:eastAsia="Times New Roman" w:hAnsi="Segoe UI" w:cs="Segoe UI"/>
          <w:sz w:val="24"/>
          <w:szCs w:val="24"/>
          <w:lang w:val="pl-PL"/>
        </w:rPr>
        <w:t xml:space="preserve">istotne </w:t>
      </w:r>
      <w:r w:rsidRPr="00740A34">
        <w:rPr>
          <w:rFonts w:ascii="Segoe UI" w:eastAsia="Times New Roman" w:hAnsi="Segoe UI" w:cs="Segoe UI"/>
          <w:sz w:val="24"/>
          <w:szCs w:val="24"/>
          <w:lang w:val="pl-PL"/>
        </w:rPr>
        <w:t>zmiany</w:t>
      </w:r>
      <w:r>
        <w:rPr>
          <w:rFonts w:ascii="Segoe UI" w:eastAsia="Times New Roman" w:hAnsi="Segoe UI" w:cs="Segoe UI"/>
          <w:sz w:val="24"/>
          <w:szCs w:val="24"/>
          <w:lang w:val="pl-PL"/>
        </w:rPr>
        <w:t xml:space="preserve"> wprowadzone w ostatnich </w:t>
      </w:r>
      <w:r>
        <w:rPr>
          <w:rFonts w:ascii="Segoe UI" w:eastAsia="Times New Roman" w:hAnsi="Segoe UI" w:cs="Segoe UI"/>
          <w:sz w:val="24"/>
          <w:szCs w:val="24"/>
          <w:lang w:val="pl-PL"/>
        </w:rPr>
        <w:lastRenderedPageBreak/>
        <w:t>miesiącach</w:t>
      </w:r>
      <w:r w:rsidRPr="00740A34">
        <w:rPr>
          <w:rFonts w:ascii="Segoe UI" w:eastAsia="Times New Roman" w:hAnsi="Segoe UI" w:cs="Segoe UI"/>
          <w:sz w:val="24"/>
          <w:szCs w:val="24"/>
          <w:lang w:val="pl-PL"/>
        </w:rPr>
        <w:t xml:space="preserve"> mają swoje odpowiedniki w innych europejskich sys</w:t>
      </w:r>
      <w:r>
        <w:rPr>
          <w:rFonts w:ascii="Segoe UI" w:eastAsia="Times New Roman" w:hAnsi="Segoe UI" w:cs="Segoe UI"/>
          <w:sz w:val="24"/>
          <w:szCs w:val="24"/>
          <w:lang w:val="pl-PL"/>
        </w:rPr>
        <w:t>temach prawnych, są też całkowicie zgodne z zasadami praworządności</w:t>
      </w:r>
      <w:r w:rsidR="00A376CA" w:rsidRPr="00740A34">
        <w:rPr>
          <w:rFonts w:ascii="Segoe UI" w:eastAsia="Times New Roman" w:hAnsi="Segoe UI" w:cs="Segoe UI"/>
          <w:sz w:val="24"/>
          <w:szCs w:val="24"/>
          <w:lang w:val="pl-PL"/>
        </w:rPr>
        <w:t>.</w:t>
      </w:r>
    </w:p>
    <w:p w:rsidR="00D54CB5" w:rsidRPr="00D54CB5" w:rsidRDefault="00740A34" w:rsidP="00D54CB5">
      <w:pPr>
        <w:pStyle w:val="Akapitzlist"/>
        <w:numPr>
          <w:ilvl w:val="1"/>
          <w:numId w:val="21"/>
        </w:numPr>
        <w:spacing w:after="120" w:line="288" w:lineRule="auto"/>
        <w:contextualSpacing w:val="0"/>
        <w:jc w:val="both"/>
        <w:rPr>
          <w:rFonts w:ascii="Segoe UI" w:hAnsi="Segoe UI" w:cs="Segoe UI"/>
          <w:b/>
          <w:sz w:val="24"/>
          <w:szCs w:val="24"/>
          <w:lang w:val="pl-PL"/>
        </w:rPr>
      </w:pPr>
      <w:r w:rsidRPr="00D54CB5">
        <w:rPr>
          <w:rFonts w:ascii="Segoe UI" w:eastAsia="Times New Roman" w:hAnsi="Segoe UI" w:cs="Segoe UI"/>
          <w:sz w:val="24"/>
          <w:szCs w:val="24"/>
          <w:lang w:val="pl-PL"/>
        </w:rPr>
        <w:t xml:space="preserve">Krajowa Rada Sądownictwa wybierana </w:t>
      </w:r>
      <w:r w:rsidRPr="00D54CB5">
        <w:rPr>
          <w:rFonts w:ascii="Segoe UI" w:eastAsia="Times New Roman" w:hAnsi="Segoe UI" w:cs="Segoe UI"/>
          <w:b/>
          <w:sz w:val="24"/>
          <w:szCs w:val="24"/>
          <w:lang w:val="pl-PL"/>
        </w:rPr>
        <w:t>jest w sposób bardzo podobny, jak ma</w:t>
      </w:r>
      <w:r w:rsidR="00BF6BD4" w:rsidRPr="00D54CB5">
        <w:rPr>
          <w:rFonts w:ascii="Segoe UI" w:eastAsia="Times New Roman" w:hAnsi="Segoe UI" w:cs="Segoe UI"/>
          <w:b/>
          <w:sz w:val="24"/>
          <w:szCs w:val="24"/>
          <w:lang w:val="pl-PL"/>
        </w:rPr>
        <w:t xml:space="preserve"> to</w:t>
      </w:r>
      <w:r w:rsidRPr="00D54CB5">
        <w:rPr>
          <w:rFonts w:ascii="Segoe UI" w:eastAsia="Times New Roman" w:hAnsi="Segoe UI" w:cs="Segoe UI"/>
          <w:b/>
          <w:sz w:val="24"/>
          <w:szCs w:val="24"/>
          <w:lang w:val="pl-PL"/>
        </w:rPr>
        <w:t xml:space="preserve"> miejsce </w:t>
      </w:r>
      <w:r w:rsidRPr="00D54CB5">
        <w:rPr>
          <w:rFonts w:ascii="Segoe UI" w:eastAsia="Times New Roman" w:hAnsi="Segoe UI" w:cs="Segoe UI"/>
          <w:b/>
          <w:sz w:val="24"/>
          <w:szCs w:val="24"/>
          <w:u w:val="single"/>
          <w:lang w:val="pl-PL"/>
        </w:rPr>
        <w:t>w Hiszpanii.</w:t>
      </w:r>
      <w:r w:rsidR="004A33F0" w:rsidRPr="00D54CB5">
        <w:rPr>
          <w:rFonts w:ascii="Segoe UI" w:eastAsia="Times New Roman" w:hAnsi="Segoe UI" w:cs="Segoe UI"/>
          <w:b/>
          <w:sz w:val="24"/>
          <w:szCs w:val="24"/>
          <w:u w:val="single"/>
          <w:lang w:val="pl-PL"/>
        </w:rPr>
        <w:t xml:space="preserve"> </w:t>
      </w:r>
      <w:r w:rsidR="00D54CB5" w:rsidRPr="00D54CB5">
        <w:rPr>
          <w:rFonts w:ascii="Segoe UI" w:eastAsia="Times New Roman" w:hAnsi="Segoe UI" w:cs="Segoe UI"/>
          <w:b/>
          <w:sz w:val="24"/>
          <w:szCs w:val="24"/>
          <w:u w:val="single"/>
          <w:lang w:val="pl-PL"/>
        </w:rPr>
        <w:t>W Niemczech</w:t>
      </w:r>
      <w:r w:rsidR="00D54CB5" w:rsidRPr="00D54CB5">
        <w:rPr>
          <w:rFonts w:ascii="Segoe UI" w:eastAsia="Times New Roman" w:hAnsi="Segoe UI" w:cs="Segoe UI"/>
          <w:b/>
          <w:sz w:val="24"/>
          <w:szCs w:val="24"/>
          <w:lang w:val="pl-PL"/>
        </w:rPr>
        <w:t xml:space="preserve"> w ogóle takiej rady nie ma</w:t>
      </w:r>
      <w:r w:rsidR="00D54CB5" w:rsidRPr="00D54CB5">
        <w:rPr>
          <w:rFonts w:ascii="Segoe UI" w:eastAsia="Times New Roman" w:hAnsi="Segoe UI" w:cs="Segoe UI"/>
          <w:sz w:val="24"/>
          <w:szCs w:val="24"/>
          <w:lang w:val="pl-PL"/>
        </w:rPr>
        <w:t xml:space="preserve"> – sędziowie wybierani są albo przez samych polityków, albo przy ich przeważającym udziale. W innych krajach sędziowie też nie mają większości w radach – a mimo to sądownictwo tych krajów postrzegane jest jako najbardziej niezawisłe w Europie (jest tak np. </w:t>
      </w:r>
      <w:r w:rsidR="00D54CB5" w:rsidRPr="00D54CB5">
        <w:rPr>
          <w:rFonts w:ascii="Segoe UI" w:eastAsia="Times New Roman" w:hAnsi="Segoe UI" w:cs="Segoe UI"/>
          <w:b/>
          <w:sz w:val="24"/>
          <w:szCs w:val="24"/>
          <w:u w:val="single"/>
          <w:lang w:val="pl-PL"/>
        </w:rPr>
        <w:t>w Danii czy Holandii</w:t>
      </w:r>
      <w:r w:rsidR="00D54CB5" w:rsidRPr="00D54CB5">
        <w:rPr>
          <w:rFonts w:ascii="Segoe UI" w:eastAsia="Times New Roman" w:hAnsi="Segoe UI" w:cs="Segoe UI"/>
          <w:sz w:val="24"/>
          <w:szCs w:val="24"/>
          <w:lang w:val="pl-PL"/>
        </w:rPr>
        <w:t xml:space="preserve">). Dowodzi to, że Komisja Wenecka słusznie wskazywała w wielu wypadkach na to, że takie </w:t>
      </w:r>
      <w:r w:rsidR="00D54CB5">
        <w:rPr>
          <w:rFonts w:ascii="Segoe UI" w:eastAsia="Times New Roman" w:hAnsi="Segoe UI" w:cs="Segoe UI"/>
          <w:sz w:val="24"/>
          <w:szCs w:val="24"/>
          <w:lang w:val="pl-PL"/>
        </w:rPr>
        <w:t>rady nie powinny być zbyt mocno zdominowane przez sędziów.</w:t>
      </w:r>
    </w:p>
    <w:p w:rsidR="002D339A" w:rsidRPr="00D54CB5" w:rsidRDefault="00D54CB5" w:rsidP="00D54CB5">
      <w:pPr>
        <w:pStyle w:val="Akapitzlist"/>
        <w:numPr>
          <w:ilvl w:val="1"/>
          <w:numId w:val="21"/>
        </w:numPr>
        <w:spacing w:after="120" w:line="288" w:lineRule="auto"/>
        <w:contextualSpacing w:val="0"/>
        <w:jc w:val="both"/>
        <w:rPr>
          <w:rFonts w:ascii="Segoe UI" w:hAnsi="Segoe UI" w:cs="Segoe UI"/>
          <w:b/>
          <w:sz w:val="24"/>
          <w:szCs w:val="24"/>
          <w:lang w:val="pl-PL"/>
        </w:rPr>
      </w:pPr>
      <w:r>
        <w:rPr>
          <w:rFonts w:ascii="Segoe UI" w:eastAsia="Times New Roman" w:hAnsi="Segoe UI" w:cs="Segoe UI"/>
          <w:sz w:val="24"/>
          <w:szCs w:val="24"/>
          <w:lang w:val="pl-PL"/>
        </w:rPr>
        <w:t>Mechanizm odkładania w czasie</w:t>
      </w:r>
      <w:r w:rsidRPr="00D54CB5">
        <w:rPr>
          <w:rFonts w:ascii="Segoe UI" w:eastAsia="Times New Roman" w:hAnsi="Segoe UI" w:cs="Segoe UI"/>
          <w:sz w:val="24"/>
          <w:szCs w:val="24"/>
          <w:lang w:val="pl-PL"/>
        </w:rPr>
        <w:t xml:space="preserve"> przejścia</w:t>
      </w:r>
      <w:r>
        <w:rPr>
          <w:rFonts w:ascii="Segoe UI" w:eastAsia="Times New Roman" w:hAnsi="Segoe UI" w:cs="Segoe UI"/>
          <w:sz w:val="24"/>
          <w:szCs w:val="24"/>
          <w:lang w:val="pl-PL"/>
        </w:rPr>
        <w:t xml:space="preserve"> sędziów</w:t>
      </w:r>
      <w:r w:rsidRPr="00D54CB5">
        <w:rPr>
          <w:rFonts w:ascii="Segoe UI" w:eastAsia="Times New Roman" w:hAnsi="Segoe UI" w:cs="Segoe UI"/>
          <w:sz w:val="24"/>
          <w:szCs w:val="24"/>
          <w:lang w:val="pl-PL"/>
        </w:rPr>
        <w:t xml:space="preserve"> w s</w:t>
      </w:r>
      <w:r>
        <w:rPr>
          <w:rFonts w:ascii="Segoe UI" w:eastAsia="Times New Roman" w:hAnsi="Segoe UI" w:cs="Segoe UI"/>
          <w:sz w:val="24"/>
          <w:szCs w:val="24"/>
          <w:lang w:val="pl-PL"/>
        </w:rPr>
        <w:t>tan spoczynku z</w:t>
      </w:r>
      <w:r w:rsidR="00577646">
        <w:rPr>
          <w:rFonts w:ascii="Segoe UI" w:eastAsia="Times New Roman" w:hAnsi="Segoe UI" w:cs="Segoe UI"/>
          <w:sz w:val="24"/>
          <w:szCs w:val="24"/>
          <w:lang w:val="pl-PL"/>
        </w:rPr>
        <w:t> </w:t>
      </w:r>
      <w:r>
        <w:rPr>
          <w:rFonts w:ascii="Segoe UI" w:eastAsia="Times New Roman" w:hAnsi="Segoe UI" w:cs="Segoe UI"/>
          <w:sz w:val="24"/>
          <w:szCs w:val="24"/>
          <w:lang w:val="pl-PL"/>
        </w:rPr>
        <w:t xml:space="preserve">udziałem czynników zewnętrznych funkcjonuje </w:t>
      </w:r>
      <w:r>
        <w:rPr>
          <w:rFonts w:ascii="Segoe UI" w:eastAsia="Times New Roman" w:hAnsi="Segoe UI" w:cs="Segoe UI"/>
          <w:b/>
          <w:sz w:val="24"/>
          <w:szCs w:val="24"/>
          <w:u w:val="single"/>
          <w:lang w:val="pl-PL"/>
        </w:rPr>
        <w:t>w Wielkiej Brytanii i</w:t>
      </w:r>
      <w:r w:rsidR="00577646">
        <w:rPr>
          <w:rFonts w:ascii="Segoe UI" w:eastAsia="Times New Roman" w:hAnsi="Segoe UI" w:cs="Segoe UI"/>
          <w:b/>
          <w:sz w:val="24"/>
          <w:szCs w:val="24"/>
          <w:u w:val="single"/>
          <w:lang w:val="pl-PL"/>
        </w:rPr>
        <w:t> </w:t>
      </w:r>
      <w:r>
        <w:rPr>
          <w:rFonts w:ascii="Segoe UI" w:eastAsia="Times New Roman" w:hAnsi="Segoe UI" w:cs="Segoe UI"/>
          <w:b/>
          <w:sz w:val="24"/>
          <w:szCs w:val="24"/>
          <w:u w:val="single"/>
          <w:lang w:val="pl-PL"/>
        </w:rPr>
        <w:t>we Francji</w:t>
      </w:r>
      <w:r>
        <w:rPr>
          <w:rFonts w:ascii="Segoe UI" w:eastAsia="Times New Roman" w:hAnsi="Segoe UI" w:cs="Segoe UI"/>
          <w:sz w:val="24"/>
          <w:szCs w:val="24"/>
          <w:lang w:val="pl-PL"/>
        </w:rPr>
        <w:t xml:space="preserve">. Nie ma tu ryzyka dla niezawisłości – </w:t>
      </w:r>
      <w:r w:rsidRPr="00D54CB5">
        <w:rPr>
          <w:rFonts w:ascii="Segoe UI" w:eastAsia="Times New Roman" w:hAnsi="Segoe UI" w:cs="Segoe UI"/>
          <w:b/>
          <w:sz w:val="24"/>
          <w:szCs w:val="24"/>
          <w:lang w:val="pl-PL"/>
        </w:rPr>
        <w:t>sędziowie u szczytu swych karier rzadko podatni są na naciski</w:t>
      </w:r>
      <w:r>
        <w:rPr>
          <w:rFonts w:ascii="Segoe UI" w:eastAsia="Times New Roman" w:hAnsi="Segoe UI" w:cs="Segoe UI"/>
          <w:sz w:val="24"/>
          <w:szCs w:val="24"/>
          <w:lang w:val="pl-PL"/>
        </w:rPr>
        <w:t>, tym bardziej że</w:t>
      </w:r>
      <w:r w:rsidR="00577646">
        <w:rPr>
          <w:rFonts w:ascii="Segoe UI" w:eastAsia="Times New Roman" w:hAnsi="Segoe UI" w:cs="Segoe UI"/>
          <w:sz w:val="24"/>
          <w:szCs w:val="24"/>
          <w:lang w:val="pl-PL"/>
        </w:rPr>
        <w:t> </w:t>
      </w:r>
      <w:r>
        <w:rPr>
          <w:rFonts w:ascii="Segoe UI" w:eastAsia="Times New Roman" w:hAnsi="Segoe UI" w:cs="Segoe UI"/>
          <w:sz w:val="24"/>
          <w:szCs w:val="24"/>
          <w:lang w:val="pl-PL"/>
        </w:rPr>
        <w:t>przysługują im wówczas dodatki stażowe w pełnej wysokości.</w:t>
      </w:r>
    </w:p>
    <w:p w:rsidR="00D54CB5" w:rsidRPr="00D54CB5" w:rsidRDefault="00D54CB5" w:rsidP="004A33F0">
      <w:pPr>
        <w:pStyle w:val="Akapitzlist"/>
        <w:numPr>
          <w:ilvl w:val="1"/>
          <w:numId w:val="21"/>
        </w:numPr>
        <w:spacing w:after="120" w:line="288" w:lineRule="auto"/>
        <w:contextualSpacing w:val="0"/>
        <w:jc w:val="both"/>
        <w:rPr>
          <w:rFonts w:ascii="Segoe UI" w:hAnsi="Segoe UI" w:cs="Segoe UI"/>
          <w:b/>
          <w:sz w:val="24"/>
          <w:szCs w:val="24"/>
          <w:lang w:val="pl-PL"/>
        </w:rPr>
      </w:pPr>
      <w:r>
        <w:rPr>
          <w:rFonts w:ascii="Segoe UI" w:hAnsi="Segoe UI" w:cs="Segoe UI"/>
          <w:sz w:val="24"/>
          <w:szCs w:val="24"/>
          <w:lang w:val="pl-PL"/>
        </w:rPr>
        <w:t>Środek podobny</w:t>
      </w:r>
      <w:r w:rsidRPr="00D54CB5">
        <w:rPr>
          <w:rFonts w:ascii="Segoe UI" w:hAnsi="Segoe UI" w:cs="Segoe UI"/>
          <w:sz w:val="24"/>
          <w:szCs w:val="24"/>
          <w:lang w:val="pl-PL"/>
        </w:rPr>
        <w:t xml:space="preserve"> do nowowprowadzonej s</w:t>
      </w:r>
      <w:r>
        <w:rPr>
          <w:rFonts w:ascii="Segoe UI" w:hAnsi="Segoe UI" w:cs="Segoe UI"/>
          <w:sz w:val="24"/>
          <w:szCs w:val="24"/>
          <w:lang w:val="pl-PL"/>
        </w:rPr>
        <w:t xml:space="preserve">kargi nadzwyczajnej również funkcjonuje </w:t>
      </w:r>
      <w:r>
        <w:rPr>
          <w:rFonts w:ascii="Segoe UI" w:hAnsi="Segoe UI" w:cs="Segoe UI"/>
          <w:b/>
          <w:sz w:val="24"/>
          <w:szCs w:val="24"/>
          <w:u w:val="single"/>
          <w:lang w:val="pl-PL"/>
        </w:rPr>
        <w:t>we Francji</w:t>
      </w:r>
      <w:r>
        <w:rPr>
          <w:rFonts w:ascii="Segoe UI" w:hAnsi="Segoe UI" w:cs="Segoe UI"/>
          <w:sz w:val="24"/>
          <w:szCs w:val="24"/>
          <w:lang w:val="pl-PL"/>
        </w:rPr>
        <w:t xml:space="preserve">; może on zostać wniesiony „w obronie ustawy” </w:t>
      </w:r>
      <w:r>
        <w:rPr>
          <w:rFonts w:ascii="Segoe UI" w:hAnsi="Segoe UI" w:cs="Segoe UI"/>
          <w:b/>
          <w:sz w:val="24"/>
          <w:szCs w:val="24"/>
          <w:lang w:val="pl-PL"/>
        </w:rPr>
        <w:t>bez jakichkolwiek ograniczeń czasowych</w:t>
      </w:r>
      <w:r>
        <w:rPr>
          <w:rFonts w:ascii="Segoe UI" w:hAnsi="Segoe UI" w:cs="Segoe UI"/>
          <w:sz w:val="24"/>
          <w:szCs w:val="24"/>
          <w:lang w:val="pl-PL"/>
        </w:rPr>
        <w:t xml:space="preserve">. Ta instytucja jest pożądana i oczekiwana – gdyż </w:t>
      </w:r>
      <w:r w:rsidRPr="00D54CB5">
        <w:rPr>
          <w:rFonts w:ascii="Segoe UI" w:hAnsi="Segoe UI" w:cs="Segoe UI"/>
          <w:b/>
          <w:sz w:val="24"/>
          <w:szCs w:val="24"/>
          <w:lang w:val="pl-PL"/>
        </w:rPr>
        <w:t>zwiększa poziom ochrony praw obywatelskich</w:t>
      </w:r>
      <w:r>
        <w:rPr>
          <w:rFonts w:ascii="Segoe UI" w:hAnsi="Segoe UI" w:cs="Segoe UI"/>
          <w:sz w:val="24"/>
          <w:szCs w:val="24"/>
          <w:lang w:val="pl-PL"/>
        </w:rPr>
        <w:t>.</w:t>
      </w:r>
    </w:p>
    <w:p w:rsidR="009B26A6" w:rsidRPr="00C33782" w:rsidRDefault="00D54CB5" w:rsidP="00AF7601">
      <w:pPr>
        <w:pStyle w:val="Akapitzlist"/>
        <w:numPr>
          <w:ilvl w:val="1"/>
          <w:numId w:val="21"/>
        </w:numPr>
        <w:spacing w:after="120" w:line="288" w:lineRule="auto"/>
        <w:contextualSpacing w:val="0"/>
        <w:jc w:val="both"/>
        <w:rPr>
          <w:rFonts w:ascii="Segoe UI" w:hAnsi="Segoe UI" w:cs="Segoe UI"/>
          <w:b/>
          <w:sz w:val="24"/>
          <w:szCs w:val="24"/>
          <w:lang w:val="pl-PL"/>
        </w:rPr>
      </w:pPr>
      <w:r w:rsidRPr="00D54CB5">
        <w:rPr>
          <w:rFonts w:ascii="Segoe UI" w:hAnsi="Segoe UI" w:cs="Segoe UI"/>
          <w:sz w:val="24"/>
          <w:szCs w:val="24"/>
          <w:lang w:val="pl-PL"/>
        </w:rPr>
        <w:t>Do postępowań dyscyplinarnych włączony z</w:t>
      </w:r>
      <w:r>
        <w:rPr>
          <w:rFonts w:ascii="Segoe UI" w:hAnsi="Segoe UI" w:cs="Segoe UI"/>
          <w:sz w:val="24"/>
          <w:szCs w:val="24"/>
          <w:lang w:val="pl-PL"/>
        </w:rPr>
        <w:t xml:space="preserve">ostaje czynnik społeczny – </w:t>
      </w:r>
      <w:r w:rsidRPr="00AF7601">
        <w:rPr>
          <w:rFonts w:ascii="Segoe UI" w:hAnsi="Segoe UI" w:cs="Segoe UI"/>
          <w:b/>
          <w:sz w:val="24"/>
          <w:szCs w:val="24"/>
          <w:lang w:val="pl-PL"/>
        </w:rPr>
        <w:t xml:space="preserve">tak jak dzieje się to </w:t>
      </w:r>
      <w:r w:rsidRPr="00AF7601">
        <w:rPr>
          <w:rFonts w:ascii="Segoe UI" w:hAnsi="Segoe UI" w:cs="Segoe UI"/>
          <w:b/>
          <w:sz w:val="24"/>
          <w:szCs w:val="24"/>
          <w:u w:val="single"/>
          <w:lang w:val="pl-PL"/>
        </w:rPr>
        <w:t>w Anglii i w Walii</w:t>
      </w:r>
      <w:r w:rsidR="00AF7601">
        <w:rPr>
          <w:rFonts w:ascii="Segoe UI" w:hAnsi="Segoe UI" w:cs="Segoe UI"/>
          <w:sz w:val="24"/>
          <w:szCs w:val="24"/>
          <w:lang w:val="pl-PL"/>
        </w:rPr>
        <w:t>, gdzie sądy dyscyplinarne orzekają w składzie złożony w połowie z nie prawników. Zapewnia to że naruszenie godności urzędu sędziowskiego zostanie ocenione nie tylko wśród kolegów, którzy mogą przymknąć oko na niektóre zachowania. Trzeba przy tym podkreślić, że Minister Sprawiedliwości może mieć wpływ jedynie na postępowanie przygotowawcze – ostateczny wyrok wydany zostanie zawsze w składzie złożonym albo w większości, albo wyłącznie z sędziów.</w:t>
      </w:r>
    </w:p>
    <w:p w:rsidR="00AF7601" w:rsidRPr="00AF7601" w:rsidRDefault="00AF7601" w:rsidP="00AF7601">
      <w:pPr>
        <w:pStyle w:val="Akapitzlist"/>
        <w:numPr>
          <w:ilvl w:val="1"/>
          <w:numId w:val="21"/>
        </w:numPr>
        <w:spacing w:after="120" w:line="288" w:lineRule="auto"/>
        <w:contextualSpacing w:val="0"/>
        <w:jc w:val="both"/>
        <w:rPr>
          <w:rFonts w:ascii="Segoe UI" w:hAnsi="Segoe UI" w:cs="Segoe UI"/>
          <w:b/>
          <w:sz w:val="24"/>
          <w:szCs w:val="24"/>
          <w:lang w:val="pl-PL"/>
        </w:rPr>
      </w:pPr>
      <w:r w:rsidRPr="00AF7601">
        <w:rPr>
          <w:rFonts w:ascii="Segoe UI" w:hAnsi="Segoe UI" w:cs="Segoe UI"/>
          <w:b/>
          <w:sz w:val="24"/>
          <w:szCs w:val="24"/>
          <w:lang w:val="pl-PL"/>
        </w:rPr>
        <w:t xml:space="preserve">“Sędziowie na próbę” orzekają </w:t>
      </w:r>
      <w:r w:rsidRPr="00AF7601">
        <w:rPr>
          <w:rFonts w:ascii="Segoe UI" w:hAnsi="Segoe UI" w:cs="Segoe UI"/>
          <w:b/>
          <w:sz w:val="24"/>
          <w:szCs w:val="24"/>
          <w:u w:val="single"/>
          <w:lang w:val="pl-PL"/>
        </w:rPr>
        <w:t>w</w:t>
      </w:r>
      <w:r>
        <w:rPr>
          <w:rFonts w:ascii="Segoe UI" w:hAnsi="Segoe UI" w:cs="Segoe UI"/>
          <w:b/>
          <w:sz w:val="24"/>
          <w:szCs w:val="24"/>
          <w:u w:val="single"/>
          <w:lang w:val="pl-PL"/>
        </w:rPr>
        <w:t xml:space="preserve"> Niemczech</w:t>
      </w:r>
      <w:r>
        <w:rPr>
          <w:rFonts w:ascii="Segoe UI" w:hAnsi="Segoe UI" w:cs="Segoe UI"/>
          <w:sz w:val="24"/>
          <w:szCs w:val="24"/>
          <w:lang w:val="pl-PL"/>
        </w:rPr>
        <w:t>; ich niezawisłość jest nawet mniej chroniona niż niezawisłość ich polskich odpowiedników, tj.</w:t>
      </w:r>
      <w:r w:rsidR="00577646">
        <w:rPr>
          <w:rFonts w:ascii="Segoe UI" w:hAnsi="Segoe UI" w:cs="Segoe UI"/>
          <w:sz w:val="24"/>
          <w:szCs w:val="24"/>
          <w:lang w:val="pl-PL"/>
        </w:rPr>
        <w:t> </w:t>
      </w:r>
      <w:r>
        <w:rPr>
          <w:rFonts w:ascii="Segoe UI" w:hAnsi="Segoe UI" w:cs="Segoe UI"/>
          <w:sz w:val="24"/>
          <w:szCs w:val="24"/>
          <w:lang w:val="pl-PL"/>
        </w:rPr>
        <w:t xml:space="preserve">asesorów (w Niemczech „sędziowie na próbę” mogą zostać odwołani – w Polsce odwołanie asesora jest niemożliwe) – ale </w:t>
      </w:r>
      <w:r w:rsidRPr="00AF7601">
        <w:rPr>
          <w:rFonts w:ascii="Segoe UI" w:hAnsi="Segoe UI" w:cs="Segoe UI"/>
          <w:b/>
          <w:sz w:val="24"/>
          <w:szCs w:val="24"/>
          <w:lang w:val="pl-PL"/>
        </w:rPr>
        <w:t>nawet taki poziom ochrony został uznany za wystarczający przez Europejską Komisję Praw Człowieka</w:t>
      </w:r>
      <w:r>
        <w:rPr>
          <w:rFonts w:ascii="Segoe UI" w:hAnsi="Segoe UI" w:cs="Segoe UI"/>
          <w:sz w:val="24"/>
          <w:szCs w:val="24"/>
          <w:lang w:val="pl-PL"/>
        </w:rPr>
        <w:t>.</w:t>
      </w:r>
    </w:p>
    <w:p w:rsidR="00111A6A" w:rsidRPr="00AF7601" w:rsidRDefault="00AF7601" w:rsidP="00AF7601">
      <w:pPr>
        <w:pStyle w:val="Akapitzlist"/>
        <w:numPr>
          <w:ilvl w:val="0"/>
          <w:numId w:val="21"/>
        </w:numPr>
        <w:spacing w:after="120" w:line="288" w:lineRule="auto"/>
        <w:ind w:hanging="720"/>
        <w:contextualSpacing w:val="0"/>
        <w:jc w:val="both"/>
        <w:rPr>
          <w:rFonts w:ascii="Segoe UI" w:eastAsia="Times New Roman" w:hAnsi="Segoe UI" w:cs="Segoe UI"/>
          <w:b/>
          <w:sz w:val="24"/>
          <w:szCs w:val="24"/>
          <w:lang w:val="pl-PL"/>
        </w:rPr>
      </w:pPr>
      <w:r w:rsidRPr="00AF7601">
        <w:rPr>
          <w:rFonts w:ascii="Segoe UI" w:eastAsia="Times New Roman" w:hAnsi="Segoe UI" w:cs="Segoe UI"/>
          <w:b/>
          <w:sz w:val="24"/>
          <w:szCs w:val="24"/>
          <w:u w:val="single"/>
          <w:lang w:val="pl-PL"/>
        </w:rPr>
        <w:t>Reforma jest głębsza</w:t>
      </w:r>
      <w:r w:rsidR="00BE6BC6" w:rsidRPr="00AF7601">
        <w:rPr>
          <w:rFonts w:ascii="Segoe UI" w:eastAsia="Times New Roman" w:hAnsi="Segoe UI" w:cs="Segoe UI"/>
          <w:sz w:val="24"/>
          <w:szCs w:val="24"/>
          <w:lang w:val="pl-PL"/>
        </w:rPr>
        <w:t xml:space="preserve">. </w:t>
      </w:r>
      <w:r w:rsidRPr="00AF7601">
        <w:rPr>
          <w:rFonts w:ascii="Segoe UI" w:eastAsia="Times New Roman" w:hAnsi="Segoe UI" w:cs="Segoe UI"/>
          <w:sz w:val="24"/>
          <w:szCs w:val="24"/>
          <w:lang w:val="pl-PL"/>
        </w:rPr>
        <w:t xml:space="preserve">Komisja </w:t>
      </w:r>
      <w:r>
        <w:rPr>
          <w:rFonts w:ascii="Segoe UI" w:eastAsia="Times New Roman" w:hAnsi="Segoe UI" w:cs="Segoe UI"/>
          <w:sz w:val="24"/>
          <w:szCs w:val="24"/>
          <w:lang w:val="pl-PL"/>
        </w:rPr>
        <w:t xml:space="preserve">Europejska </w:t>
      </w:r>
      <w:r w:rsidRPr="00AF7601">
        <w:rPr>
          <w:rFonts w:ascii="Segoe UI" w:eastAsia="Times New Roman" w:hAnsi="Segoe UI" w:cs="Segoe UI"/>
          <w:sz w:val="24"/>
          <w:szCs w:val="24"/>
          <w:lang w:val="pl-PL"/>
        </w:rPr>
        <w:t>– sama zarzucając Polsce, że</w:t>
      </w:r>
      <w:r>
        <w:rPr>
          <w:rFonts w:ascii="Segoe UI" w:eastAsia="Times New Roman" w:hAnsi="Segoe UI" w:cs="Segoe UI"/>
          <w:sz w:val="24"/>
          <w:szCs w:val="24"/>
          <w:lang w:val="pl-PL"/>
        </w:rPr>
        <w:t> </w:t>
      </w:r>
      <w:r w:rsidRPr="00AF7601">
        <w:rPr>
          <w:rFonts w:ascii="Segoe UI" w:eastAsia="Times New Roman" w:hAnsi="Segoe UI" w:cs="Segoe UI"/>
          <w:sz w:val="24"/>
          <w:szCs w:val="24"/>
          <w:lang w:val="pl-PL"/>
        </w:rPr>
        <w:t>w</w:t>
      </w:r>
      <w:r>
        <w:rPr>
          <w:rFonts w:ascii="Segoe UI" w:eastAsia="Times New Roman" w:hAnsi="Segoe UI" w:cs="Segoe UI"/>
          <w:sz w:val="24"/>
          <w:szCs w:val="24"/>
          <w:lang w:val="pl-PL"/>
        </w:rPr>
        <w:t> </w:t>
      </w:r>
      <w:r w:rsidRPr="00AF7601">
        <w:rPr>
          <w:rFonts w:ascii="Segoe UI" w:eastAsia="Times New Roman" w:hAnsi="Segoe UI" w:cs="Segoe UI"/>
          <w:sz w:val="24"/>
          <w:szCs w:val="24"/>
          <w:lang w:val="pl-PL"/>
        </w:rPr>
        <w:t xml:space="preserve">sposób dowolny wybiera sobie elementy różnych systemów prawnych </w:t>
      </w:r>
      <w:r w:rsidRPr="00AF7601">
        <w:rPr>
          <w:rFonts w:ascii="Segoe UI" w:eastAsia="Times New Roman" w:hAnsi="Segoe UI" w:cs="Segoe UI"/>
          <w:sz w:val="24"/>
          <w:szCs w:val="24"/>
          <w:lang w:val="pl-PL"/>
        </w:rPr>
        <w:lastRenderedPageBreak/>
        <w:t>i</w:t>
      </w:r>
      <w:r>
        <w:rPr>
          <w:rFonts w:ascii="Segoe UI" w:eastAsia="Times New Roman" w:hAnsi="Segoe UI" w:cs="Segoe UI"/>
          <w:sz w:val="24"/>
          <w:szCs w:val="24"/>
          <w:lang w:val="pl-PL"/>
        </w:rPr>
        <w:t> </w:t>
      </w:r>
      <w:r w:rsidRPr="00AF7601">
        <w:rPr>
          <w:rFonts w:ascii="Segoe UI" w:eastAsia="Times New Roman" w:hAnsi="Segoe UI" w:cs="Segoe UI"/>
          <w:sz w:val="24"/>
          <w:szCs w:val="24"/>
          <w:lang w:val="pl-PL"/>
        </w:rPr>
        <w:t>łączy je w jeden, sama pomija znaczną część rozwiązań które albo funkcjonują w naszym kraju od dawna, albo zostały wprowadzone wraz z</w:t>
      </w:r>
      <w:r>
        <w:rPr>
          <w:rFonts w:ascii="Segoe UI" w:eastAsia="Times New Roman" w:hAnsi="Segoe UI" w:cs="Segoe UI"/>
          <w:sz w:val="24"/>
          <w:szCs w:val="24"/>
          <w:lang w:val="pl-PL"/>
        </w:rPr>
        <w:t> </w:t>
      </w:r>
      <w:r w:rsidRPr="00AF7601">
        <w:rPr>
          <w:rFonts w:ascii="Segoe UI" w:eastAsia="Times New Roman" w:hAnsi="Segoe UI" w:cs="Segoe UI"/>
          <w:sz w:val="24"/>
          <w:szCs w:val="24"/>
          <w:lang w:val="pl-PL"/>
        </w:rPr>
        <w:t>ostatnimi zmiana</w:t>
      </w:r>
      <w:r w:rsidR="002D339A" w:rsidRPr="00AF7601">
        <w:rPr>
          <w:rFonts w:ascii="Segoe UI" w:eastAsia="Times New Roman" w:hAnsi="Segoe UI" w:cs="Segoe UI"/>
          <w:sz w:val="24"/>
          <w:szCs w:val="24"/>
          <w:lang w:val="pl-PL"/>
        </w:rPr>
        <w:t xml:space="preserve">. </w:t>
      </w:r>
      <w:r w:rsidRPr="00AF7601">
        <w:rPr>
          <w:rFonts w:ascii="Segoe UI" w:eastAsia="Times New Roman" w:hAnsi="Segoe UI" w:cs="Segoe UI"/>
          <w:sz w:val="24"/>
          <w:szCs w:val="24"/>
          <w:lang w:val="pl-PL"/>
        </w:rPr>
        <w:t>Ty</w:t>
      </w:r>
      <w:r>
        <w:rPr>
          <w:rFonts w:ascii="Segoe UI" w:eastAsia="Times New Roman" w:hAnsi="Segoe UI" w:cs="Segoe UI"/>
          <w:sz w:val="24"/>
          <w:szCs w:val="24"/>
          <w:lang w:val="pl-PL"/>
        </w:rPr>
        <w:t xml:space="preserve">m samym </w:t>
      </w:r>
      <w:r w:rsidRPr="00AF7601">
        <w:rPr>
          <w:rFonts w:ascii="Segoe UI" w:eastAsia="Times New Roman" w:hAnsi="Segoe UI" w:cs="Segoe UI"/>
          <w:sz w:val="24"/>
          <w:szCs w:val="24"/>
          <w:lang w:val="pl-PL"/>
        </w:rPr>
        <w:t>Komisja – zarzucając Polsce wybiórczość – w</w:t>
      </w:r>
      <w:r>
        <w:rPr>
          <w:rFonts w:ascii="Segoe UI" w:eastAsia="Times New Roman" w:hAnsi="Segoe UI" w:cs="Segoe UI"/>
          <w:sz w:val="24"/>
          <w:szCs w:val="24"/>
          <w:lang w:val="pl-PL"/>
        </w:rPr>
        <w:t> </w:t>
      </w:r>
      <w:r w:rsidRPr="00AF7601">
        <w:rPr>
          <w:rFonts w:ascii="Segoe UI" w:eastAsia="Times New Roman" w:hAnsi="Segoe UI" w:cs="Segoe UI"/>
          <w:sz w:val="24"/>
          <w:szCs w:val="24"/>
          <w:lang w:val="pl-PL"/>
        </w:rPr>
        <w:t>rzeczywistości sama się jej dopuszcza, ignorując te elementy naszego systemu prawnego, które zapewniają sędziom należyte gwarancje niezawisłości i czynią obawy o zagrożenie praworządności bezpodstawnymi</w:t>
      </w:r>
      <w:r w:rsidR="00111A6A" w:rsidRPr="00AF7601">
        <w:rPr>
          <w:rFonts w:ascii="Segoe UI" w:eastAsia="Times New Roman" w:hAnsi="Segoe UI" w:cs="Segoe UI"/>
          <w:sz w:val="24"/>
          <w:szCs w:val="24"/>
          <w:lang w:val="pl-PL"/>
        </w:rPr>
        <w:t>.</w:t>
      </w:r>
    </w:p>
    <w:p w:rsidR="00AF7601" w:rsidRPr="00AF7601" w:rsidRDefault="00AF7601"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AF7601">
        <w:rPr>
          <w:rFonts w:ascii="Segoe UI" w:eastAsia="Times New Roman" w:hAnsi="Segoe UI" w:cs="Segoe UI"/>
          <w:b/>
          <w:sz w:val="24"/>
          <w:szCs w:val="24"/>
          <w:u w:val="single"/>
          <w:lang w:val="pl-PL"/>
        </w:rPr>
        <w:t>Niezbędne jest szerokie spojrzenie na system</w:t>
      </w:r>
      <w:r w:rsidR="00111A6A" w:rsidRPr="00AF7601">
        <w:rPr>
          <w:rFonts w:ascii="Segoe UI" w:eastAsia="Times New Roman" w:hAnsi="Segoe UI" w:cs="Segoe UI"/>
          <w:sz w:val="24"/>
          <w:szCs w:val="24"/>
          <w:lang w:val="pl-PL"/>
        </w:rPr>
        <w:t xml:space="preserve">. </w:t>
      </w:r>
      <w:r w:rsidRPr="00AF7601">
        <w:rPr>
          <w:rFonts w:ascii="Segoe UI" w:eastAsia="Times New Roman" w:hAnsi="Segoe UI" w:cs="Segoe UI"/>
          <w:sz w:val="24"/>
          <w:szCs w:val="24"/>
          <w:lang w:val="pl-PL"/>
        </w:rPr>
        <w:t>W Polsce już obecnie immunitet sędziowski jest bardzo szeroki, kandydaci na sędziów wskazywani są wyłącznie spośród osób rekomendowanych przez środowisko, a ka</w:t>
      </w:r>
      <w:r>
        <w:rPr>
          <w:rFonts w:ascii="Segoe UI" w:eastAsia="Times New Roman" w:hAnsi="Segoe UI" w:cs="Segoe UI"/>
          <w:sz w:val="24"/>
          <w:szCs w:val="24"/>
          <w:lang w:val="pl-PL"/>
        </w:rPr>
        <w:t xml:space="preserve">żdy sędzia powołany jest dożywotnio. </w:t>
      </w:r>
      <w:r w:rsidRPr="00AF7601">
        <w:rPr>
          <w:rFonts w:ascii="Segoe UI" w:eastAsia="Times New Roman" w:hAnsi="Segoe UI" w:cs="Segoe UI"/>
          <w:sz w:val="24"/>
          <w:szCs w:val="24"/>
          <w:lang w:val="pl-PL"/>
        </w:rPr>
        <w:t xml:space="preserve">Obecnie wprowadzone są nowe gwarancje: losowy przydział spraw, zakaz przenoszenia sędziów między wydziałami sądów bez ich zgody, a także większy wpływ </w:t>
      </w:r>
      <w:r>
        <w:rPr>
          <w:rFonts w:ascii="Segoe UI" w:eastAsia="Times New Roman" w:hAnsi="Segoe UI" w:cs="Segoe UI"/>
          <w:sz w:val="24"/>
          <w:szCs w:val="24"/>
          <w:lang w:val="pl-PL"/>
        </w:rPr>
        <w:t>„</w:t>
      </w:r>
      <w:r w:rsidRPr="00AF7601">
        <w:rPr>
          <w:rFonts w:ascii="Segoe UI" w:eastAsia="Times New Roman" w:hAnsi="Segoe UI" w:cs="Segoe UI"/>
          <w:sz w:val="24"/>
          <w:szCs w:val="24"/>
          <w:lang w:val="pl-PL"/>
        </w:rPr>
        <w:t>liniowych</w:t>
      </w:r>
      <w:r>
        <w:rPr>
          <w:rFonts w:ascii="Segoe UI" w:eastAsia="Times New Roman" w:hAnsi="Segoe UI" w:cs="Segoe UI"/>
          <w:sz w:val="24"/>
          <w:szCs w:val="24"/>
          <w:lang w:val="pl-PL"/>
        </w:rPr>
        <w:t>” sędziów na obsadę KRS.</w:t>
      </w:r>
    </w:p>
    <w:p w:rsidR="00AF7601" w:rsidRPr="00AF7601" w:rsidRDefault="00AF7601"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t>Losowy przydział spraw</w:t>
      </w:r>
      <w:r w:rsidR="00BE6BC6" w:rsidRPr="00C33782">
        <w:rPr>
          <w:rFonts w:ascii="Segoe UI" w:eastAsia="Times New Roman" w:hAnsi="Segoe UI" w:cs="Segoe UI"/>
          <w:sz w:val="24"/>
          <w:szCs w:val="24"/>
          <w:lang w:val="pl-PL"/>
        </w:rPr>
        <w:t xml:space="preserve">. </w:t>
      </w:r>
      <w:r w:rsidRPr="00AF7601">
        <w:rPr>
          <w:rFonts w:ascii="Segoe UI" w:eastAsia="Times New Roman" w:hAnsi="Segoe UI" w:cs="Segoe UI"/>
          <w:sz w:val="24"/>
          <w:szCs w:val="24"/>
          <w:lang w:val="pl-PL"/>
        </w:rPr>
        <w:t xml:space="preserve">Do tej pory to przewodniczący wydziałów decydowali o przydziale. Prowadziło to do potencjalnej presji </w:t>
      </w:r>
      <w:r w:rsidR="00577646">
        <w:rPr>
          <w:rFonts w:ascii="Segoe UI" w:eastAsia="Times New Roman" w:hAnsi="Segoe UI" w:cs="Segoe UI"/>
          <w:sz w:val="24"/>
          <w:szCs w:val="24"/>
          <w:lang w:val="pl-PL"/>
        </w:rPr>
        <w:t>i</w:t>
      </w:r>
      <w:r w:rsidRPr="00AF7601">
        <w:rPr>
          <w:rFonts w:ascii="Segoe UI" w:eastAsia="Times New Roman" w:hAnsi="Segoe UI" w:cs="Segoe UI"/>
          <w:sz w:val="24"/>
          <w:szCs w:val="24"/>
          <w:lang w:val="pl-PL"/>
        </w:rPr>
        <w:t xml:space="preserve"> możliwości manipulowania składem orzekającym w niektórych </w:t>
      </w:r>
      <w:r>
        <w:rPr>
          <w:rFonts w:ascii="Segoe UI" w:eastAsia="Times New Roman" w:hAnsi="Segoe UI" w:cs="Segoe UI"/>
          <w:sz w:val="24"/>
          <w:szCs w:val="24"/>
          <w:lang w:val="pl-PL"/>
        </w:rPr>
        <w:t>„wrażliwych”</w:t>
      </w:r>
      <w:r w:rsidRPr="00AF7601">
        <w:rPr>
          <w:rFonts w:ascii="Segoe UI" w:eastAsia="Times New Roman" w:hAnsi="Segoe UI" w:cs="Segoe UI"/>
          <w:sz w:val="24"/>
          <w:szCs w:val="24"/>
          <w:lang w:val="pl-PL"/>
        </w:rPr>
        <w:t xml:space="preserve"> s</w:t>
      </w:r>
      <w:r>
        <w:rPr>
          <w:rFonts w:ascii="Segoe UI" w:eastAsia="Times New Roman" w:hAnsi="Segoe UI" w:cs="Segoe UI"/>
          <w:sz w:val="24"/>
          <w:szCs w:val="24"/>
          <w:lang w:val="pl-PL"/>
        </w:rPr>
        <w:t>prawach. Reforma to zmienia – obecnie decyduje komputerowy system, biorący pod uwagę specjalizację sędziego i obciążenie pracą.</w:t>
      </w:r>
    </w:p>
    <w:p w:rsidR="00111A6A" w:rsidRPr="004E2875" w:rsidRDefault="00AF7601"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t>Zakaz przenoszenia</w:t>
      </w:r>
      <w:r w:rsidR="00111A6A" w:rsidRPr="00C33782">
        <w:rPr>
          <w:rFonts w:ascii="Segoe UI" w:eastAsia="Times New Roman" w:hAnsi="Segoe UI" w:cs="Segoe UI"/>
          <w:sz w:val="24"/>
          <w:szCs w:val="24"/>
          <w:lang w:val="pl-PL"/>
        </w:rPr>
        <w:t xml:space="preserve">. </w:t>
      </w:r>
      <w:r w:rsidRPr="00AF7601">
        <w:rPr>
          <w:rFonts w:ascii="Segoe UI" w:eastAsia="Times New Roman" w:hAnsi="Segoe UI" w:cs="Segoe UI"/>
          <w:sz w:val="24"/>
          <w:szCs w:val="24"/>
          <w:lang w:val="pl-PL"/>
        </w:rPr>
        <w:t xml:space="preserve">Prezesi sądów mogli arbitralnie przenosić sędziów między wydziałami, jeśli tylko </w:t>
      </w:r>
      <w:r w:rsidR="004678EB" w:rsidRPr="00AF7601">
        <w:rPr>
          <w:rFonts w:ascii="Segoe UI" w:eastAsia="Times New Roman" w:hAnsi="Segoe UI" w:cs="Segoe UI"/>
          <w:sz w:val="24"/>
          <w:szCs w:val="24"/>
          <w:lang w:val="pl-PL"/>
        </w:rPr>
        <w:t>uznali,</w:t>
      </w:r>
      <w:r w:rsidRPr="00AF7601">
        <w:rPr>
          <w:rFonts w:ascii="Segoe UI" w:eastAsia="Times New Roman" w:hAnsi="Segoe UI" w:cs="Segoe UI"/>
          <w:sz w:val="24"/>
          <w:szCs w:val="24"/>
          <w:lang w:val="pl-PL"/>
        </w:rPr>
        <w:t xml:space="preserve"> że wymagają tego potrzeby sądu. </w:t>
      </w:r>
      <w:r w:rsidRPr="00C33782">
        <w:rPr>
          <w:rFonts w:ascii="Segoe UI" w:eastAsia="Times New Roman" w:hAnsi="Segoe UI" w:cs="Segoe UI"/>
          <w:sz w:val="24"/>
          <w:szCs w:val="24"/>
          <w:lang w:val="pl-PL"/>
        </w:rPr>
        <w:t>Przepisy wprowadzone ostatnią reformą wprost tego zakazują</w:t>
      </w:r>
      <w:r w:rsidR="004E2875" w:rsidRPr="00C33782">
        <w:rPr>
          <w:rFonts w:ascii="Segoe UI" w:eastAsia="Times New Roman" w:hAnsi="Segoe UI" w:cs="Segoe UI"/>
          <w:sz w:val="24"/>
          <w:szCs w:val="24"/>
          <w:lang w:val="pl-PL"/>
        </w:rPr>
        <w:t xml:space="preserve">. </w:t>
      </w:r>
      <w:r w:rsidR="004E2875" w:rsidRPr="004E2875">
        <w:rPr>
          <w:rFonts w:ascii="Segoe UI" w:eastAsia="Times New Roman" w:hAnsi="Segoe UI" w:cs="Segoe UI"/>
          <w:sz w:val="24"/>
          <w:szCs w:val="24"/>
          <w:lang w:val="pl-PL"/>
        </w:rPr>
        <w:t>Obecnie sędziowie mogą bez swojej zgody zostać przeniesieni jedynie w wyjątkowych sytuacjach, zawsze przysługuje im też prawo do odwołania się od decyzji.</w:t>
      </w:r>
      <w:r w:rsidR="00111A6A" w:rsidRPr="004E2875">
        <w:rPr>
          <w:rFonts w:ascii="Segoe UI" w:eastAsia="Times New Roman" w:hAnsi="Segoe UI" w:cs="Segoe UI"/>
          <w:sz w:val="24"/>
          <w:szCs w:val="24"/>
          <w:lang w:val="pl-PL"/>
        </w:rPr>
        <w:t xml:space="preserve"> </w:t>
      </w:r>
    </w:p>
    <w:p w:rsidR="00111A6A" w:rsidRPr="004E2875" w:rsidRDefault="004E2875"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t>Zwiększenie niezawisłości indywidualnych sędziów</w:t>
      </w:r>
      <w:r w:rsidR="00111A6A" w:rsidRPr="00C33782">
        <w:rPr>
          <w:rFonts w:ascii="Segoe UI" w:eastAsia="Times New Roman" w:hAnsi="Segoe UI" w:cs="Segoe UI"/>
          <w:sz w:val="24"/>
          <w:szCs w:val="24"/>
          <w:lang w:val="pl-PL"/>
        </w:rPr>
        <w:t xml:space="preserve">. </w:t>
      </w:r>
      <w:r w:rsidRPr="004E2875">
        <w:rPr>
          <w:rFonts w:ascii="Segoe UI" w:eastAsia="Times New Roman" w:hAnsi="Segoe UI" w:cs="Segoe UI"/>
          <w:sz w:val="24"/>
          <w:szCs w:val="24"/>
          <w:lang w:val="pl-PL"/>
        </w:rPr>
        <w:t>Komisja Wenecka zawsze wskazywała, że niezawisłość ma dwa wymiary zewnętrzny (od innych wł</w:t>
      </w:r>
      <w:r>
        <w:rPr>
          <w:rFonts w:ascii="Segoe UI" w:eastAsia="Times New Roman" w:hAnsi="Segoe UI" w:cs="Segoe UI"/>
          <w:sz w:val="24"/>
          <w:szCs w:val="24"/>
          <w:lang w:val="pl-PL"/>
        </w:rPr>
        <w:t>a</w:t>
      </w:r>
      <w:r w:rsidRPr="004E2875">
        <w:rPr>
          <w:rFonts w:ascii="Segoe UI" w:eastAsia="Times New Roman" w:hAnsi="Segoe UI" w:cs="Segoe UI"/>
          <w:sz w:val="24"/>
          <w:szCs w:val="24"/>
          <w:lang w:val="pl-PL"/>
        </w:rPr>
        <w:t xml:space="preserve">dz) </w:t>
      </w:r>
      <w:r w:rsidR="00577646">
        <w:rPr>
          <w:rFonts w:ascii="Segoe UI" w:eastAsia="Times New Roman" w:hAnsi="Segoe UI" w:cs="Segoe UI"/>
          <w:sz w:val="24"/>
          <w:szCs w:val="24"/>
          <w:lang w:val="pl-PL"/>
        </w:rPr>
        <w:t>i</w:t>
      </w:r>
      <w:r w:rsidRPr="004E2875">
        <w:rPr>
          <w:rFonts w:ascii="Segoe UI" w:eastAsia="Times New Roman" w:hAnsi="Segoe UI" w:cs="Segoe UI"/>
          <w:sz w:val="24"/>
          <w:szCs w:val="24"/>
          <w:lang w:val="pl-PL"/>
        </w:rPr>
        <w:t xml:space="preserve"> wewnętrzny (od innych przedstawicieli sądownictwa). Polskie reform wzmacniają oba te aspekty: potencjalny nacisk prezesa sądu czy przewodniczącego wydziału na sędziego zmniejszył się, bo nie istnieje już groźba przeniesienia wbrew woli sędziego, czy nierównomiernego obcią</w:t>
      </w:r>
      <w:r>
        <w:rPr>
          <w:rFonts w:ascii="Segoe UI" w:eastAsia="Times New Roman" w:hAnsi="Segoe UI" w:cs="Segoe UI"/>
          <w:sz w:val="24"/>
          <w:szCs w:val="24"/>
          <w:lang w:val="pl-PL"/>
        </w:rPr>
        <w:t>żenia pracą.</w:t>
      </w:r>
    </w:p>
    <w:p w:rsidR="00111A6A" w:rsidRPr="004E2875" w:rsidRDefault="004E2875"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t>Niezawisłość zewnętrzna – również wzmocniona</w:t>
      </w:r>
      <w:r w:rsidR="00111A6A" w:rsidRPr="00C33782">
        <w:rPr>
          <w:rFonts w:ascii="Segoe UI" w:eastAsia="Times New Roman" w:hAnsi="Segoe UI" w:cs="Segoe UI"/>
          <w:sz w:val="24"/>
          <w:szCs w:val="24"/>
          <w:lang w:val="pl-PL"/>
        </w:rPr>
        <w:t xml:space="preserve">. </w:t>
      </w:r>
      <w:r w:rsidRPr="004E2875">
        <w:rPr>
          <w:rFonts w:ascii="Segoe UI" w:eastAsia="Times New Roman" w:hAnsi="Segoe UI" w:cs="Segoe UI"/>
          <w:sz w:val="24"/>
          <w:szCs w:val="24"/>
          <w:lang w:val="pl-PL"/>
        </w:rPr>
        <w:t xml:space="preserve">Ponieważ przewodniczący wydziałów powoływania są przez </w:t>
      </w:r>
      <w:r w:rsidR="004678EB" w:rsidRPr="004E2875">
        <w:rPr>
          <w:rFonts w:ascii="Segoe UI" w:eastAsia="Times New Roman" w:hAnsi="Segoe UI" w:cs="Segoe UI"/>
          <w:sz w:val="24"/>
          <w:szCs w:val="24"/>
          <w:lang w:val="pl-PL"/>
        </w:rPr>
        <w:t>prezesów</w:t>
      </w:r>
      <w:r w:rsidRPr="004E2875">
        <w:rPr>
          <w:rFonts w:ascii="Segoe UI" w:eastAsia="Times New Roman" w:hAnsi="Segoe UI" w:cs="Segoe UI"/>
          <w:sz w:val="24"/>
          <w:szCs w:val="24"/>
          <w:lang w:val="pl-PL"/>
        </w:rPr>
        <w:t xml:space="preserve"> sądów, a prezesi – przez </w:t>
      </w:r>
      <w:r w:rsidR="004678EB" w:rsidRPr="004E2875">
        <w:rPr>
          <w:rFonts w:ascii="Segoe UI" w:eastAsia="Times New Roman" w:hAnsi="Segoe UI" w:cs="Segoe UI"/>
          <w:sz w:val="24"/>
          <w:szCs w:val="24"/>
          <w:lang w:val="pl-PL"/>
        </w:rPr>
        <w:t>Ministra</w:t>
      </w:r>
      <w:r w:rsidRPr="004E2875">
        <w:rPr>
          <w:rFonts w:ascii="Segoe UI" w:eastAsia="Times New Roman" w:hAnsi="Segoe UI" w:cs="Segoe UI"/>
          <w:sz w:val="24"/>
          <w:szCs w:val="24"/>
          <w:lang w:val="pl-PL"/>
        </w:rPr>
        <w:t xml:space="preserve"> Sprawiedliwości, zwiększenie podatności indywidualnych sędziów na potencjalne naciski ze strony administracji sądowej przekłada się również na większą niezawisłość od władzy wykonawczej.</w:t>
      </w:r>
      <w:r>
        <w:rPr>
          <w:rFonts w:ascii="Segoe UI" w:eastAsia="Times New Roman" w:hAnsi="Segoe UI" w:cs="Segoe UI"/>
          <w:sz w:val="24"/>
          <w:szCs w:val="24"/>
          <w:lang w:val="pl-PL"/>
        </w:rPr>
        <w:t xml:space="preserve"> </w:t>
      </w:r>
      <w:r w:rsidRPr="004E2875">
        <w:rPr>
          <w:rFonts w:ascii="Segoe UI" w:eastAsia="Times New Roman" w:hAnsi="Segoe UI" w:cs="Segoe UI"/>
          <w:b/>
          <w:sz w:val="24"/>
          <w:szCs w:val="24"/>
          <w:lang w:val="pl-PL"/>
        </w:rPr>
        <w:t>Gdyby celem zmian było uzyskanie wpływu na to jakie orzeczenia zapadają w konkretnych sprawach, taka reforma nie miałaby sensu</w:t>
      </w:r>
      <w:r>
        <w:rPr>
          <w:rFonts w:ascii="Segoe UI" w:eastAsia="Times New Roman" w:hAnsi="Segoe UI" w:cs="Segoe UI"/>
          <w:sz w:val="24"/>
          <w:szCs w:val="24"/>
          <w:lang w:val="pl-PL"/>
        </w:rPr>
        <w:t>.</w:t>
      </w:r>
    </w:p>
    <w:p w:rsidR="00054245" w:rsidRPr="004E2875" w:rsidRDefault="004E2875"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lastRenderedPageBreak/>
        <w:t>Prezesi sądów nie wpływają na niezawisłość</w:t>
      </w:r>
      <w:r w:rsidRPr="00C33782">
        <w:rPr>
          <w:rFonts w:ascii="Segoe UI" w:eastAsia="Times New Roman" w:hAnsi="Segoe UI" w:cs="Segoe UI"/>
          <w:sz w:val="24"/>
          <w:szCs w:val="24"/>
          <w:lang w:val="pl-PL"/>
        </w:rPr>
        <w:t xml:space="preserve">. </w:t>
      </w:r>
      <w:r w:rsidRPr="004E2875">
        <w:rPr>
          <w:rFonts w:ascii="Segoe UI" w:eastAsia="Times New Roman" w:hAnsi="Segoe UI" w:cs="Segoe UI"/>
          <w:sz w:val="24"/>
          <w:szCs w:val="24"/>
          <w:lang w:val="pl-PL"/>
        </w:rPr>
        <w:t>Z opisanych wyżej powodów bezpodstawne jes</w:t>
      </w:r>
      <w:r>
        <w:rPr>
          <w:rFonts w:ascii="Segoe UI" w:eastAsia="Times New Roman" w:hAnsi="Segoe UI" w:cs="Segoe UI"/>
          <w:sz w:val="24"/>
          <w:szCs w:val="24"/>
          <w:lang w:val="pl-PL"/>
        </w:rPr>
        <w:t>t</w:t>
      </w:r>
      <w:r w:rsidRPr="004E2875">
        <w:rPr>
          <w:rFonts w:ascii="Segoe UI" w:eastAsia="Times New Roman" w:hAnsi="Segoe UI" w:cs="Segoe UI"/>
          <w:sz w:val="24"/>
          <w:szCs w:val="24"/>
          <w:lang w:val="pl-PL"/>
        </w:rPr>
        <w:t xml:space="preserve"> przekonanie, że uprawnienie Ministra Sprawiedliwości do powoływania </w:t>
      </w:r>
      <w:r w:rsidR="00577646">
        <w:rPr>
          <w:rFonts w:ascii="Segoe UI" w:eastAsia="Times New Roman" w:hAnsi="Segoe UI" w:cs="Segoe UI"/>
          <w:sz w:val="24"/>
          <w:szCs w:val="24"/>
          <w:lang w:val="pl-PL"/>
        </w:rPr>
        <w:t>i</w:t>
      </w:r>
      <w:r w:rsidRPr="004E2875">
        <w:rPr>
          <w:rFonts w:ascii="Segoe UI" w:eastAsia="Times New Roman" w:hAnsi="Segoe UI" w:cs="Segoe UI"/>
          <w:sz w:val="24"/>
          <w:szCs w:val="24"/>
          <w:lang w:val="pl-PL"/>
        </w:rPr>
        <w:t xml:space="preserve"> odwoływania prezesów sądów – </w:t>
      </w:r>
      <w:r w:rsidR="004678EB" w:rsidRPr="004E2875">
        <w:rPr>
          <w:rFonts w:ascii="Segoe UI" w:eastAsia="Times New Roman" w:hAnsi="Segoe UI" w:cs="Segoe UI"/>
          <w:sz w:val="24"/>
          <w:szCs w:val="24"/>
          <w:lang w:val="pl-PL"/>
        </w:rPr>
        <w:t>tj.</w:t>
      </w:r>
      <w:r w:rsidRPr="004E2875">
        <w:rPr>
          <w:rFonts w:ascii="Segoe UI" w:eastAsia="Times New Roman" w:hAnsi="Segoe UI" w:cs="Segoe UI"/>
          <w:sz w:val="24"/>
          <w:szCs w:val="24"/>
          <w:lang w:val="pl-PL"/>
        </w:rPr>
        <w:t xml:space="preserve"> działanie czysto administracyjne, bez wpływu na orzecznictwo </w:t>
      </w:r>
      <w:r>
        <w:rPr>
          <w:rFonts w:ascii="Segoe UI" w:eastAsia="Times New Roman" w:hAnsi="Segoe UI" w:cs="Segoe UI"/>
          <w:sz w:val="24"/>
          <w:szCs w:val="24"/>
          <w:lang w:val="pl-PL"/>
        </w:rPr>
        <w:t>–</w:t>
      </w:r>
      <w:r w:rsidRPr="004E2875">
        <w:rPr>
          <w:rFonts w:ascii="Segoe UI" w:eastAsia="Times New Roman" w:hAnsi="Segoe UI" w:cs="Segoe UI"/>
          <w:sz w:val="24"/>
          <w:szCs w:val="24"/>
          <w:lang w:val="pl-PL"/>
        </w:rPr>
        <w:t xml:space="preserve"> je</w:t>
      </w:r>
      <w:r>
        <w:rPr>
          <w:rFonts w:ascii="Segoe UI" w:eastAsia="Times New Roman" w:hAnsi="Segoe UI" w:cs="Segoe UI"/>
          <w:sz w:val="24"/>
          <w:szCs w:val="24"/>
          <w:lang w:val="pl-PL"/>
        </w:rPr>
        <w:t xml:space="preserve">st zagrożeniem dla praworządności. </w:t>
      </w:r>
      <w:r w:rsidRPr="004E2875">
        <w:rPr>
          <w:rFonts w:ascii="Segoe UI" w:eastAsia="Times New Roman" w:hAnsi="Segoe UI" w:cs="Segoe UI"/>
          <w:sz w:val="24"/>
          <w:szCs w:val="24"/>
          <w:lang w:val="pl-PL"/>
        </w:rPr>
        <w:t>Minister miał zresztą takie uprawnienie przez pierwszych 8 lat członk</w:t>
      </w:r>
      <w:r>
        <w:rPr>
          <w:rFonts w:ascii="Segoe UI" w:eastAsia="Times New Roman" w:hAnsi="Segoe UI" w:cs="Segoe UI"/>
          <w:sz w:val="24"/>
          <w:szCs w:val="24"/>
          <w:lang w:val="pl-PL"/>
        </w:rPr>
        <w:t>ostwa Polski w UE – i nie było ono nigdy kwestionowane. Co więcej, obecnie każde odwołanie prezesa sądu może być zablokowane przez KRS (i to wyłącznie głosami zasiadających tam sędziów)</w:t>
      </w:r>
    </w:p>
    <w:p w:rsidR="008D16BD" w:rsidRPr="00C33782" w:rsidRDefault="004E2875"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t>Proporcjonalne środki</w:t>
      </w:r>
      <w:r w:rsidR="00AC3D4D" w:rsidRPr="00C33782">
        <w:rPr>
          <w:rFonts w:ascii="Segoe UI" w:eastAsia="Times New Roman" w:hAnsi="Segoe UI" w:cs="Segoe UI"/>
          <w:sz w:val="24"/>
          <w:szCs w:val="24"/>
          <w:lang w:val="pl-PL"/>
        </w:rPr>
        <w:t xml:space="preserve">. </w:t>
      </w:r>
      <w:r w:rsidRPr="004E2875">
        <w:rPr>
          <w:rFonts w:ascii="Segoe UI" w:eastAsia="Times New Roman" w:hAnsi="Segoe UI" w:cs="Segoe UI"/>
          <w:sz w:val="24"/>
          <w:szCs w:val="24"/>
          <w:lang w:val="pl-PL"/>
        </w:rPr>
        <w:t xml:space="preserve">Narzędzie w postaci odwoływania i powoływania prezesów jest konieczne dla zapewnienie należytego funkcjonowania sądów. Przez ostatnie 6 miesięcy Minister skorzystał z niego dla odwołania jedynie ok. 18% prezesów i wiceprezesów sądów </w:t>
      </w:r>
      <w:r w:rsidR="00AC3D4D" w:rsidRPr="004E2875">
        <w:rPr>
          <w:rFonts w:ascii="Segoe UI" w:eastAsia="Times New Roman" w:hAnsi="Segoe UI" w:cs="Segoe UI"/>
          <w:sz w:val="24"/>
          <w:szCs w:val="24"/>
          <w:lang w:val="pl-PL"/>
        </w:rPr>
        <w:t xml:space="preserve">– </w:t>
      </w:r>
      <w:r w:rsidRPr="004E2875">
        <w:rPr>
          <w:rFonts w:ascii="Segoe UI" w:eastAsia="Times New Roman" w:hAnsi="Segoe UI" w:cs="Segoe UI"/>
          <w:sz w:val="24"/>
          <w:szCs w:val="24"/>
          <w:lang w:val="pl-PL"/>
        </w:rPr>
        <w:t>nie była to żadna “czystka” jak twierd</w:t>
      </w:r>
      <w:r>
        <w:rPr>
          <w:rFonts w:ascii="Segoe UI" w:eastAsia="Times New Roman" w:hAnsi="Segoe UI" w:cs="Segoe UI"/>
          <w:sz w:val="24"/>
          <w:szCs w:val="24"/>
          <w:lang w:val="pl-PL"/>
        </w:rPr>
        <w:t xml:space="preserve">zili niektórzy, ale adekwatny środek </w:t>
      </w:r>
      <w:r w:rsidR="008D16BD">
        <w:rPr>
          <w:rFonts w:ascii="Segoe UI" w:eastAsia="Times New Roman" w:hAnsi="Segoe UI" w:cs="Segoe UI"/>
          <w:sz w:val="24"/>
          <w:szCs w:val="24"/>
          <w:lang w:val="pl-PL"/>
        </w:rPr>
        <w:t>w reakcji na nieefektywność i inne nieprawidłowości w sądach.</w:t>
      </w:r>
    </w:p>
    <w:p w:rsidR="008D16BD" w:rsidRPr="00C33782" w:rsidRDefault="008D16BD"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8D16BD">
        <w:rPr>
          <w:rFonts w:ascii="Segoe UI" w:eastAsia="Times New Roman" w:hAnsi="Segoe UI" w:cs="Segoe UI"/>
          <w:b/>
          <w:sz w:val="24"/>
          <w:szCs w:val="24"/>
          <w:u w:val="single"/>
          <w:lang w:val="pl-PL"/>
        </w:rPr>
        <w:t>Kontrola konstytucyjności również działa prawidłowo</w:t>
      </w:r>
      <w:r w:rsidRPr="008D16BD">
        <w:rPr>
          <w:rFonts w:ascii="Segoe UI" w:eastAsia="Times New Roman" w:hAnsi="Segoe UI" w:cs="Segoe UI"/>
          <w:sz w:val="24"/>
          <w:szCs w:val="24"/>
          <w:lang w:val="pl-PL"/>
        </w:rPr>
        <w:t>. Wbrew licznym zarzutom, wszyscy sędziowie Trybunału Konstytucyjnego zostali wybrani zgodnie z</w:t>
      </w:r>
      <w:r>
        <w:rPr>
          <w:rFonts w:ascii="Segoe UI" w:eastAsia="Times New Roman" w:hAnsi="Segoe UI" w:cs="Segoe UI"/>
          <w:sz w:val="24"/>
          <w:szCs w:val="24"/>
          <w:lang w:val="pl-PL"/>
        </w:rPr>
        <w:t xml:space="preserve"> prawem</w:t>
      </w:r>
      <w:r w:rsidRPr="008D16BD">
        <w:rPr>
          <w:rFonts w:ascii="Segoe UI" w:eastAsia="Times New Roman" w:hAnsi="Segoe UI" w:cs="Segoe UI"/>
          <w:sz w:val="24"/>
          <w:szCs w:val="24"/>
          <w:lang w:val="pl-PL"/>
        </w:rPr>
        <w:t xml:space="preserve"> – a Trybunał działa prawidłowo</w:t>
      </w:r>
      <w:r>
        <w:rPr>
          <w:rFonts w:ascii="Segoe UI" w:eastAsia="Times New Roman" w:hAnsi="Segoe UI" w:cs="Segoe UI"/>
          <w:sz w:val="24"/>
          <w:szCs w:val="24"/>
          <w:lang w:val="pl-PL"/>
        </w:rPr>
        <w:t xml:space="preserve">. </w:t>
      </w:r>
      <w:r w:rsidRPr="008D16BD">
        <w:rPr>
          <w:rFonts w:ascii="Segoe UI" w:eastAsia="Times New Roman" w:hAnsi="Segoe UI" w:cs="Segoe UI"/>
          <w:sz w:val="24"/>
          <w:szCs w:val="24"/>
          <w:lang w:val="pl-PL"/>
        </w:rPr>
        <w:t>Nie ma nad nim kontroli politycznej – przepisy nie dają do tego jakichkolwie</w:t>
      </w:r>
      <w:r>
        <w:rPr>
          <w:rFonts w:ascii="Segoe UI" w:eastAsia="Times New Roman" w:hAnsi="Segoe UI" w:cs="Segoe UI"/>
          <w:sz w:val="24"/>
          <w:szCs w:val="24"/>
          <w:lang w:val="pl-PL"/>
        </w:rPr>
        <w:t xml:space="preserve">k narzędzi (gwarancje niezawisłości sędziów TK pozostają w zasadzie bez zmian). </w:t>
      </w:r>
      <w:r w:rsidRPr="008D16BD">
        <w:rPr>
          <w:rFonts w:ascii="Segoe UI" w:eastAsia="Times New Roman" w:hAnsi="Segoe UI" w:cs="Segoe UI"/>
          <w:sz w:val="24"/>
          <w:szCs w:val="24"/>
          <w:lang w:val="pl-PL"/>
        </w:rPr>
        <w:t>Co więcej, pod rządami obecnej prezes Trybunału sędziowie wybrani przed grudniem 2015 roku mieli większość w składach orze</w:t>
      </w:r>
      <w:r>
        <w:rPr>
          <w:rFonts w:ascii="Segoe UI" w:eastAsia="Times New Roman" w:hAnsi="Segoe UI" w:cs="Segoe UI"/>
          <w:sz w:val="24"/>
          <w:szCs w:val="24"/>
          <w:lang w:val="pl-PL"/>
        </w:rPr>
        <w:t>kających w ponad 40% spraw To znacząca poprawa w porównaniu do Trybunału kierowanego przez poprzedniego prezesa – który nigdy nie dopuścił do tego, by sędziowie wybrani w obecnej kadencji Sejmu mieli większość w składzie.</w:t>
      </w:r>
    </w:p>
    <w:p w:rsidR="006A1846" w:rsidRPr="00DC4174" w:rsidRDefault="008D16BD"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DC4174">
        <w:rPr>
          <w:rFonts w:ascii="Segoe UI" w:eastAsia="Times New Roman" w:hAnsi="Segoe UI" w:cs="Segoe UI"/>
          <w:b/>
          <w:sz w:val="24"/>
          <w:szCs w:val="24"/>
          <w:u w:val="single"/>
          <w:lang w:val="pl-PL"/>
        </w:rPr>
        <w:t>Sprawa braku publikacji wyroków nie ma znaczenia</w:t>
      </w:r>
      <w:r w:rsidR="00DC4174" w:rsidRPr="00DC4174">
        <w:rPr>
          <w:rFonts w:ascii="Segoe UI" w:eastAsia="Times New Roman" w:hAnsi="Segoe UI" w:cs="Segoe UI"/>
          <w:b/>
          <w:sz w:val="24"/>
          <w:szCs w:val="24"/>
          <w:u w:val="single"/>
          <w:lang w:val="pl-PL"/>
        </w:rPr>
        <w:t xml:space="preserve"> dla polskiego pr</w:t>
      </w:r>
      <w:r w:rsidR="00DC4174">
        <w:rPr>
          <w:rFonts w:ascii="Segoe UI" w:eastAsia="Times New Roman" w:hAnsi="Segoe UI" w:cs="Segoe UI"/>
          <w:b/>
          <w:sz w:val="24"/>
          <w:szCs w:val="24"/>
          <w:u w:val="single"/>
          <w:lang w:val="pl-PL"/>
        </w:rPr>
        <w:t>awa</w:t>
      </w:r>
      <w:r w:rsidRPr="00DC4174">
        <w:rPr>
          <w:rFonts w:ascii="Segoe UI" w:eastAsia="Times New Roman" w:hAnsi="Segoe UI" w:cs="Segoe UI"/>
          <w:sz w:val="24"/>
          <w:szCs w:val="24"/>
          <w:lang w:val="pl-PL"/>
        </w:rPr>
        <w:t xml:space="preserve">. </w:t>
      </w:r>
      <w:r w:rsidR="00DC4174" w:rsidRPr="004678EB">
        <w:rPr>
          <w:rFonts w:ascii="Segoe UI" w:eastAsia="Times New Roman" w:hAnsi="Segoe UI" w:cs="Segoe UI"/>
          <w:sz w:val="24"/>
          <w:szCs w:val="24"/>
          <w:lang w:val="pl-PL"/>
        </w:rPr>
        <w:t xml:space="preserve">Niemal wszystkie wyroki TK – nawet te wydane z naruszeniem procedur – zostały opublikowane; Sejm </w:t>
      </w:r>
      <w:r w:rsidR="004678EB" w:rsidRPr="004678EB">
        <w:rPr>
          <w:rFonts w:ascii="Segoe UI" w:eastAsia="Times New Roman" w:hAnsi="Segoe UI" w:cs="Segoe UI"/>
          <w:sz w:val="24"/>
          <w:szCs w:val="24"/>
          <w:lang w:val="pl-PL"/>
        </w:rPr>
        <w:t>uznał,</w:t>
      </w:r>
      <w:r w:rsidR="00DC4174" w:rsidRPr="004678EB">
        <w:rPr>
          <w:rFonts w:ascii="Segoe UI" w:eastAsia="Times New Roman" w:hAnsi="Segoe UI" w:cs="Segoe UI"/>
          <w:sz w:val="24"/>
          <w:szCs w:val="24"/>
          <w:lang w:val="pl-PL"/>
        </w:rPr>
        <w:t xml:space="preserve"> że przysłuży się to stabilności system</w:t>
      </w:r>
      <w:r w:rsidR="004678EB" w:rsidRPr="004678EB">
        <w:rPr>
          <w:rFonts w:ascii="Segoe UI" w:eastAsia="Times New Roman" w:hAnsi="Segoe UI" w:cs="Segoe UI"/>
          <w:sz w:val="24"/>
          <w:szCs w:val="24"/>
          <w:lang w:val="pl-PL"/>
        </w:rPr>
        <w:t>u</w:t>
      </w:r>
      <w:r w:rsidR="00DC4174" w:rsidRPr="004678EB">
        <w:rPr>
          <w:rFonts w:ascii="Segoe UI" w:eastAsia="Times New Roman" w:hAnsi="Segoe UI" w:cs="Segoe UI"/>
          <w:sz w:val="24"/>
          <w:szCs w:val="24"/>
          <w:lang w:val="pl-PL"/>
        </w:rPr>
        <w:t xml:space="preserve"> prawa. </w:t>
      </w:r>
      <w:r w:rsidR="00DC4174" w:rsidRPr="00DC4174">
        <w:rPr>
          <w:rFonts w:ascii="Segoe UI" w:eastAsia="Times New Roman" w:hAnsi="Segoe UI" w:cs="Segoe UI"/>
          <w:sz w:val="24"/>
          <w:szCs w:val="24"/>
          <w:lang w:val="pl-PL"/>
        </w:rPr>
        <w:t xml:space="preserve">Jedynie trzy takie wyroki – dotyczące ustaw które przestały już nie obowiązywać </w:t>
      </w:r>
      <w:r w:rsidR="00DC4174">
        <w:rPr>
          <w:rFonts w:ascii="Segoe UI" w:eastAsia="Times New Roman" w:hAnsi="Segoe UI" w:cs="Segoe UI"/>
          <w:sz w:val="24"/>
          <w:szCs w:val="24"/>
          <w:lang w:val="pl-PL"/>
        </w:rPr>
        <w:t>–</w:t>
      </w:r>
      <w:r w:rsidR="00DC4174" w:rsidRPr="00DC4174">
        <w:rPr>
          <w:rFonts w:ascii="Segoe UI" w:eastAsia="Times New Roman" w:hAnsi="Segoe UI" w:cs="Segoe UI"/>
          <w:sz w:val="24"/>
          <w:szCs w:val="24"/>
          <w:lang w:val="pl-PL"/>
        </w:rPr>
        <w:t xml:space="preserve"> opubliko</w:t>
      </w:r>
      <w:r w:rsidR="00DC4174">
        <w:rPr>
          <w:rFonts w:ascii="Segoe UI" w:eastAsia="Times New Roman" w:hAnsi="Segoe UI" w:cs="Segoe UI"/>
          <w:sz w:val="24"/>
          <w:szCs w:val="24"/>
          <w:lang w:val="pl-PL"/>
        </w:rPr>
        <w:t>wane nie zostały</w:t>
      </w:r>
      <w:r w:rsidR="006A1846" w:rsidRPr="00DC4174">
        <w:rPr>
          <w:rFonts w:ascii="Segoe UI" w:eastAsia="Times New Roman" w:hAnsi="Segoe UI" w:cs="Segoe UI"/>
          <w:sz w:val="24"/>
          <w:szCs w:val="24"/>
          <w:lang w:val="pl-PL"/>
        </w:rPr>
        <w:t>.</w:t>
      </w:r>
      <w:r w:rsidR="00DC4174">
        <w:rPr>
          <w:rFonts w:ascii="Segoe UI" w:eastAsia="Times New Roman" w:hAnsi="Segoe UI" w:cs="Segoe UI"/>
          <w:sz w:val="24"/>
          <w:szCs w:val="24"/>
          <w:lang w:val="pl-PL"/>
        </w:rPr>
        <w:t xml:space="preserve"> </w:t>
      </w:r>
      <w:r w:rsidR="00DC4174" w:rsidRPr="00DC4174">
        <w:rPr>
          <w:rFonts w:ascii="Segoe UI" w:eastAsia="Times New Roman" w:hAnsi="Segoe UI" w:cs="Segoe UI"/>
          <w:sz w:val="24"/>
          <w:szCs w:val="24"/>
          <w:lang w:val="pl-PL"/>
        </w:rPr>
        <w:t xml:space="preserve">Jedynym efektem wyroków TK jest usunięcie z obrotu prawnego niekonstytucyjnych przepisów; w tym przypadku przepisy te </w:t>
      </w:r>
      <w:r w:rsidR="00DC4174">
        <w:rPr>
          <w:rFonts w:ascii="Segoe UI" w:eastAsia="Times New Roman" w:hAnsi="Segoe UI" w:cs="Segoe UI"/>
          <w:sz w:val="24"/>
          <w:szCs w:val="24"/>
          <w:lang w:val="pl-PL"/>
        </w:rPr>
        <w:t xml:space="preserve">i tak już zostały z niego wycofane, więc publikacja niczego by nie zmieniła. </w:t>
      </w:r>
    </w:p>
    <w:p w:rsidR="00BE6BC6" w:rsidRPr="00DC4174" w:rsidRDefault="00DC4174"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t>Zmieniają się również procedury</w:t>
      </w:r>
      <w:r w:rsidR="00BE6BC6" w:rsidRPr="00C33782">
        <w:rPr>
          <w:rFonts w:ascii="Segoe UI" w:eastAsia="Times New Roman" w:hAnsi="Segoe UI" w:cs="Segoe UI"/>
          <w:sz w:val="24"/>
          <w:szCs w:val="24"/>
          <w:lang w:val="pl-PL"/>
        </w:rPr>
        <w:t xml:space="preserve">. </w:t>
      </w:r>
      <w:r w:rsidRPr="00DC4174">
        <w:rPr>
          <w:rFonts w:ascii="Segoe UI" w:eastAsia="Times New Roman" w:hAnsi="Segoe UI" w:cs="Segoe UI"/>
          <w:sz w:val="24"/>
          <w:szCs w:val="24"/>
          <w:lang w:val="pl-PL"/>
        </w:rPr>
        <w:t>Ważna reforma kodeksu postępowania cywilnego jest w tej chwili w fazie konsultacji społecznych. Jej założeniami jest zasadnicze przyspieszenie procedur, m.in. wprowadzony zostaje obowiązek organizacji całego postępowania na samym początku, tak aby strony ni</w:t>
      </w:r>
      <w:r>
        <w:rPr>
          <w:rFonts w:ascii="Segoe UI" w:eastAsia="Times New Roman" w:hAnsi="Segoe UI" w:cs="Segoe UI"/>
          <w:sz w:val="24"/>
          <w:szCs w:val="24"/>
          <w:lang w:val="pl-PL"/>
        </w:rPr>
        <w:t xml:space="preserve">e musiały miesiącami oczekiwać na kolejne rozprawy. </w:t>
      </w:r>
      <w:r w:rsidRPr="00DC4174">
        <w:rPr>
          <w:rFonts w:ascii="Segoe UI" w:eastAsia="Times New Roman" w:hAnsi="Segoe UI" w:cs="Segoe UI"/>
          <w:sz w:val="24"/>
          <w:szCs w:val="24"/>
          <w:lang w:val="pl-PL"/>
        </w:rPr>
        <w:t xml:space="preserve">W konsultacjach udział biorą przedstawiciele sądów, innych zawodów prawniczych </w:t>
      </w:r>
      <w:r w:rsidR="00577646">
        <w:rPr>
          <w:rFonts w:ascii="Segoe UI" w:eastAsia="Times New Roman" w:hAnsi="Segoe UI" w:cs="Segoe UI"/>
          <w:sz w:val="24"/>
          <w:szCs w:val="24"/>
          <w:lang w:val="pl-PL"/>
        </w:rPr>
        <w:t>i</w:t>
      </w:r>
      <w:r w:rsidRPr="00DC4174">
        <w:rPr>
          <w:rFonts w:ascii="Segoe UI" w:eastAsia="Times New Roman" w:hAnsi="Segoe UI" w:cs="Segoe UI"/>
          <w:sz w:val="24"/>
          <w:szCs w:val="24"/>
          <w:lang w:val="pl-PL"/>
        </w:rPr>
        <w:t xml:space="preserve"> organizacji </w:t>
      </w:r>
      <w:r w:rsidR="004678EB" w:rsidRPr="00DC4174">
        <w:rPr>
          <w:rFonts w:ascii="Segoe UI" w:eastAsia="Times New Roman" w:hAnsi="Segoe UI" w:cs="Segoe UI"/>
          <w:sz w:val="24"/>
          <w:szCs w:val="24"/>
          <w:lang w:val="pl-PL"/>
        </w:rPr>
        <w:lastRenderedPageBreak/>
        <w:t>społecznych</w:t>
      </w:r>
      <w:r w:rsidRPr="00DC4174">
        <w:rPr>
          <w:rFonts w:ascii="Segoe UI" w:eastAsia="Times New Roman" w:hAnsi="Segoe UI" w:cs="Segoe UI"/>
          <w:sz w:val="24"/>
          <w:szCs w:val="24"/>
          <w:lang w:val="pl-PL"/>
        </w:rPr>
        <w:t xml:space="preserve"> – proces legislacyjny jest otwarty dla wszystkich zainteresowanych a Ministerstwo Sprawiedliwości reaguje na sugestie (np.</w:t>
      </w:r>
      <w:r w:rsidR="00577646">
        <w:rPr>
          <w:rFonts w:ascii="Segoe UI" w:eastAsia="Times New Roman" w:hAnsi="Segoe UI" w:cs="Segoe UI"/>
          <w:sz w:val="24"/>
          <w:szCs w:val="24"/>
          <w:lang w:val="pl-PL"/>
        </w:rPr>
        <w:t> </w:t>
      </w:r>
      <w:r w:rsidRPr="00DC4174">
        <w:rPr>
          <w:rFonts w:ascii="Segoe UI" w:eastAsia="Times New Roman" w:hAnsi="Segoe UI" w:cs="Segoe UI"/>
          <w:sz w:val="24"/>
          <w:szCs w:val="24"/>
          <w:lang w:val="pl-PL"/>
        </w:rPr>
        <w:t>w</w:t>
      </w:r>
      <w:r w:rsidR="00577646">
        <w:rPr>
          <w:rFonts w:ascii="Segoe UI" w:eastAsia="Times New Roman" w:hAnsi="Segoe UI" w:cs="Segoe UI"/>
          <w:sz w:val="24"/>
          <w:szCs w:val="24"/>
          <w:lang w:val="pl-PL"/>
        </w:rPr>
        <w:t> </w:t>
      </w:r>
      <w:r w:rsidRPr="00DC4174">
        <w:rPr>
          <w:rFonts w:ascii="Segoe UI" w:eastAsia="Times New Roman" w:hAnsi="Segoe UI" w:cs="Segoe UI"/>
          <w:sz w:val="24"/>
          <w:szCs w:val="24"/>
          <w:lang w:val="pl-PL"/>
        </w:rPr>
        <w:t>sprawie zmian opłat sądowych).</w:t>
      </w:r>
      <w:r w:rsidR="00BE6BC6" w:rsidRPr="00DC4174">
        <w:rPr>
          <w:rFonts w:ascii="Segoe UI" w:eastAsia="Times New Roman" w:hAnsi="Segoe UI" w:cs="Segoe UI"/>
          <w:sz w:val="24"/>
          <w:szCs w:val="24"/>
          <w:lang w:val="pl-PL"/>
        </w:rPr>
        <w:t xml:space="preserve"> </w:t>
      </w:r>
    </w:p>
    <w:p w:rsidR="0031335B" w:rsidRPr="002A3777" w:rsidRDefault="00DC4174" w:rsidP="007F41C9">
      <w:pPr>
        <w:pStyle w:val="Akapitzlist"/>
        <w:numPr>
          <w:ilvl w:val="0"/>
          <w:numId w:val="21"/>
        </w:numPr>
        <w:spacing w:after="120" w:line="288" w:lineRule="auto"/>
        <w:ind w:hanging="720"/>
        <w:contextualSpacing w:val="0"/>
        <w:jc w:val="both"/>
        <w:rPr>
          <w:rFonts w:ascii="Segoe UI" w:eastAsia="Times New Roman" w:hAnsi="Segoe UI" w:cs="Segoe UI"/>
          <w:b/>
          <w:smallCaps/>
          <w:sz w:val="24"/>
          <w:szCs w:val="24"/>
          <w:lang w:val="pl-PL"/>
        </w:rPr>
      </w:pPr>
      <w:r w:rsidRPr="00C33782">
        <w:rPr>
          <w:rFonts w:ascii="Segoe UI" w:eastAsia="Times New Roman" w:hAnsi="Segoe UI" w:cs="Segoe UI"/>
          <w:b/>
          <w:sz w:val="24"/>
          <w:szCs w:val="24"/>
          <w:u w:val="single"/>
          <w:lang w:val="pl-PL"/>
        </w:rPr>
        <w:t>Jesteśmy otwarci na zmiany</w:t>
      </w:r>
      <w:r w:rsidR="0031335B" w:rsidRPr="00C33782">
        <w:rPr>
          <w:rFonts w:ascii="Segoe UI" w:eastAsia="Times New Roman" w:hAnsi="Segoe UI" w:cs="Segoe UI"/>
          <w:sz w:val="24"/>
          <w:szCs w:val="24"/>
          <w:lang w:val="pl-PL"/>
        </w:rPr>
        <w:t xml:space="preserve">. </w:t>
      </w:r>
      <w:r w:rsidRPr="002A3777">
        <w:rPr>
          <w:rFonts w:ascii="Segoe UI" w:eastAsia="Times New Roman" w:hAnsi="Segoe UI" w:cs="Segoe UI"/>
          <w:sz w:val="24"/>
          <w:szCs w:val="24"/>
          <w:lang w:val="pl-PL"/>
        </w:rPr>
        <w:t xml:space="preserve">Obecne reformy różnią się od tych z 2017 roku – po wysłuchaniu krytycznych argumentów Prezydent zawetował wówczas </w:t>
      </w:r>
      <w:r w:rsidR="002A3777" w:rsidRPr="002A3777">
        <w:rPr>
          <w:rFonts w:ascii="Segoe UI" w:eastAsia="Times New Roman" w:hAnsi="Segoe UI" w:cs="Segoe UI"/>
          <w:sz w:val="24"/>
          <w:szCs w:val="24"/>
          <w:lang w:val="pl-PL"/>
        </w:rPr>
        <w:t>dwie</w:t>
      </w:r>
      <w:r w:rsidRPr="002A3777">
        <w:rPr>
          <w:rFonts w:ascii="Segoe UI" w:eastAsia="Times New Roman" w:hAnsi="Segoe UI" w:cs="Segoe UI"/>
          <w:sz w:val="24"/>
          <w:szCs w:val="24"/>
          <w:lang w:val="pl-PL"/>
        </w:rPr>
        <w:t xml:space="preserve"> kontrowersyjne ustawy</w:t>
      </w:r>
      <w:r w:rsidR="002A3777">
        <w:rPr>
          <w:rFonts w:ascii="Segoe UI" w:eastAsia="Times New Roman" w:hAnsi="Segoe UI" w:cs="Segoe UI"/>
          <w:sz w:val="24"/>
          <w:szCs w:val="24"/>
          <w:lang w:val="pl-PL"/>
        </w:rPr>
        <w:t xml:space="preserve"> i przedstawił nowe projekty. </w:t>
      </w:r>
      <w:r w:rsidR="002A3777" w:rsidRPr="002A3777">
        <w:rPr>
          <w:rFonts w:ascii="Segoe UI" w:eastAsia="Times New Roman" w:hAnsi="Segoe UI" w:cs="Segoe UI"/>
          <w:sz w:val="24"/>
          <w:szCs w:val="24"/>
          <w:lang w:val="pl-PL"/>
        </w:rPr>
        <w:t>Dają one sędziom szersze gwarancje</w:t>
      </w:r>
      <w:r w:rsidR="0031335B" w:rsidRPr="002A3777">
        <w:rPr>
          <w:rFonts w:ascii="Segoe UI" w:eastAsia="Times New Roman" w:hAnsi="Segoe UI" w:cs="Segoe UI"/>
          <w:sz w:val="24"/>
          <w:szCs w:val="24"/>
          <w:lang w:val="pl-PL"/>
        </w:rPr>
        <w:t xml:space="preserve"> (</w:t>
      </w:r>
      <w:r w:rsidR="002A3777" w:rsidRPr="002A3777">
        <w:rPr>
          <w:rFonts w:ascii="Segoe UI" w:eastAsia="Times New Roman" w:hAnsi="Segoe UI" w:cs="Segoe UI"/>
          <w:sz w:val="24"/>
          <w:szCs w:val="24"/>
          <w:lang w:val="pl-PL"/>
        </w:rPr>
        <w:t>m.in to wyłącznie sędziowie lub grupa 2 000 obywateli może zgłaszać kandydatów do KRS</w:t>
      </w:r>
      <w:r w:rsidR="002A3777">
        <w:rPr>
          <w:rFonts w:ascii="Segoe UI" w:eastAsia="Times New Roman" w:hAnsi="Segoe UI" w:cs="Segoe UI"/>
          <w:sz w:val="24"/>
          <w:szCs w:val="24"/>
          <w:lang w:val="pl-PL"/>
        </w:rPr>
        <w:t xml:space="preserve"> – ciała polityczne zostały pozbawione tego uprawnienia</w:t>
      </w:r>
      <w:r w:rsidR="0031335B" w:rsidRPr="002A3777">
        <w:rPr>
          <w:rFonts w:ascii="Segoe UI" w:eastAsia="Times New Roman" w:hAnsi="Segoe UI" w:cs="Segoe UI"/>
          <w:sz w:val="24"/>
          <w:szCs w:val="24"/>
          <w:lang w:val="pl-PL"/>
        </w:rPr>
        <w:t xml:space="preserve">). </w:t>
      </w:r>
      <w:r w:rsidR="002A3777">
        <w:rPr>
          <w:rFonts w:ascii="Segoe UI" w:eastAsia="Times New Roman" w:hAnsi="Segoe UI" w:cs="Segoe UI"/>
          <w:sz w:val="24"/>
          <w:szCs w:val="24"/>
          <w:lang w:val="pl-PL"/>
        </w:rPr>
        <w:t>Ograniczona została też rola Ministra Sprawiedliwości</w:t>
      </w:r>
      <w:r w:rsidR="0031335B" w:rsidRPr="002A3777">
        <w:rPr>
          <w:rFonts w:ascii="Segoe UI" w:eastAsia="Times New Roman" w:hAnsi="Segoe UI" w:cs="Segoe UI"/>
          <w:sz w:val="24"/>
          <w:szCs w:val="24"/>
          <w:lang w:val="pl-PL"/>
        </w:rPr>
        <w:t>.</w:t>
      </w:r>
    </w:p>
    <w:p w:rsidR="0031335B" w:rsidRPr="002A3777" w:rsidRDefault="0031335B" w:rsidP="0031335B">
      <w:pPr>
        <w:pStyle w:val="Akapitzlist"/>
        <w:spacing w:after="120" w:line="288" w:lineRule="auto"/>
        <w:contextualSpacing w:val="0"/>
        <w:jc w:val="both"/>
        <w:rPr>
          <w:rFonts w:ascii="Segoe UI" w:eastAsia="Times New Roman" w:hAnsi="Segoe UI" w:cs="Segoe UI"/>
          <w:sz w:val="24"/>
          <w:szCs w:val="24"/>
          <w:lang w:val="pl-PL"/>
        </w:rPr>
      </w:pPr>
    </w:p>
    <w:p w:rsidR="0031335B" w:rsidRPr="002A3777" w:rsidRDefault="002A3777" w:rsidP="0031335B">
      <w:pPr>
        <w:pStyle w:val="Akapitzlist"/>
        <w:numPr>
          <w:ilvl w:val="0"/>
          <w:numId w:val="30"/>
        </w:numPr>
        <w:spacing w:after="120" w:line="288" w:lineRule="auto"/>
        <w:ind w:left="709"/>
        <w:contextualSpacing w:val="0"/>
        <w:jc w:val="both"/>
        <w:rPr>
          <w:rFonts w:ascii="Segoe UI" w:eastAsia="Times New Roman" w:hAnsi="Segoe UI" w:cs="Segoe UI"/>
          <w:b/>
          <w:smallCaps/>
          <w:sz w:val="28"/>
          <w:szCs w:val="28"/>
          <w:lang w:val="pl-PL"/>
        </w:rPr>
      </w:pPr>
      <w:r w:rsidRPr="002A3777">
        <w:rPr>
          <w:rFonts w:ascii="Segoe UI" w:eastAsia="Times New Roman" w:hAnsi="Segoe UI" w:cs="Segoe UI"/>
          <w:b/>
          <w:smallCaps/>
          <w:sz w:val="28"/>
          <w:szCs w:val="28"/>
          <w:lang w:val="pl-PL"/>
        </w:rPr>
        <w:t>Praworządność jako fundament europejskich wartości</w:t>
      </w:r>
      <w:r w:rsidR="009B26A6" w:rsidRPr="002A3777">
        <w:rPr>
          <w:rFonts w:ascii="Segoe UI" w:eastAsia="Times New Roman" w:hAnsi="Segoe UI" w:cs="Segoe UI"/>
          <w:b/>
          <w:smallCaps/>
          <w:sz w:val="28"/>
          <w:szCs w:val="28"/>
          <w:lang w:val="pl-PL"/>
        </w:rPr>
        <w:t>.</w:t>
      </w:r>
    </w:p>
    <w:p w:rsidR="00415124" w:rsidRPr="002A3777" w:rsidRDefault="00415124" w:rsidP="00415124">
      <w:pPr>
        <w:pStyle w:val="Akapitzlist"/>
        <w:spacing w:after="120" w:line="288" w:lineRule="auto"/>
        <w:ind w:left="709"/>
        <w:contextualSpacing w:val="0"/>
        <w:jc w:val="both"/>
        <w:rPr>
          <w:rFonts w:ascii="Segoe UI" w:eastAsia="Times New Roman" w:hAnsi="Segoe UI" w:cs="Segoe UI"/>
          <w:b/>
          <w:smallCaps/>
          <w:sz w:val="2"/>
          <w:szCs w:val="2"/>
          <w:lang w:val="pl-PL"/>
        </w:rPr>
      </w:pPr>
    </w:p>
    <w:p w:rsidR="007F41C9" w:rsidRPr="002A3777" w:rsidRDefault="002A3777"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2A3777">
        <w:rPr>
          <w:rFonts w:ascii="Segoe UI" w:eastAsia="Times New Roman" w:hAnsi="Segoe UI" w:cs="Segoe UI"/>
          <w:b/>
          <w:sz w:val="24"/>
          <w:szCs w:val="24"/>
          <w:u w:val="single"/>
          <w:lang w:val="pl-PL"/>
        </w:rPr>
        <w:t>Pluralizm konstytucyjny</w:t>
      </w:r>
      <w:r w:rsidR="0031335B" w:rsidRPr="002A3777">
        <w:rPr>
          <w:rFonts w:ascii="Segoe UI" w:eastAsia="Times New Roman" w:hAnsi="Segoe UI" w:cs="Segoe UI"/>
          <w:sz w:val="24"/>
          <w:szCs w:val="24"/>
          <w:lang w:val="pl-PL"/>
        </w:rPr>
        <w:t xml:space="preserve">. </w:t>
      </w:r>
      <w:r w:rsidRPr="002A3777">
        <w:rPr>
          <w:rFonts w:ascii="Segoe UI" w:eastAsia="Times New Roman" w:hAnsi="Segoe UI" w:cs="Segoe UI"/>
          <w:sz w:val="24"/>
          <w:szCs w:val="24"/>
          <w:lang w:val="pl-PL"/>
        </w:rPr>
        <w:t>Każdy kraj posiada specyficzne rozwiązania konstytucyjne, związane z jego historią i tradycjami prawnymi, a różnice te pozostają pod ochroną prawa traktatowego</w:t>
      </w:r>
      <w:r>
        <w:rPr>
          <w:rFonts w:ascii="Segoe UI" w:eastAsia="Times New Roman" w:hAnsi="Segoe UI" w:cs="Segoe UI"/>
          <w:sz w:val="24"/>
          <w:szCs w:val="24"/>
          <w:lang w:val="pl-PL"/>
        </w:rPr>
        <w:t xml:space="preserve"> </w:t>
      </w:r>
      <w:r w:rsidRPr="002A3777">
        <w:rPr>
          <w:rFonts w:ascii="Segoe UI" w:eastAsia="Times New Roman" w:hAnsi="Segoe UI" w:cs="Segoe UI"/>
          <w:sz w:val="24"/>
          <w:szCs w:val="24"/>
          <w:lang w:val="pl-PL"/>
        </w:rPr>
        <w:t>Unii Europejskiej</w:t>
      </w:r>
      <w:r>
        <w:rPr>
          <w:rFonts w:ascii="Segoe UI" w:eastAsia="Times New Roman" w:hAnsi="Segoe UI" w:cs="Segoe UI"/>
          <w:sz w:val="24"/>
          <w:szCs w:val="24"/>
          <w:lang w:val="pl-PL"/>
        </w:rPr>
        <w:t>. A</w:t>
      </w:r>
      <w:r w:rsidRPr="002A3777">
        <w:rPr>
          <w:rFonts w:ascii="Segoe UI" w:eastAsia="Times New Roman" w:hAnsi="Segoe UI" w:cs="Segoe UI"/>
          <w:sz w:val="24"/>
          <w:szCs w:val="24"/>
          <w:lang w:val="pl-PL"/>
        </w:rPr>
        <w:t>rt. 4 Traktatu o UE wskazuje</w:t>
      </w:r>
      <w:r>
        <w:rPr>
          <w:rFonts w:ascii="Segoe UI" w:eastAsia="Times New Roman" w:hAnsi="Segoe UI" w:cs="Segoe UI"/>
          <w:sz w:val="24"/>
          <w:szCs w:val="24"/>
          <w:lang w:val="pl-PL"/>
        </w:rPr>
        <w:t>,</w:t>
      </w:r>
      <w:r w:rsidRPr="002A3777">
        <w:rPr>
          <w:rFonts w:ascii="Segoe UI" w:eastAsia="Times New Roman" w:hAnsi="Segoe UI" w:cs="Segoe UI"/>
          <w:sz w:val="24"/>
          <w:szCs w:val="24"/>
          <w:lang w:val="pl-PL"/>
        </w:rPr>
        <w:t xml:space="preserve"> że Unia szanuje tożsamość narodową nierozerwalnie związaną z podstawowymi strukturami politycznymi i konstytucyjnymi państw członkowskich</w:t>
      </w:r>
      <w:r w:rsidR="007F41C9" w:rsidRPr="00453258">
        <w:rPr>
          <w:rFonts w:ascii="Segoe UI" w:eastAsia="Times New Roman" w:hAnsi="Segoe UI" w:cs="Segoe UI"/>
          <w:sz w:val="24"/>
          <w:szCs w:val="24"/>
          <w:lang w:val="pl-PL"/>
        </w:rPr>
        <w:t>.</w:t>
      </w:r>
    </w:p>
    <w:p w:rsidR="00453258" w:rsidRPr="00453258" w:rsidRDefault="00453258"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453258">
        <w:rPr>
          <w:rFonts w:ascii="Segoe UI" w:eastAsia="Times New Roman" w:hAnsi="Segoe UI" w:cs="Segoe UI"/>
          <w:b/>
          <w:sz w:val="24"/>
          <w:szCs w:val="24"/>
          <w:u w:val="single"/>
          <w:lang w:val="pl-PL"/>
        </w:rPr>
        <w:t>Ważne jest wzajemne zrozumienie</w:t>
      </w:r>
      <w:r w:rsidR="007F41C9" w:rsidRPr="00453258">
        <w:rPr>
          <w:rFonts w:ascii="Segoe UI" w:eastAsia="Times New Roman" w:hAnsi="Segoe UI" w:cs="Segoe UI"/>
          <w:sz w:val="24"/>
          <w:szCs w:val="24"/>
          <w:lang w:val="pl-PL"/>
        </w:rPr>
        <w:t xml:space="preserve">. </w:t>
      </w:r>
      <w:r w:rsidRPr="00453258">
        <w:rPr>
          <w:rFonts w:ascii="Segoe UI" w:eastAsia="Times New Roman" w:hAnsi="Segoe UI" w:cs="Segoe UI"/>
          <w:sz w:val="24"/>
          <w:szCs w:val="24"/>
          <w:lang w:val="pl-PL"/>
        </w:rPr>
        <w:t>Unia oparta jest na wspólnych wartościach – w tym praworządności.</w:t>
      </w:r>
      <w:r w:rsidR="0031335B" w:rsidRPr="00453258">
        <w:rPr>
          <w:rFonts w:ascii="Segoe UI" w:eastAsia="Times New Roman" w:hAnsi="Segoe UI" w:cs="Segoe UI"/>
          <w:sz w:val="24"/>
          <w:szCs w:val="24"/>
          <w:lang w:val="pl-PL"/>
        </w:rPr>
        <w:t xml:space="preserve"> </w:t>
      </w:r>
      <w:r w:rsidRPr="00453258">
        <w:rPr>
          <w:rFonts w:ascii="Segoe UI" w:eastAsia="Times New Roman" w:hAnsi="Segoe UI" w:cs="Segoe UI"/>
          <w:sz w:val="24"/>
          <w:szCs w:val="24"/>
          <w:lang w:val="pl-PL"/>
        </w:rPr>
        <w:t>Europejski system prawny jest wyjątkowy</w:t>
      </w:r>
      <w:r w:rsidR="0031335B" w:rsidRPr="00453258">
        <w:rPr>
          <w:rFonts w:ascii="Segoe UI" w:eastAsia="Times New Roman" w:hAnsi="Segoe UI" w:cs="Segoe UI"/>
          <w:sz w:val="24"/>
          <w:szCs w:val="24"/>
          <w:lang w:val="pl-PL"/>
        </w:rPr>
        <w:t xml:space="preserve"> – </w:t>
      </w:r>
      <w:r w:rsidRPr="00453258">
        <w:rPr>
          <w:rFonts w:ascii="Segoe UI" w:eastAsia="Times New Roman" w:hAnsi="Segoe UI" w:cs="Segoe UI"/>
          <w:sz w:val="24"/>
          <w:szCs w:val="24"/>
          <w:lang w:val="pl-PL"/>
        </w:rPr>
        <w:t>obejmuje bowiem zarówno krajowe, jak i unijny porządek prawny. Aby należycie funkcjonować w tym systemie i UE, i tworzące ją Państwa Członkowskie powinny funkcjonować we wzajemnym poszanowaniu i</w:t>
      </w:r>
      <w:r w:rsidR="00577646">
        <w:rPr>
          <w:rFonts w:ascii="Segoe UI" w:eastAsia="Times New Roman" w:hAnsi="Segoe UI" w:cs="Segoe UI"/>
          <w:sz w:val="24"/>
          <w:szCs w:val="24"/>
          <w:lang w:val="pl-PL"/>
        </w:rPr>
        <w:t> </w:t>
      </w:r>
      <w:r w:rsidRPr="00453258">
        <w:rPr>
          <w:rFonts w:ascii="Segoe UI" w:eastAsia="Times New Roman" w:hAnsi="Segoe UI" w:cs="Segoe UI"/>
          <w:sz w:val="24"/>
          <w:szCs w:val="24"/>
          <w:lang w:val="pl-PL"/>
        </w:rPr>
        <w:t xml:space="preserve">gotowości do wycofania się z działań, które mogłyby zbyt głęboko ingerować w obszary zarezerwowane dla każdej ze stron – nawet, gdy każdej ze stron wydaje się, że miałaby ku temu podstawy prawne. </w:t>
      </w:r>
      <w:r>
        <w:rPr>
          <w:rFonts w:ascii="Segoe UI" w:eastAsia="Times New Roman" w:hAnsi="Segoe UI" w:cs="Segoe UI"/>
          <w:sz w:val="24"/>
          <w:szCs w:val="24"/>
          <w:lang w:val="pl-PL"/>
        </w:rPr>
        <w:t>(zasada powściągliwości – „</w:t>
      </w:r>
      <w:r w:rsidRPr="00453258">
        <w:rPr>
          <w:rFonts w:ascii="Segoe UI" w:eastAsia="Times New Roman" w:hAnsi="Segoe UI" w:cs="Segoe UI"/>
          <w:sz w:val="24"/>
          <w:szCs w:val="24"/>
          <w:lang w:val="pl-PL"/>
        </w:rPr>
        <w:t>self-restraint</w:t>
      </w:r>
      <w:r>
        <w:rPr>
          <w:rFonts w:ascii="Segoe UI" w:eastAsia="Times New Roman" w:hAnsi="Segoe UI" w:cs="Segoe UI"/>
          <w:sz w:val="24"/>
          <w:szCs w:val="24"/>
          <w:lang w:val="pl-PL"/>
        </w:rPr>
        <w:t>”</w:t>
      </w:r>
      <w:r w:rsidRPr="00453258">
        <w:rPr>
          <w:rFonts w:ascii="Segoe UI" w:eastAsia="Times New Roman" w:hAnsi="Segoe UI" w:cs="Segoe UI"/>
          <w:sz w:val="24"/>
          <w:szCs w:val="24"/>
          <w:lang w:val="pl-PL"/>
        </w:rPr>
        <w:t>)</w:t>
      </w:r>
      <w:r>
        <w:rPr>
          <w:rFonts w:ascii="Segoe UI" w:eastAsia="Times New Roman" w:hAnsi="Segoe UI" w:cs="Segoe UI"/>
          <w:sz w:val="24"/>
          <w:szCs w:val="24"/>
          <w:lang w:val="pl-PL"/>
        </w:rPr>
        <w:t>.</w:t>
      </w:r>
    </w:p>
    <w:p w:rsidR="007F41C9" w:rsidRPr="00453258" w:rsidRDefault="00453258"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Pr>
          <w:rFonts w:ascii="Segoe UI" w:eastAsia="Times New Roman" w:hAnsi="Segoe UI" w:cs="Segoe UI"/>
          <w:b/>
          <w:sz w:val="24"/>
          <w:szCs w:val="24"/>
          <w:u w:val="single"/>
          <w:lang w:val="pl-PL"/>
        </w:rPr>
        <w:t>Napięcia</w:t>
      </w:r>
      <w:r w:rsidRPr="00453258">
        <w:rPr>
          <w:rFonts w:ascii="Segoe UI" w:eastAsia="Times New Roman" w:hAnsi="Segoe UI" w:cs="Segoe UI"/>
          <w:b/>
          <w:sz w:val="24"/>
          <w:szCs w:val="24"/>
          <w:u w:val="single"/>
          <w:lang w:val="pl-PL"/>
        </w:rPr>
        <w:t xml:space="preserve"> między </w:t>
      </w:r>
      <w:r>
        <w:rPr>
          <w:rFonts w:ascii="Segoe UI" w:eastAsia="Times New Roman" w:hAnsi="Segoe UI" w:cs="Segoe UI"/>
          <w:b/>
          <w:sz w:val="24"/>
          <w:szCs w:val="24"/>
          <w:u w:val="single"/>
          <w:lang w:val="pl-PL"/>
        </w:rPr>
        <w:t>władzami to natura demokracji</w:t>
      </w:r>
      <w:r w:rsidR="007F41C9" w:rsidRPr="00453258">
        <w:rPr>
          <w:rFonts w:ascii="Segoe UI" w:eastAsia="Times New Roman" w:hAnsi="Segoe UI" w:cs="Segoe UI"/>
          <w:sz w:val="24"/>
          <w:szCs w:val="24"/>
          <w:lang w:val="pl-PL"/>
        </w:rPr>
        <w:t xml:space="preserve">. </w:t>
      </w:r>
      <w:r w:rsidRPr="00453258">
        <w:rPr>
          <w:rFonts w:ascii="Segoe UI" w:eastAsia="Times New Roman" w:hAnsi="Segoe UI" w:cs="Segoe UI"/>
          <w:sz w:val="24"/>
          <w:szCs w:val="24"/>
          <w:lang w:val="pl-PL"/>
        </w:rPr>
        <w:t>W zasadzie niemożliwy jest r</w:t>
      </w:r>
      <w:r>
        <w:rPr>
          <w:rFonts w:ascii="Segoe UI" w:eastAsia="Times New Roman" w:hAnsi="Segoe UI" w:cs="Segoe UI"/>
          <w:sz w:val="24"/>
          <w:szCs w:val="24"/>
          <w:lang w:val="pl-PL"/>
        </w:rPr>
        <w:t xml:space="preserve">ealny podział władz bez okresowego pojawiania się takich napięć. </w:t>
      </w:r>
      <w:r w:rsidRPr="00453258">
        <w:rPr>
          <w:rFonts w:ascii="Segoe UI" w:eastAsia="Times New Roman" w:hAnsi="Segoe UI" w:cs="Segoe UI"/>
          <w:sz w:val="24"/>
          <w:szCs w:val="24"/>
          <w:lang w:val="pl-PL"/>
        </w:rPr>
        <w:t>Tocząca się obecnie intensywna debata publiczna o tym, w jakim kierunku idą reformy jest najlepszym dowodem, że system demokratyczny w Polsce ma się dobrze i funkcjonuje prawidłowo.</w:t>
      </w:r>
      <w:r>
        <w:rPr>
          <w:rFonts w:ascii="Segoe UI" w:eastAsia="Times New Roman" w:hAnsi="Segoe UI" w:cs="Segoe UI"/>
          <w:sz w:val="24"/>
          <w:szCs w:val="24"/>
          <w:lang w:val="pl-PL"/>
        </w:rPr>
        <w:t xml:space="preserve"> </w:t>
      </w:r>
      <w:r w:rsidRPr="00453258">
        <w:rPr>
          <w:rFonts w:ascii="Segoe UI" w:eastAsia="Times New Roman" w:hAnsi="Segoe UI" w:cs="Segoe UI"/>
          <w:sz w:val="24"/>
          <w:szCs w:val="24"/>
          <w:lang w:val="pl-PL"/>
        </w:rPr>
        <w:t>Debaty takie toczyły się w przeszłości – i</w:t>
      </w:r>
      <w:r w:rsidR="00577646">
        <w:rPr>
          <w:rFonts w:ascii="Segoe UI" w:eastAsia="Times New Roman" w:hAnsi="Segoe UI" w:cs="Segoe UI"/>
          <w:sz w:val="24"/>
          <w:szCs w:val="24"/>
          <w:lang w:val="pl-PL"/>
        </w:rPr>
        <w:t> </w:t>
      </w:r>
      <w:r w:rsidRPr="00453258">
        <w:rPr>
          <w:rFonts w:ascii="Segoe UI" w:eastAsia="Times New Roman" w:hAnsi="Segoe UI" w:cs="Segoe UI"/>
          <w:sz w:val="24"/>
          <w:szCs w:val="24"/>
          <w:lang w:val="pl-PL"/>
        </w:rPr>
        <w:t>toczyć będą nadal – również w innych krajach Unii.</w:t>
      </w:r>
    </w:p>
    <w:p w:rsidR="00415124" w:rsidRPr="004678EB" w:rsidRDefault="00453258"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453258">
        <w:rPr>
          <w:rFonts w:ascii="Segoe UI" w:eastAsia="Times New Roman" w:hAnsi="Segoe UI" w:cs="Segoe UI"/>
          <w:b/>
          <w:sz w:val="24"/>
          <w:szCs w:val="24"/>
          <w:u w:val="single"/>
          <w:lang w:val="pl-PL"/>
        </w:rPr>
        <w:t>Art. 7 może być w pewnych wypadkach uzasadniony – ale nie w tej sprawie</w:t>
      </w:r>
      <w:r w:rsidRPr="00453258">
        <w:rPr>
          <w:rFonts w:ascii="Segoe UI" w:eastAsia="Times New Roman" w:hAnsi="Segoe UI" w:cs="Segoe UI"/>
          <w:sz w:val="24"/>
          <w:szCs w:val="24"/>
          <w:lang w:val="pl-PL"/>
        </w:rPr>
        <w:t xml:space="preserve">. </w:t>
      </w:r>
      <w:r w:rsidR="0037118F">
        <w:rPr>
          <w:rFonts w:ascii="Segoe UI" w:eastAsia="Times New Roman" w:hAnsi="Segoe UI" w:cs="Segoe UI"/>
          <w:sz w:val="24"/>
          <w:szCs w:val="24"/>
          <w:lang w:val="pl-PL"/>
        </w:rPr>
        <w:t xml:space="preserve">Europejskie porządki prawne różnią się, a każde państwo członkowskie ma prawo organizować swój wymiar sprawiedliwości </w:t>
      </w:r>
      <w:r w:rsidR="00E1269C">
        <w:rPr>
          <w:rFonts w:ascii="Segoe UI" w:eastAsia="Times New Roman" w:hAnsi="Segoe UI" w:cs="Segoe UI"/>
          <w:sz w:val="24"/>
          <w:szCs w:val="24"/>
          <w:lang w:val="pl-PL"/>
        </w:rPr>
        <w:t xml:space="preserve">zgodnie ze swoimi tradycjami i wartościami, które składają się na tożsamość </w:t>
      </w:r>
      <w:r w:rsidR="00E1269C">
        <w:rPr>
          <w:rFonts w:ascii="Segoe UI" w:eastAsia="Times New Roman" w:hAnsi="Segoe UI" w:cs="Segoe UI"/>
          <w:sz w:val="24"/>
          <w:szCs w:val="24"/>
          <w:lang w:val="pl-PL"/>
        </w:rPr>
        <w:lastRenderedPageBreak/>
        <w:t>konstytucyjną. Jak się wydaje, granicą tej tożsamości musi być n</w:t>
      </w:r>
      <w:r w:rsidRPr="0037118F">
        <w:rPr>
          <w:rFonts w:ascii="Segoe UI" w:eastAsia="Times New Roman" w:hAnsi="Segoe UI" w:cs="Segoe UI"/>
          <w:sz w:val="24"/>
          <w:szCs w:val="24"/>
          <w:lang w:val="pl-PL"/>
        </w:rPr>
        <w:t>iezawisłość sędziowsk</w:t>
      </w:r>
      <w:r w:rsidR="00E1269C">
        <w:rPr>
          <w:rFonts w:ascii="Segoe UI" w:eastAsia="Times New Roman" w:hAnsi="Segoe UI" w:cs="Segoe UI"/>
          <w:sz w:val="24"/>
          <w:szCs w:val="24"/>
          <w:lang w:val="pl-PL"/>
        </w:rPr>
        <w:t>a, która jest</w:t>
      </w:r>
      <w:r w:rsidRPr="0037118F">
        <w:rPr>
          <w:rFonts w:ascii="Segoe UI" w:eastAsia="Times New Roman" w:hAnsi="Segoe UI" w:cs="Segoe UI"/>
          <w:sz w:val="24"/>
          <w:szCs w:val="24"/>
          <w:lang w:val="pl-PL"/>
        </w:rPr>
        <w:t xml:space="preserve"> jedn</w:t>
      </w:r>
      <w:r w:rsidR="00E1269C">
        <w:rPr>
          <w:rFonts w:ascii="Segoe UI" w:eastAsia="Times New Roman" w:hAnsi="Segoe UI" w:cs="Segoe UI"/>
          <w:sz w:val="24"/>
          <w:szCs w:val="24"/>
          <w:lang w:val="pl-PL"/>
        </w:rPr>
        <w:t>ą</w:t>
      </w:r>
      <w:r w:rsidRPr="0037118F">
        <w:rPr>
          <w:rFonts w:ascii="Segoe UI" w:eastAsia="Times New Roman" w:hAnsi="Segoe UI" w:cs="Segoe UI"/>
          <w:sz w:val="24"/>
          <w:szCs w:val="24"/>
          <w:lang w:val="pl-PL"/>
        </w:rPr>
        <w:t xml:space="preserve"> z najważniejszych europejskich wartości – i jej realne zagrożenie mogłoby oczywiście uzasadniać </w:t>
      </w:r>
      <w:r w:rsidR="00E1269C">
        <w:rPr>
          <w:rFonts w:ascii="Segoe UI" w:eastAsia="Times New Roman" w:hAnsi="Segoe UI" w:cs="Segoe UI"/>
          <w:sz w:val="24"/>
          <w:szCs w:val="24"/>
          <w:lang w:val="pl-PL"/>
        </w:rPr>
        <w:t>działanie Unii</w:t>
      </w:r>
      <w:r w:rsidRPr="0037118F">
        <w:rPr>
          <w:rFonts w:ascii="Segoe UI" w:eastAsia="Times New Roman" w:hAnsi="Segoe UI" w:cs="Segoe UI"/>
          <w:sz w:val="24"/>
          <w:szCs w:val="24"/>
          <w:lang w:val="pl-PL"/>
        </w:rPr>
        <w:t xml:space="preserve">. </w:t>
      </w:r>
      <w:r w:rsidRPr="004678EB">
        <w:rPr>
          <w:rFonts w:ascii="Segoe UI" w:eastAsia="Times New Roman" w:hAnsi="Segoe UI" w:cs="Segoe UI"/>
          <w:sz w:val="24"/>
          <w:szCs w:val="24"/>
          <w:lang w:val="pl-PL"/>
        </w:rPr>
        <w:t xml:space="preserve">Ponieważ jednak polscy </w:t>
      </w:r>
      <w:r w:rsidR="004678EB" w:rsidRPr="004678EB">
        <w:rPr>
          <w:rFonts w:ascii="Segoe UI" w:eastAsia="Times New Roman" w:hAnsi="Segoe UI" w:cs="Segoe UI"/>
          <w:sz w:val="24"/>
          <w:szCs w:val="24"/>
          <w:lang w:val="pl-PL"/>
        </w:rPr>
        <w:t>sędziowie</w:t>
      </w:r>
      <w:r w:rsidRPr="004678EB">
        <w:rPr>
          <w:rFonts w:ascii="Segoe UI" w:eastAsia="Times New Roman" w:hAnsi="Segoe UI" w:cs="Segoe UI"/>
          <w:sz w:val="24"/>
          <w:szCs w:val="24"/>
          <w:lang w:val="pl-PL"/>
        </w:rPr>
        <w:t xml:space="preserve"> </w:t>
      </w:r>
      <w:r w:rsidR="004678EB" w:rsidRPr="004678EB">
        <w:rPr>
          <w:rFonts w:ascii="Segoe UI" w:eastAsia="Times New Roman" w:hAnsi="Segoe UI" w:cs="Segoe UI"/>
          <w:sz w:val="24"/>
          <w:szCs w:val="24"/>
          <w:lang w:val="pl-PL"/>
        </w:rPr>
        <w:t xml:space="preserve">mają bardzo mocne gwarancje tej niezawisłości (jedne z najsilniejszych w całej Europie) a wszystkie reformy w dużym stopniu przypominają rozwiązania obecne w systemach prawnych innych Państw Członkowskich </w:t>
      </w:r>
      <w:r w:rsidR="004678EB">
        <w:rPr>
          <w:rFonts w:ascii="Segoe UI" w:eastAsia="Times New Roman" w:hAnsi="Segoe UI" w:cs="Segoe UI"/>
          <w:sz w:val="24"/>
          <w:szCs w:val="24"/>
          <w:lang w:val="pl-PL"/>
        </w:rPr>
        <w:t xml:space="preserve">(i pozytywnie oceniane m.in. przez Komisję Wenecką), jego użycie jest w tym wypadku nieuzasadnione. </w:t>
      </w:r>
    </w:p>
    <w:p w:rsidR="004678EB" w:rsidRPr="004678EB" w:rsidRDefault="004678EB"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4678EB">
        <w:rPr>
          <w:rFonts w:ascii="Segoe UI" w:eastAsia="Times New Roman" w:hAnsi="Segoe UI" w:cs="Segoe UI"/>
          <w:b/>
          <w:sz w:val="24"/>
          <w:szCs w:val="24"/>
          <w:u w:val="single"/>
          <w:lang w:val="pl-PL"/>
        </w:rPr>
        <w:t>Ryzyko nadużycia</w:t>
      </w:r>
      <w:r w:rsidR="00415124" w:rsidRPr="004678EB">
        <w:rPr>
          <w:rFonts w:ascii="Segoe UI" w:eastAsia="Times New Roman" w:hAnsi="Segoe UI" w:cs="Segoe UI"/>
          <w:sz w:val="24"/>
          <w:szCs w:val="24"/>
          <w:lang w:val="pl-PL"/>
        </w:rPr>
        <w:t>.</w:t>
      </w:r>
      <w:r w:rsidRPr="004678EB">
        <w:rPr>
          <w:rFonts w:ascii="Segoe UI" w:eastAsia="Times New Roman" w:hAnsi="Segoe UI" w:cs="Segoe UI"/>
          <w:sz w:val="24"/>
          <w:szCs w:val="24"/>
          <w:lang w:val="pl-PL"/>
        </w:rPr>
        <w:tab/>
        <w:t>Trzeba też podkreślić, że kontynuacja działań w ramach tej procedury w obecnych realiach może stanowić precedens groźny z punktu widzenia równowagi między kompetencjami Państw Członkowskich, a</w:t>
      </w:r>
      <w:r w:rsidR="00577646">
        <w:rPr>
          <w:rFonts w:ascii="Segoe UI" w:eastAsia="Times New Roman" w:hAnsi="Segoe UI" w:cs="Segoe UI"/>
          <w:sz w:val="24"/>
          <w:szCs w:val="24"/>
          <w:lang w:val="pl-PL"/>
        </w:rPr>
        <w:t> </w:t>
      </w:r>
      <w:r w:rsidRPr="004678EB">
        <w:rPr>
          <w:rFonts w:ascii="Segoe UI" w:eastAsia="Times New Roman" w:hAnsi="Segoe UI" w:cs="Segoe UI"/>
          <w:sz w:val="24"/>
          <w:szCs w:val="24"/>
          <w:lang w:val="pl-PL"/>
        </w:rPr>
        <w:t>instytucjami europejskimi.</w:t>
      </w:r>
      <w:r w:rsidR="00415124" w:rsidRPr="004678EB">
        <w:rPr>
          <w:rFonts w:ascii="Segoe UI" w:eastAsia="Times New Roman" w:hAnsi="Segoe UI" w:cs="Segoe UI"/>
          <w:sz w:val="24"/>
          <w:szCs w:val="24"/>
          <w:lang w:val="pl-PL"/>
        </w:rPr>
        <w:t xml:space="preserve"> </w:t>
      </w:r>
      <w:r w:rsidRPr="004678EB">
        <w:rPr>
          <w:rFonts w:ascii="Segoe UI" w:eastAsia="Times New Roman" w:hAnsi="Segoe UI" w:cs="Segoe UI"/>
          <w:b/>
          <w:sz w:val="24"/>
          <w:szCs w:val="24"/>
          <w:lang w:val="pl-PL"/>
        </w:rPr>
        <w:t>Stwierdzenie ryz</w:t>
      </w:r>
      <w:r>
        <w:rPr>
          <w:rFonts w:ascii="Segoe UI" w:eastAsia="Times New Roman" w:hAnsi="Segoe UI" w:cs="Segoe UI"/>
          <w:b/>
          <w:sz w:val="24"/>
          <w:szCs w:val="24"/>
          <w:lang w:val="pl-PL"/>
        </w:rPr>
        <w:t>y</w:t>
      </w:r>
      <w:r w:rsidRPr="004678EB">
        <w:rPr>
          <w:rFonts w:ascii="Segoe UI" w:eastAsia="Times New Roman" w:hAnsi="Segoe UI" w:cs="Segoe UI"/>
          <w:b/>
          <w:sz w:val="24"/>
          <w:szCs w:val="24"/>
          <w:lang w:val="pl-PL"/>
        </w:rPr>
        <w:t xml:space="preserve">ka naruszenia praworządności w sytuacji, w której polskie przepisy w dużym stopniu przypominają rozwiązania obecne w systemach prawnych innych Państw Członkowskich, rodzi niebezpieczeństwo nadużywania tej procedury </w:t>
      </w:r>
      <w:r w:rsidRPr="004678EB">
        <w:rPr>
          <w:rFonts w:ascii="Segoe UI" w:eastAsia="Times New Roman" w:hAnsi="Segoe UI" w:cs="Segoe UI"/>
          <w:sz w:val="24"/>
          <w:szCs w:val="24"/>
          <w:lang w:val="pl-PL"/>
        </w:rPr>
        <w:t>w</w:t>
      </w:r>
      <w:r w:rsidR="00577646">
        <w:rPr>
          <w:rFonts w:ascii="Segoe UI" w:eastAsia="Times New Roman" w:hAnsi="Segoe UI" w:cs="Segoe UI"/>
          <w:sz w:val="24"/>
          <w:szCs w:val="24"/>
          <w:lang w:val="pl-PL"/>
        </w:rPr>
        <w:t> </w:t>
      </w:r>
      <w:r w:rsidRPr="004678EB">
        <w:rPr>
          <w:rFonts w:ascii="Segoe UI" w:eastAsia="Times New Roman" w:hAnsi="Segoe UI" w:cs="Segoe UI"/>
          <w:sz w:val="24"/>
          <w:szCs w:val="24"/>
          <w:lang w:val="pl-PL"/>
        </w:rPr>
        <w:t>przyszłości – i wykorzystania tego precedensu w stosunku do innych krajów U</w:t>
      </w:r>
      <w:r w:rsidR="00577646">
        <w:rPr>
          <w:rFonts w:ascii="Segoe UI" w:eastAsia="Times New Roman" w:hAnsi="Segoe UI" w:cs="Segoe UI"/>
          <w:sz w:val="24"/>
          <w:szCs w:val="24"/>
          <w:lang w:val="pl-PL"/>
        </w:rPr>
        <w:t>nii.</w:t>
      </w:r>
    </w:p>
    <w:p w:rsidR="00415124" w:rsidRPr="004678EB" w:rsidRDefault="004678EB" w:rsidP="004678EB">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Pr>
          <w:rFonts w:ascii="Segoe UI" w:eastAsia="Times New Roman" w:hAnsi="Segoe UI" w:cs="Segoe UI"/>
          <w:b/>
          <w:sz w:val="24"/>
          <w:szCs w:val="24"/>
          <w:u w:val="single"/>
          <w:lang w:val="pl-PL"/>
        </w:rPr>
        <w:t>Ochrona europejskiej jedności</w:t>
      </w:r>
      <w:r w:rsidR="009B26A6" w:rsidRPr="004678EB">
        <w:rPr>
          <w:rFonts w:ascii="Segoe UI" w:eastAsia="Times New Roman" w:hAnsi="Segoe UI" w:cs="Segoe UI"/>
          <w:b/>
          <w:sz w:val="24"/>
          <w:szCs w:val="24"/>
          <w:lang w:val="pl-PL"/>
        </w:rPr>
        <w:t>.</w:t>
      </w:r>
      <w:r w:rsidR="00415124" w:rsidRPr="004678EB">
        <w:rPr>
          <w:rFonts w:ascii="Segoe UI" w:eastAsia="Times New Roman" w:hAnsi="Segoe UI" w:cs="Segoe UI"/>
          <w:sz w:val="24"/>
          <w:szCs w:val="24"/>
          <w:lang w:val="pl-PL"/>
        </w:rPr>
        <w:t xml:space="preserve"> </w:t>
      </w:r>
      <w:r w:rsidRPr="004678EB">
        <w:rPr>
          <w:rFonts w:ascii="Segoe UI" w:eastAsia="Times New Roman" w:hAnsi="Segoe UI" w:cs="Segoe UI"/>
          <w:sz w:val="24"/>
          <w:szCs w:val="24"/>
          <w:lang w:val="pl-PL"/>
        </w:rPr>
        <w:t>Dalsze działania tego rodzaju są ryzykowne z</w:t>
      </w:r>
      <w:r w:rsidR="00577646">
        <w:rPr>
          <w:rFonts w:ascii="Segoe UI" w:eastAsia="Times New Roman" w:hAnsi="Segoe UI" w:cs="Segoe UI"/>
          <w:sz w:val="24"/>
          <w:szCs w:val="24"/>
          <w:lang w:val="pl-PL"/>
        </w:rPr>
        <w:t> </w:t>
      </w:r>
      <w:r w:rsidRPr="004678EB">
        <w:rPr>
          <w:rFonts w:ascii="Segoe UI" w:eastAsia="Times New Roman" w:hAnsi="Segoe UI" w:cs="Segoe UI"/>
          <w:sz w:val="24"/>
          <w:szCs w:val="24"/>
          <w:lang w:val="pl-PL"/>
        </w:rPr>
        <w:t xml:space="preserve">jeszcze jednej przyczyny: </w:t>
      </w:r>
      <w:r w:rsidRPr="004678EB">
        <w:rPr>
          <w:rFonts w:ascii="Segoe UI" w:eastAsia="Times New Roman" w:hAnsi="Segoe UI" w:cs="Segoe UI"/>
          <w:b/>
          <w:sz w:val="24"/>
          <w:szCs w:val="24"/>
          <w:lang w:val="pl-PL"/>
        </w:rPr>
        <w:t>mogą one wzmocnić obecne coraz intensywniej od kilku lat nastroje antyeuropejskie</w:t>
      </w:r>
      <w:r w:rsidRPr="004678EB">
        <w:rPr>
          <w:rFonts w:ascii="Segoe UI" w:eastAsia="Times New Roman" w:hAnsi="Segoe UI" w:cs="Segoe UI"/>
          <w:sz w:val="24"/>
          <w:szCs w:val="24"/>
          <w:lang w:val="pl-PL"/>
        </w:rPr>
        <w:t>, a w konsekwencji populistyczne, antyunijne siły polityczne dążące do zanegowania jednego z</w:t>
      </w:r>
      <w:r>
        <w:rPr>
          <w:rFonts w:ascii="Segoe UI" w:eastAsia="Times New Roman" w:hAnsi="Segoe UI" w:cs="Segoe UI"/>
          <w:sz w:val="24"/>
          <w:szCs w:val="24"/>
          <w:lang w:val="pl-PL"/>
        </w:rPr>
        <w:t> </w:t>
      </w:r>
      <w:r w:rsidRPr="004678EB">
        <w:rPr>
          <w:rFonts w:ascii="Segoe UI" w:eastAsia="Times New Roman" w:hAnsi="Segoe UI" w:cs="Segoe UI"/>
          <w:sz w:val="24"/>
          <w:szCs w:val="24"/>
          <w:lang w:val="pl-PL"/>
        </w:rPr>
        <w:t>największych sukcesów powojennej Europy jakim jest Unia Europejska. Celem działań podejmowanych przez organy Unii i przez jej Państwa Członkowskie powinno być takie kształtowanie europejskiej polityki, by tendencje te nie narastały – a</w:t>
      </w:r>
      <w:r w:rsidR="00577646">
        <w:rPr>
          <w:rFonts w:ascii="Segoe UI" w:eastAsia="Times New Roman" w:hAnsi="Segoe UI" w:cs="Segoe UI"/>
          <w:sz w:val="24"/>
          <w:szCs w:val="24"/>
          <w:lang w:val="pl-PL"/>
        </w:rPr>
        <w:t> </w:t>
      </w:r>
      <w:r w:rsidRPr="004678EB">
        <w:rPr>
          <w:rFonts w:ascii="Segoe UI" w:eastAsia="Times New Roman" w:hAnsi="Segoe UI" w:cs="Segoe UI"/>
          <w:sz w:val="24"/>
          <w:szCs w:val="24"/>
          <w:lang w:val="pl-PL"/>
        </w:rPr>
        <w:t>sytuacja, w której część obywateli Unii uznałaby, że istnieje ryzyko ograniczenia ich praw przez instytucje europejskie może doprowadzić do ich wzmocnienia</w:t>
      </w:r>
      <w:r w:rsidR="00415124" w:rsidRPr="004678EB">
        <w:rPr>
          <w:rFonts w:ascii="Segoe UI" w:eastAsia="Times New Roman" w:hAnsi="Segoe UI" w:cs="Segoe UI"/>
          <w:sz w:val="24"/>
          <w:szCs w:val="24"/>
          <w:lang w:val="pl-PL"/>
        </w:rPr>
        <w:t>.</w:t>
      </w:r>
    </w:p>
    <w:p w:rsidR="003C7DAE" w:rsidRPr="00C54D29" w:rsidRDefault="00AA2913" w:rsidP="00FC08E5">
      <w:pPr>
        <w:pStyle w:val="Akapitzlist"/>
        <w:numPr>
          <w:ilvl w:val="0"/>
          <w:numId w:val="21"/>
        </w:numPr>
        <w:spacing w:after="120" w:line="288" w:lineRule="auto"/>
        <w:ind w:hanging="720"/>
        <w:contextualSpacing w:val="0"/>
        <w:jc w:val="both"/>
        <w:rPr>
          <w:rFonts w:ascii="Segoe UI" w:eastAsia="Times New Roman" w:hAnsi="Segoe UI" w:cs="Segoe UI"/>
          <w:sz w:val="24"/>
          <w:szCs w:val="24"/>
          <w:lang w:val="pl-PL"/>
        </w:rPr>
      </w:pPr>
      <w:r w:rsidRPr="00C33782">
        <w:rPr>
          <w:rFonts w:ascii="Segoe UI" w:eastAsia="Times New Roman" w:hAnsi="Segoe UI" w:cs="Segoe UI"/>
          <w:b/>
          <w:sz w:val="24"/>
          <w:szCs w:val="24"/>
          <w:u w:val="single"/>
          <w:lang w:val="pl-PL"/>
        </w:rPr>
        <w:t>Dalszy dialog</w:t>
      </w:r>
      <w:r w:rsidR="009814B1" w:rsidRPr="00C33782">
        <w:rPr>
          <w:rFonts w:ascii="Segoe UI" w:eastAsia="Times New Roman" w:hAnsi="Segoe UI" w:cs="Segoe UI"/>
          <w:b/>
          <w:sz w:val="24"/>
          <w:szCs w:val="24"/>
          <w:lang w:val="pl-PL"/>
        </w:rPr>
        <w:t xml:space="preserve">. </w:t>
      </w:r>
      <w:r w:rsidR="004678EB" w:rsidRPr="004678EB">
        <w:rPr>
          <w:rFonts w:ascii="Segoe UI" w:eastAsia="Times New Roman" w:hAnsi="Segoe UI" w:cs="Segoe UI"/>
          <w:sz w:val="24"/>
          <w:szCs w:val="24"/>
          <w:lang w:val="pl-PL"/>
        </w:rPr>
        <w:t>Również z tego powodu zwracamy się do Państwa z</w:t>
      </w:r>
      <w:r w:rsidR="004678EB">
        <w:rPr>
          <w:rFonts w:ascii="Segoe UI" w:eastAsia="Times New Roman" w:hAnsi="Segoe UI" w:cs="Segoe UI"/>
          <w:sz w:val="24"/>
          <w:szCs w:val="24"/>
          <w:lang w:val="pl-PL"/>
        </w:rPr>
        <w:t> </w:t>
      </w:r>
      <w:r w:rsidR="004678EB" w:rsidRPr="004678EB">
        <w:rPr>
          <w:rFonts w:ascii="Segoe UI" w:eastAsia="Times New Roman" w:hAnsi="Segoe UI" w:cs="Segoe UI"/>
          <w:sz w:val="24"/>
          <w:szCs w:val="24"/>
          <w:lang w:val="pl-PL"/>
        </w:rPr>
        <w:t>postulatem o dokładne zapoznanie się z naszą argumentacją, jej przeanalizowanie i weryfikację, a w razie potrzeby – o zwrócenie się do naszego rządu z wszelkimi uwagami, pytaniami i prośbami, jakie uznają Państwo za stosowne. O to samo apelujemy równocześnie do Komisji Europejskiej, Parlamentu Europejskiego i Państw Członkowskich. Dołożymy wszelkich starań, by wątpliwości zostały należycie wyjaśnione. Jesteśmy przekonani, że dalszy dialog przyczyni się do wyjaśnienia wszystkich kontrowersji bez konieczności uciekania się do rozwiązań, które mogą osłabić Unię Europejską</w:t>
      </w:r>
      <w:r w:rsidR="00415124" w:rsidRPr="004678EB">
        <w:rPr>
          <w:rFonts w:ascii="Segoe UI" w:eastAsia="Times New Roman" w:hAnsi="Segoe UI" w:cs="Segoe UI"/>
          <w:sz w:val="24"/>
          <w:szCs w:val="24"/>
          <w:lang w:val="pl-PL"/>
        </w:rPr>
        <w:t>.</w:t>
      </w:r>
      <w:r w:rsidR="009B26A6" w:rsidRPr="004678EB">
        <w:rPr>
          <w:rFonts w:ascii="Segoe UI" w:eastAsia="Times New Roman" w:hAnsi="Segoe UI" w:cs="Segoe UI"/>
          <w:sz w:val="24"/>
          <w:szCs w:val="24"/>
          <w:lang w:val="pl-PL"/>
        </w:rPr>
        <w:t xml:space="preserve"> </w:t>
      </w:r>
    </w:p>
    <w:sectPr w:rsidR="003C7DAE" w:rsidRPr="00C54D29" w:rsidSect="00E1269C">
      <w:footerReference w:type="default" r:id="rId8"/>
      <w:pgSz w:w="11909" w:h="16834"/>
      <w:pgMar w:top="567" w:right="1440" w:bottom="1276" w:left="1440" w:header="0"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F3" w:rsidRDefault="00B63AF3">
      <w:pPr>
        <w:spacing w:line="240" w:lineRule="auto"/>
      </w:pPr>
      <w:r>
        <w:separator/>
      </w:r>
    </w:p>
  </w:endnote>
  <w:endnote w:type="continuationSeparator" w:id="0">
    <w:p w:rsidR="00B63AF3" w:rsidRDefault="00B63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Light" w:hAnsi="Segoe UI Light" w:cs="Segoe UI Light"/>
        <w:sz w:val="18"/>
        <w:szCs w:val="18"/>
      </w:rPr>
      <w:id w:val="-339086086"/>
      <w:docPartObj>
        <w:docPartGallery w:val="Page Numbers (Bottom of Page)"/>
        <w:docPartUnique/>
      </w:docPartObj>
    </w:sdtPr>
    <w:sdtEndPr/>
    <w:sdtContent>
      <w:p w:rsidR="00453258" w:rsidRPr="002E0035" w:rsidRDefault="00453258">
        <w:pPr>
          <w:pStyle w:val="Stopka"/>
          <w:jc w:val="center"/>
          <w:rPr>
            <w:rFonts w:ascii="Segoe UI Light" w:hAnsi="Segoe UI Light" w:cs="Segoe UI Light"/>
            <w:sz w:val="18"/>
            <w:szCs w:val="18"/>
          </w:rPr>
        </w:pPr>
        <w:r w:rsidRPr="002E0035">
          <w:rPr>
            <w:rFonts w:ascii="Segoe UI Light" w:hAnsi="Segoe UI Light" w:cs="Segoe UI Light"/>
            <w:sz w:val="18"/>
            <w:szCs w:val="18"/>
          </w:rPr>
          <w:fldChar w:fldCharType="begin"/>
        </w:r>
        <w:r w:rsidRPr="002E0035">
          <w:rPr>
            <w:rFonts w:ascii="Segoe UI Light" w:hAnsi="Segoe UI Light" w:cs="Segoe UI Light"/>
            <w:sz w:val="18"/>
            <w:szCs w:val="18"/>
          </w:rPr>
          <w:instrText>PAGE   \* MERGEFORMAT</w:instrText>
        </w:r>
        <w:r w:rsidRPr="002E0035">
          <w:rPr>
            <w:rFonts w:ascii="Segoe UI Light" w:hAnsi="Segoe UI Light" w:cs="Segoe UI Light"/>
            <w:sz w:val="18"/>
            <w:szCs w:val="18"/>
          </w:rPr>
          <w:fldChar w:fldCharType="separate"/>
        </w:r>
        <w:r w:rsidR="0061019A">
          <w:rPr>
            <w:rFonts w:ascii="Segoe UI Light" w:hAnsi="Segoe UI Light" w:cs="Segoe UI Light"/>
            <w:noProof/>
            <w:sz w:val="18"/>
            <w:szCs w:val="18"/>
          </w:rPr>
          <w:t>4</w:t>
        </w:r>
        <w:r w:rsidRPr="002E0035">
          <w:rPr>
            <w:rFonts w:ascii="Segoe UI Light" w:hAnsi="Segoe UI Light" w:cs="Segoe UI Light"/>
            <w:sz w:val="18"/>
            <w:szCs w:val="18"/>
          </w:rPr>
          <w:fldChar w:fldCharType="end"/>
        </w:r>
      </w:p>
    </w:sdtContent>
  </w:sdt>
  <w:p w:rsidR="00453258" w:rsidRPr="002E0035" w:rsidRDefault="00453258">
    <w:pPr>
      <w:pStyle w:val="Stopka"/>
      <w:rPr>
        <w:rFonts w:ascii="Segoe UI Light" w:hAnsi="Segoe UI Light" w:cs="Segoe UI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F3" w:rsidRDefault="00B63AF3">
      <w:pPr>
        <w:spacing w:line="240" w:lineRule="auto"/>
      </w:pPr>
      <w:r>
        <w:separator/>
      </w:r>
    </w:p>
  </w:footnote>
  <w:footnote w:type="continuationSeparator" w:id="0">
    <w:p w:rsidR="00B63AF3" w:rsidRDefault="00B63A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F0A"/>
    <w:multiLevelType w:val="hybridMultilevel"/>
    <w:tmpl w:val="86807C4A"/>
    <w:lvl w:ilvl="0" w:tplc="C8B67F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D695D"/>
    <w:multiLevelType w:val="hybridMultilevel"/>
    <w:tmpl w:val="0D8889B8"/>
    <w:lvl w:ilvl="0" w:tplc="2BC47056">
      <w:start w:val="1"/>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 w15:restartNumberingAfterBreak="0">
    <w:nsid w:val="04C47729"/>
    <w:multiLevelType w:val="multilevel"/>
    <w:tmpl w:val="56C2D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017B9F"/>
    <w:multiLevelType w:val="hybridMultilevel"/>
    <w:tmpl w:val="00BC8FFA"/>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A2421"/>
    <w:multiLevelType w:val="hybridMultilevel"/>
    <w:tmpl w:val="850EF1D6"/>
    <w:lvl w:ilvl="0" w:tplc="53543EFA">
      <w:start w:val="1"/>
      <w:numFmt w:val="decimal"/>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5" w15:restartNumberingAfterBreak="0">
    <w:nsid w:val="0E6906C6"/>
    <w:multiLevelType w:val="hybridMultilevel"/>
    <w:tmpl w:val="8E9C84E4"/>
    <w:lvl w:ilvl="0" w:tplc="0415000F">
      <w:start w:val="1"/>
      <w:numFmt w:val="decimal"/>
      <w:lvlText w:val="%1."/>
      <w:lvlJc w:val="left"/>
      <w:pPr>
        <w:ind w:left="720" w:hanging="360"/>
      </w:p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0315D"/>
    <w:multiLevelType w:val="multilevel"/>
    <w:tmpl w:val="E1E00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06BFB"/>
    <w:multiLevelType w:val="hybridMultilevel"/>
    <w:tmpl w:val="A36A9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984FF4"/>
    <w:multiLevelType w:val="multilevel"/>
    <w:tmpl w:val="02B66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4CA2BF9"/>
    <w:multiLevelType w:val="hybridMultilevel"/>
    <w:tmpl w:val="6BF63E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32075D"/>
    <w:multiLevelType w:val="hybridMultilevel"/>
    <w:tmpl w:val="3B580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F6A09"/>
    <w:multiLevelType w:val="multilevel"/>
    <w:tmpl w:val="699E5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2B491A"/>
    <w:multiLevelType w:val="hybridMultilevel"/>
    <w:tmpl w:val="572E03DE"/>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B2779"/>
    <w:multiLevelType w:val="hybridMultilevel"/>
    <w:tmpl w:val="18D4E2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80E685C"/>
    <w:multiLevelType w:val="multilevel"/>
    <w:tmpl w:val="B2862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CD0C4D"/>
    <w:multiLevelType w:val="hybridMultilevel"/>
    <w:tmpl w:val="31F855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58441F"/>
    <w:multiLevelType w:val="hybridMultilevel"/>
    <w:tmpl w:val="8E9C84E4"/>
    <w:lvl w:ilvl="0" w:tplc="0415000F">
      <w:start w:val="1"/>
      <w:numFmt w:val="decimal"/>
      <w:lvlText w:val="%1."/>
      <w:lvlJc w:val="left"/>
      <w:pPr>
        <w:ind w:left="720" w:hanging="360"/>
      </w:p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B6F38"/>
    <w:multiLevelType w:val="multilevel"/>
    <w:tmpl w:val="FBAA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A2901"/>
    <w:multiLevelType w:val="hybridMultilevel"/>
    <w:tmpl w:val="B36E0080"/>
    <w:lvl w:ilvl="0" w:tplc="C8B67FE2">
      <w:start w:val="1"/>
      <w:numFmt w:val="decimal"/>
      <w:lvlText w:val="%1."/>
      <w:lvlJc w:val="left"/>
      <w:pPr>
        <w:ind w:left="720" w:hanging="360"/>
      </w:pPr>
      <w:rPr>
        <w:rFonts w:hint="default"/>
      </w:rPr>
    </w:lvl>
    <w:lvl w:ilvl="1" w:tplc="76E0F7F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9169A"/>
    <w:multiLevelType w:val="hybridMultilevel"/>
    <w:tmpl w:val="202477CE"/>
    <w:lvl w:ilvl="0" w:tplc="0F6C02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670B6"/>
    <w:multiLevelType w:val="hybridMultilevel"/>
    <w:tmpl w:val="A796A3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6E80E1A"/>
    <w:multiLevelType w:val="hybridMultilevel"/>
    <w:tmpl w:val="4426CD4E"/>
    <w:lvl w:ilvl="0" w:tplc="04150013">
      <w:start w:val="1"/>
      <w:numFmt w:val="upperRoman"/>
      <w:lvlText w:val="%1."/>
      <w:lvlJc w:val="righ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1655C2"/>
    <w:multiLevelType w:val="hybridMultilevel"/>
    <w:tmpl w:val="BF744132"/>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E63AF7"/>
    <w:multiLevelType w:val="hybridMultilevel"/>
    <w:tmpl w:val="86807C4A"/>
    <w:lvl w:ilvl="0" w:tplc="C8B67F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920AC"/>
    <w:multiLevelType w:val="multilevel"/>
    <w:tmpl w:val="3BC8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724504"/>
    <w:multiLevelType w:val="hybridMultilevel"/>
    <w:tmpl w:val="8E9C84E4"/>
    <w:lvl w:ilvl="0" w:tplc="0415000F">
      <w:start w:val="1"/>
      <w:numFmt w:val="decimal"/>
      <w:lvlText w:val="%1."/>
      <w:lvlJc w:val="left"/>
      <w:pPr>
        <w:ind w:left="720" w:hanging="360"/>
      </w:p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E4F72"/>
    <w:multiLevelType w:val="hybridMultilevel"/>
    <w:tmpl w:val="3FDC6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371C4E"/>
    <w:multiLevelType w:val="multilevel"/>
    <w:tmpl w:val="2F6E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147BC4"/>
    <w:multiLevelType w:val="hybridMultilevel"/>
    <w:tmpl w:val="93E66D0C"/>
    <w:lvl w:ilvl="0" w:tplc="F7B6A0D2">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1F4179"/>
    <w:multiLevelType w:val="multilevel"/>
    <w:tmpl w:val="E1E00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402472"/>
    <w:multiLevelType w:val="hybridMultilevel"/>
    <w:tmpl w:val="ACC6B79A"/>
    <w:lvl w:ilvl="0" w:tplc="26341C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79626B"/>
    <w:multiLevelType w:val="hybridMultilevel"/>
    <w:tmpl w:val="A606D548"/>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C820C3"/>
    <w:multiLevelType w:val="multilevel"/>
    <w:tmpl w:val="295A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DF19AE"/>
    <w:multiLevelType w:val="multilevel"/>
    <w:tmpl w:val="BD086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5BC5EB1"/>
    <w:multiLevelType w:val="multilevel"/>
    <w:tmpl w:val="CCCC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BB3A73"/>
    <w:multiLevelType w:val="multilevel"/>
    <w:tmpl w:val="16423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1D5880"/>
    <w:multiLevelType w:val="hybridMultilevel"/>
    <w:tmpl w:val="BBC05CD4"/>
    <w:lvl w:ilvl="0" w:tplc="04150013">
      <w:start w:val="1"/>
      <w:numFmt w:val="upperRoman"/>
      <w:lvlText w:val="%1."/>
      <w:lvlJc w:val="righ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912B51"/>
    <w:multiLevelType w:val="hybridMultilevel"/>
    <w:tmpl w:val="328EFC70"/>
    <w:lvl w:ilvl="0" w:tplc="C8B67FE2">
      <w:start w:val="1"/>
      <w:numFmt w:val="decimal"/>
      <w:lvlText w:val="%1."/>
      <w:lvlJc w:val="left"/>
      <w:pPr>
        <w:ind w:left="1080" w:hanging="720"/>
      </w:pPr>
      <w:rPr>
        <w:rFonts w:hint="default"/>
      </w:rPr>
    </w:lvl>
    <w:lvl w:ilvl="1" w:tplc="E8686342">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C4287C"/>
    <w:multiLevelType w:val="hybridMultilevel"/>
    <w:tmpl w:val="B5D40DE6"/>
    <w:lvl w:ilvl="0" w:tplc="D64E17FE">
      <w:start w:val="5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37473"/>
    <w:multiLevelType w:val="hybridMultilevel"/>
    <w:tmpl w:val="1A908810"/>
    <w:lvl w:ilvl="0" w:tplc="A9CA30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10AAE"/>
    <w:multiLevelType w:val="multilevel"/>
    <w:tmpl w:val="B58A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F3C0E41"/>
    <w:multiLevelType w:val="hybridMultilevel"/>
    <w:tmpl w:val="918E851E"/>
    <w:lvl w:ilvl="0" w:tplc="91B8AF52">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FBA703D"/>
    <w:multiLevelType w:val="hybridMultilevel"/>
    <w:tmpl w:val="244250E6"/>
    <w:lvl w:ilvl="0" w:tplc="A77840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037DE"/>
    <w:multiLevelType w:val="multilevel"/>
    <w:tmpl w:val="20189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933953"/>
    <w:multiLevelType w:val="hybridMultilevel"/>
    <w:tmpl w:val="D682DD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C35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A234B3"/>
    <w:multiLevelType w:val="hybridMultilevel"/>
    <w:tmpl w:val="1A44E460"/>
    <w:lvl w:ilvl="0" w:tplc="04150013">
      <w:start w:val="1"/>
      <w:numFmt w:val="upperRoman"/>
      <w:lvlText w:val="%1."/>
      <w:lvlJc w:val="righ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33"/>
  </w:num>
  <w:num w:numId="3">
    <w:abstractNumId w:val="40"/>
  </w:num>
  <w:num w:numId="4">
    <w:abstractNumId w:val="29"/>
  </w:num>
  <w:num w:numId="5">
    <w:abstractNumId w:val="11"/>
  </w:num>
  <w:num w:numId="6">
    <w:abstractNumId w:val="27"/>
  </w:num>
  <w:num w:numId="7">
    <w:abstractNumId w:val="8"/>
  </w:num>
  <w:num w:numId="8">
    <w:abstractNumId w:val="43"/>
  </w:num>
  <w:num w:numId="9">
    <w:abstractNumId w:val="14"/>
  </w:num>
  <w:num w:numId="10">
    <w:abstractNumId w:val="34"/>
  </w:num>
  <w:num w:numId="11">
    <w:abstractNumId w:val="24"/>
  </w:num>
  <w:num w:numId="12">
    <w:abstractNumId w:val="35"/>
  </w:num>
  <w:num w:numId="13">
    <w:abstractNumId w:val="6"/>
  </w:num>
  <w:num w:numId="14">
    <w:abstractNumId w:val="37"/>
  </w:num>
  <w:num w:numId="15">
    <w:abstractNumId w:val="46"/>
  </w:num>
  <w:num w:numId="16">
    <w:abstractNumId w:val="45"/>
  </w:num>
  <w:num w:numId="17">
    <w:abstractNumId w:val="0"/>
  </w:num>
  <w:num w:numId="18">
    <w:abstractNumId w:val="18"/>
  </w:num>
  <w:num w:numId="19">
    <w:abstractNumId w:val="23"/>
  </w:num>
  <w:num w:numId="20">
    <w:abstractNumId w:val="13"/>
  </w:num>
  <w:num w:numId="21">
    <w:abstractNumId w:val="12"/>
  </w:num>
  <w:num w:numId="22">
    <w:abstractNumId w:val="44"/>
  </w:num>
  <w:num w:numId="23">
    <w:abstractNumId w:val="15"/>
  </w:num>
  <w:num w:numId="24">
    <w:abstractNumId w:val="17"/>
  </w:num>
  <w:num w:numId="25">
    <w:abstractNumId w:val="38"/>
  </w:num>
  <w:num w:numId="26">
    <w:abstractNumId w:val="5"/>
  </w:num>
  <w:num w:numId="27">
    <w:abstractNumId w:val="16"/>
  </w:num>
  <w:num w:numId="28">
    <w:abstractNumId w:val="20"/>
  </w:num>
  <w:num w:numId="29">
    <w:abstractNumId w:val="9"/>
  </w:num>
  <w:num w:numId="30">
    <w:abstractNumId w:val="42"/>
  </w:num>
  <w:num w:numId="31">
    <w:abstractNumId w:val="21"/>
  </w:num>
  <w:num w:numId="32">
    <w:abstractNumId w:val="36"/>
  </w:num>
  <w:num w:numId="33">
    <w:abstractNumId w:val="19"/>
  </w:num>
  <w:num w:numId="34">
    <w:abstractNumId w:val="10"/>
  </w:num>
  <w:num w:numId="35">
    <w:abstractNumId w:val="25"/>
  </w:num>
  <w:num w:numId="36">
    <w:abstractNumId w:val="39"/>
  </w:num>
  <w:num w:numId="37">
    <w:abstractNumId w:val="30"/>
  </w:num>
  <w:num w:numId="38">
    <w:abstractNumId w:val="7"/>
  </w:num>
  <w:num w:numId="39">
    <w:abstractNumId w:val="28"/>
  </w:num>
  <w:num w:numId="40">
    <w:abstractNumId w:val="4"/>
  </w:num>
  <w:num w:numId="41">
    <w:abstractNumId w:val="1"/>
  </w:num>
  <w:num w:numId="42">
    <w:abstractNumId w:val="2"/>
  </w:num>
  <w:num w:numId="43">
    <w:abstractNumId w:val="26"/>
  </w:num>
  <w:num w:numId="44">
    <w:abstractNumId w:val="41"/>
  </w:num>
  <w:num w:numId="45">
    <w:abstractNumId w:val="31"/>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63"/>
    <w:rsid w:val="0000052A"/>
    <w:rsid w:val="0000126F"/>
    <w:rsid w:val="000030CD"/>
    <w:rsid w:val="000035D7"/>
    <w:rsid w:val="00003C52"/>
    <w:rsid w:val="00006218"/>
    <w:rsid w:val="00010E13"/>
    <w:rsid w:val="00012BB1"/>
    <w:rsid w:val="00013662"/>
    <w:rsid w:val="00015A8A"/>
    <w:rsid w:val="000200E5"/>
    <w:rsid w:val="000206B8"/>
    <w:rsid w:val="000221EB"/>
    <w:rsid w:val="00034213"/>
    <w:rsid w:val="00034437"/>
    <w:rsid w:val="00035766"/>
    <w:rsid w:val="00046529"/>
    <w:rsid w:val="00052186"/>
    <w:rsid w:val="00053B2E"/>
    <w:rsid w:val="00054245"/>
    <w:rsid w:val="000543D3"/>
    <w:rsid w:val="00060B2F"/>
    <w:rsid w:val="00060DF6"/>
    <w:rsid w:val="00062678"/>
    <w:rsid w:val="000667FA"/>
    <w:rsid w:val="00070072"/>
    <w:rsid w:val="000715C1"/>
    <w:rsid w:val="00071923"/>
    <w:rsid w:val="000734D2"/>
    <w:rsid w:val="00073756"/>
    <w:rsid w:val="00073FF1"/>
    <w:rsid w:val="00075E6C"/>
    <w:rsid w:val="00075EAA"/>
    <w:rsid w:val="000807B6"/>
    <w:rsid w:val="00080E3C"/>
    <w:rsid w:val="00086717"/>
    <w:rsid w:val="00090473"/>
    <w:rsid w:val="00090B28"/>
    <w:rsid w:val="00096389"/>
    <w:rsid w:val="000A15D7"/>
    <w:rsid w:val="000A537B"/>
    <w:rsid w:val="000A58D1"/>
    <w:rsid w:val="000B06CE"/>
    <w:rsid w:val="000B5FC9"/>
    <w:rsid w:val="000B606B"/>
    <w:rsid w:val="000B646D"/>
    <w:rsid w:val="000C1B82"/>
    <w:rsid w:val="000C74D0"/>
    <w:rsid w:val="000D4A8D"/>
    <w:rsid w:val="000D4CB9"/>
    <w:rsid w:val="000E3B07"/>
    <w:rsid w:val="000E43F6"/>
    <w:rsid w:val="000E5025"/>
    <w:rsid w:val="000E5055"/>
    <w:rsid w:val="000E710E"/>
    <w:rsid w:val="000F0370"/>
    <w:rsid w:val="000F0BD2"/>
    <w:rsid w:val="00102F29"/>
    <w:rsid w:val="001053F8"/>
    <w:rsid w:val="001054DC"/>
    <w:rsid w:val="0011065E"/>
    <w:rsid w:val="0011190F"/>
    <w:rsid w:val="00111A6A"/>
    <w:rsid w:val="00113AC9"/>
    <w:rsid w:val="00114DEB"/>
    <w:rsid w:val="00116360"/>
    <w:rsid w:val="00116631"/>
    <w:rsid w:val="00117877"/>
    <w:rsid w:val="00117C4B"/>
    <w:rsid w:val="00120628"/>
    <w:rsid w:val="00120908"/>
    <w:rsid w:val="00135417"/>
    <w:rsid w:val="001361DE"/>
    <w:rsid w:val="0014054A"/>
    <w:rsid w:val="00141BB7"/>
    <w:rsid w:val="001424BA"/>
    <w:rsid w:val="00143452"/>
    <w:rsid w:val="00151358"/>
    <w:rsid w:val="001519F1"/>
    <w:rsid w:val="00152558"/>
    <w:rsid w:val="0015385B"/>
    <w:rsid w:val="00153BFC"/>
    <w:rsid w:val="00155240"/>
    <w:rsid w:val="00161950"/>
    <w:rsid w:val="00161F2C"/>
    <w:rsid w:val="001624B1"/>
    <w:rsid w:val="00162F64"/>
    <w:rsid w:val="00170FEB"/>
    <w:rsid w:val="00172915"/>
    <w:rsid w:val="00172B3A"/>
    <w:rsid w:val="00172CE1"/>
    <w:rsid w:val="001748A6"/>
    <w:rsid w:val="00174D66"/>
    <w:rsid w:val="001808A2"/>
    <w:rsid w:val="001822AC"/>
    <w:rsid w:val="00183669"/>
    <w:rsid w:val="0019663E"/>
    <w:rsid w:val="001A7801"/>
    <w:rsid w:val="001A7D95"/>
    <w:rsid w:val="001B1880"/>
    <w:rsid w:val="001B734A"/>
    <w:rsid w:val="001B7C22"/>
    <w:rsid w:val="001C180B"/>
    <w:rsid w:val="001C2B30"/>
    <w:rsid w:val="001C64CA"/>
    <w:rsid w:val="001D12CC"/>
    <w:rsid w:val="001D2F75"/>
    <w:rsid w:val="001D7B82"/>
    <w:rsid w:val="001D7BE3"/>
    <w:rsid w:val="001E1439"/>
    <w:rsid w:val="001E3896"/>
    <w:rsid w:val="001E4950"/>
    <w:rsid w:val="001F4A36"/>
    <w:rsid w:val="001F5912"/>
    <w:rsid w:val="001F7619"/>
    <w:rsid w:val="0020044E"/>
    <w:rsid w:val="00200842"/>
    <w:rsid w:val="00204200"/>
    <w:rsid w:val="00206978"/>
    <w:rsid w:val="00207AF1"/>
    <w:rsid w:val="002127BB"/>
    <w:rsid w:val="00214DD6"/>
    <w:rsid w:val="00215CF6"/>
    <w:rsid w:val="002201F6"/>
    <w:rsid w:val="00220ED2"/>
    <w:rsid w:val="002231BB"/>
    <w:rsid w:val="00231D1C"/>
    <w:rsid w:val="00232723"/>
    <w:rsid w:val="00232FA9"/>
    <w:rsid w:val="002338EA"/>
    <w:rsid w:val="00233ACA"/>
    <w:rsid w:val="002365A3"/>
    <w:rsid w:val="002415BF"/>
    <w:rsid w:val="00242E44"/>
    <w:rsid w:val="00245498"/>
    <w:rsid w:val="00250103"/>
    <w:rsid w:val="002518E4"/>
    <w:rsid w:val="00251BE2"/>
    <w:rsid w:val="00260E86"/>
    <w:rsid w:val="002615D2"/>
    <w:rsid w:val="002632B4"/>
    <w:rsid w:val="002661E9"/>
    <w:rsid w:val="0026747E"/>
    <w:rsid w:val="002676D0"/>
    <w:rsid w:val="00272EA4"/>
    <w:rsid w:val="00274070"/>
    <w:rsid w:val="002767DC"/>
    <w:rsid w:val="00277A3B"/>
    <w:rsid w:val="00281946"/>
    <w:rsid w:val="00282280"/>
    <w:rsid w:val="002825CF"/>
    <w:rsid w:val="002828EB"/>
    <w:rsid w:val="002845F8"/>
    <w:rsid w:val="00284FA6"/>
    <w:rsid w:val="00285E31"/>
    <w:rsid w:val="00287DD8"/>
    <w:rsid w:val="00290F46"/>
    <w:rsid w:val="002921EB"/>
    <w:rsid w:val="0029379A"/>
    <w:rsid w:val="00293DFB"/>
    <w:rsid w:val="00296499"/>
    <w:rsid w:val="002A17B2"/>
    <w:rsid w:val="002A3777"/>
    <w:rsid w:val="002A4821"/>
    <w:rsid w:val="002A49E6"/>
    <w:rsid w:val="002A64FD"/>
    <w:rsid w:val="002A6D16"/>
    <w:rsid w:val="002A743F"/>
    <w:rsid w:val="002B000C"/>
    <w:rsid w:val="002B0682"/>
    <w:rsid w:val="002B27C4"/>
    <w:rsid w:val="002B4D0F"/>
    <w:rsid w:val="002B5F60"/>
    <w:rsid w:val="002B6C91"/>
    <w:rsid w:val="002C0204"/>
    <w:rsid w:val="002C0A72"/>
    <w:rsid w:val="002C219D"/>
    <w:rsid w:val="002C3075"/>
    <w:rsid w:val="002C431A"/>
    <w:rsid w:val="002D04B1"/>
    <w:rsid w:val="002D075C"/>
    <w:rsid w:val="002D0C84"/>
    <w:rsid w:val="002D339A"/>
    <w:rsid w:val="002D4458"/>
    <w:rsid w:val="002D6A08"/>
    <w:rsid w:val="002D6DF2"/>
    <w:rsid w:val="002D7CF8"/>
    <w:rsid w:val="002E0035"/>
    <w:rsid w:val="002E2211"/>
    <w:rsid w:val="002E348A"/>
    <w:rsid w:val="002E366B"/>
    <w:rsid w:val="002E4212"/>
    <w:rsid w:val="002E60E1"/>
    <w:rsid w:val="002E7F58"/>
    <w:rsid w:val="002F28A0"/>
    <w:rsid w:val="002F2CFD"/>
    <w:rsid w:val="002F4B87"/>
    <w:rsid w:val="002F4C53"/>
    <w:rsid w:val="002F589F"/>
    <w:rsid w:val="002F6A6A"/>
    <w:rsid w:val="002F6C62"/>
    <w:rsid w:val="002F7CC3"/>
    <w:rsid w:val="003009C5"/>
    <w:rsid w:val="00301DF1"/>
    <w:rsid w:val="00306A66"/>
    <w:rsid w:val="00312DA3"/>
    <w:rsid w:val="00312EA5"/>
    <w:rsid w:val="0031335B"/>
    <w:rsid w:val="0031758C"/>
    <w:rsid w:val="00320054"/>
    <w:rsid w:val="003222C6"/>
    <w:rsid w:val="00322616"/>
    <w:rsid w:val="003239BC"/>
    <w:rsid w:val="003259F4"/>
    <w:rsid w:val="00325C90"/>
    <w:rsid w:val="00326725"/>
    <w:rsid w:val="003300EF"/>
    <w:rsid w:val="00331E9F"/>
    <w:rsid w:val="00332D79"/>
    <w:rsid w:val="003333CF"/>
    <w:rsid w:val="00336D40"/>
    <w:rsid w:val="0033794E"/>
    <w:rsid w:val="00337C55"/>
    <w:rsid w:val="00340E78"/>
    <w:rsid w:val="003449BA"/>
    <w:rsid w:val="00345941"/>
    <w:rsid w:val="003469E8"/>
    <w:rsid w:val="00355547"/>
    <w:rsid w:val="00355CAB"/>
    <w:rsid w:val="00361BE6"/>
    <w:rsid w:val="00364BFD"/>
    <w:rsid w:val="00365F84"/>
    <w:rsid w:val="00366FCE"/>
    <w:rsid w:val="0037118F"/>
    <w:rsid w:val="003758EA"/>
    <w:rsid w:val="00375F0A"/>
    <w:rsid w:val="0037636A"/>
    <w:rsid w:val="00380AC0"/>
    <w:rsid w:val="0038155F"/>
    <w:rsid w:val="003816B3"/>
    <w:rsid w:val="003824D3"/>
    <w:rsid w:val="00382A12"/>
    <w:rsid w:val="0039067C"/>
    <w:rsid w:val="00392A74"/>
    <w:rsid w:val="00395E9E"/>
    <w:rsid w:val="003A0086"/>
    <w:rsid w:val="003A0216"/>
    <w:rsid w:val="003A2732"/>
    <w:rsid w:val="003A6961"/>
    <w:rsid w:val="003B1776"/>
    <w:rsid w:val="003B7C93"/>
    <w:rsid w:val="003C18BE"/>
    <w:rsid w:val="003C41D5"/>
    <w:rsid w:val="003C6AC6"/>
    <w:rsid w:val="003C76AC"/>
    <w:rsid w:val="003C7DAE"/>
    <w:rsid w:val="003C7EED"/>
    <w:rsid w:val="003E2ABF"/>
    <w:rsid w:val="003F2CA6"/>
    <w:rsid w:val="003F4042"/>
    <w:rsid w:val="003F4584"/>
    <w:rsid w:val="003F5477"/>
    <w:rsid w:val="003F5E64"/>
    <w:rsid w:val="003F6DDD"/>
    <w:rsid w:val="0040074E"/>
    <w:rsid w:val="00400B51"/>
    <w:rsid w:val="00402F2E"/>
    <w:rsid w:val="00405C05"/>
    <w:rsid w:val="00407C8C"/>
    <w:rsid w:val="00413176"/>
    <w:rsid w:val="00415124"/>
    <w:rsid w:val="004159A1"/>
    <w:rsid w:val="00416F88"/>
    <w:rsid w:val="00417190"/>
    <w:rsid w:val="00417278"/>
    <w:rsid w:val="00421D18"/>
    <w:rsid w:val="0042531C"/>
    <w:rsid w:val="00426E41"/>
    <w:rsid w:val="00431F16"/>
    <w:rsid w:val="00432916"/>
    <w:rsid w:val="0043598C"/>
    <w:rsid w:val="00436E45"/>
    <w:rsid w:val="004376EA"/>
    <w:rsid w:val="0044155D"/>
    <w:rsid w:val="00445266"/>
    <w:rsid w:val="004453D8"/>
    <w:rsid w:val="00445E6A"/>
    <w:rsid w:val="00453258"/>
    <w:rsid w:val="00454898"/>
    <w:rsid w:val="00455DDC"/>
    <w:rsid w:val="00455E40"/>
    <w:rsid w:val="00464E55"/>
    <w:rsid w:val="004678C3"/>
    <w:rsid w:val="004678EB"/>
    <w:rsid w:val="00467C13"/>
    <w:rsid w:val="00474473"/>
    <w:rsid w:val="00475BD4"/>
    <w:rsid w:val="00477956"/>
    <w:rsid w:val="0048268E"/>
    <w:rsid w:val="00482F86"/>
    <w:rsid w:val="00483CAB"/>
    <w:rsid w:val="004855E8"/>
    <w:rsid w:val="00485D2E"/>
    <w:rsid w:val="00491D50"/>
    <w:rsid w:val="00492652"/>
    <w:rsid w:val="0049512C"/>
    <w:rsid w:val="00497541"/>
    <w:rsid w:val="004A136F"/>
    <w:rsid w:val="004A33F0"/>
    <w:rsid w:val="004A3400"/>
    <w:rsid w:val="004A4049"/>
    <w:rsid w:val="004A4AC6"/>
    <w:rsid w:val="004A50F7"/>
    <w:rsid w:val="004A56EF"/>
    <w:rsid w:val="004A7C15"/>
    <w:rsid w:val="004B1651"/>
    <w:rsid w:val="004C0B51"/>
    <w:rsid w:val="004C3B1C"/>
    <w:rsid w:val="004C7C68"/>
    <w:rsid w:val="004D277B"/>
    <w:rsid w:val="004D5639"/>
    <w:rsid w:val="004D73DF"/>
    <w:rsid w:val="004E2875"/>
    <w:rsid w:val="004E42F3"/>
    <w:rsid w:val="004E5E8D"/>
    <w:rsid w:val="004F0540"/>
    <w:rsid w:val="004F775C"/>
    <w:rsid w:val="00502669"/>
    <w:rsid w:val="005059CE"/>
    <w:rsid w:val="005068D8"/>
    <w:rsid w:val="00507FE4"/>
    <w:rsid w:val="0051183B"/>
    <w:rsid w:val="00512762"/>
    <w:rsid w:val="00514C37"/>
    <w:rsid w:val="005202B6"/>
    <w:rsid w:val="00520797"/>
    <w:rsid w:val="00522F9E"/>
    <w:rsid w:val="005259A0"/>
    <w:rsid w:val="00525FAF"/>
    <w:rsid w:val="00527659"/>
    <w:rsid w:val="00535EC6"/>
    <w:rsid w:val="0053649D"/>
    <w:rsid w:val="00537DD1"/>
    <w:rsid w:val="005408BB"/>
    <w:rsid w:val="00547E32"/>
    <w:rsid w:val="005574D4"/>
    <w:rsid w:val="00561756"/>
    <w:rsid w:val="00562083"/>
    <w:rsid w:val="00563C0E"/>
    <w:rsid w:val="0056593E"/>
    <w:rsid w:val="00566142"/>
    <w:rsid w:val="005669C2"/>
    <w:rsid w:val="00566C8B"/>
    <w:rsid w:val="00571355"/>
    <w:rsid w:val="00571861"/>
    <w:rsid w:val="0057194B"/>
    <w:rsid w:val="005749E6"/>
    <w:rsid w:val="0057600D"/>
    <w:rsid w:val="00577646"/>
    <w:rsid w:val="0058033C"/>
    <w:rsid w:val="00580772"/>
    <w:rsid w:val="005835B0"/>
    <w:rsid w:val="005844E3"/>
    <w:rsid w:val="00590E4F"/>
    <w:rsid w:val="00593B8E"/>
    <w:rsid w:val="00594996"/>
    <w:rsid w:val="00595F87"/>
    <w:rsid w:val="00596258"/>
    <w:rsid w:val="0059671B"/>
    <w:rsid w:val="00596E64"/>
    <w:rsid w:val="005A28F6"/>
    <w:rsid w:val="005A66BE"/>
    <w:rsid w:val="005B0B2A"/>
    <w:rsid w:val="005B0E10"/>
    <w:rsid w:val="005B476D"/>
    <w:rsid w:val="005C3BF2"/>
    <w:rsid w:val="005C3E2A"/>
    <w:rsid w:val="005C54CA"/>
    <w:rsid w:val="005C648A"/>
    <w:rsid w:val="005D038D"/>
    <w:rsid w:val="005D051F"/>
    <w:rsid w:val="005D11EC"/>
    <w:rsid w:val="005D5958"/>
    <w:rsid w:val="005D7DF7"/>
    <w:rsid w:val="005E21DB"/>
    <w:rsid w:val="005E4638"/>
    <w:rsid w:val="005E7CF9"/>
    <w:rsid w:val="005F006D"/>
    <w:rsid w:val="005F5D21"/>
    <w:rsid w:val="00600E22"/>
    <w:rsid w:val="006049C5"/>
    <w:rsid w:val="006055E5"/>
    <w:rsid w:val="0061019A"/>
    <w:rsid w:val="006203FC"/>
    <w:rsid w:val="0062130F"/>
    <w:rsid w:val="00621DA7"/>
    <w:rsid w:val="00627A87"/>
    <w:rsid w:val="0063127A"/>
    <w:rsid w:val="006323D7"/>
    <w:rsid w:val="00634126"/>
    <w:rsid w:val="00635AAC"/>
    <w:rsid w:val="00640184"/>
    <w:rsid w:val="00641526"/>
    <w:rsid w:val="006429F5"/>
    <w:rsid w:val="00647C84"/>
    <w:rsid w:val="00647D88"/>
    <w:rsid w:val="00655A24"/>
    <w:rsid w:val="00660C4B"/>
    <w:rsid w:val="00667632"/>
    <w:rsid w:val="00671AD7"/>
    <w:rsid w:val="00671B29"/>
    <w:rsid w:val="00674308"/>
    <w:rsid w:val="00674E7C"/>
    <w:rsid w:val="006823FB"/>
    <w:rsid w:val="0068255D"/>
    <w:rsid w:val="0068469E"/>
    <w:rsid w:val="0068681C"/>
    <w:rsid w:val="00686B28"/>
    <w:rsid w:val="00692E1F"/>
    <w:rsid w:val="006A0D5F"/>
    <w:rsid w:val="006A1846"/>
    <w:rsid w:val="006A2466"/>
    <w:rsid w:val="006A2DF2"/>
    <w:rsid w:val="006A3E5F"/>
    <w:rsid w:val="006A6D28"/>
    <w:rsid w:val="006B1319"/>
    <w:rsid w:val="006B453A"/>
    <w:rsid w:val="006B61EC"/>
    <w:rsid w:val="006B6AFC"/>
    <w:rsid w:val="006C0168"/>
    <w:rsid w:val="006C62C0"/>
    <w:rsid w:val="006C781D"/>
    <w:rsid w:val="006D0875"/>
    <w:rsid w:val="006D18A9"/>
    <w:rsid w:val="006D3699"/>
    <w:rsid w:val="006D591D"/>
    <w:rsid w:val="006D77DF"/>
    <w:rsid w:val="006E187E"/>
    <w:rsid w:val="006E4F2B"/>
    <w:rsid w:val="006E5499"/>
    <w:rsid w:val="006E5B8A"/>
    <w:rsid w:val="006E7CB6"/>
    <w:rsid w:val="006E7EC8"/>
    <w:rsid w:val="006F0B18"/>
    <w:rsid w:val="006F17B3"/>
    <w:rsid w:val="006F333F"/>
    <w:rsid w:val="006F36C6"/>
    <w:rsid w:val="006F376E"/>
    <w:rsid w:val="006F415C"/>
    <w:rsid w:val="006F4C3E"/>
    <w:rsid w:val="006F6A4A"/>
    <w:rsid w:val="006F6C78"/>
    <w:rsid w:val="006F7861"/>
    <w:rsid w:val="0070018F"/>
    <w:rsid w:val="0070233C"/>
    <w:rsid w:val="00704293"/>
    <w:rsid w:val="00711304"/>
    <w:rsid w:val="007119F3"/>
    <w:rsid w:val="00713EF8"/>
    <w:rsid w:val="00715F4A"/>
    <w:rsid w:val="00716C3F"/>
    <w:rsid w:val="007204A9"/>
    <w:rsid w:val="00723020"/>
    <w:rsid w:val="00726D7C"/>
    <w:rsid w:val="0072784F"/>
    <w:rsid w:val="007315A6"/>
    <w:rsid w:val="0073283E"/>
    <w:rsid w:val="00732A61"/>
    <w:rsid w:val="00732DDF"/>
    <w:rsid w:val="00733666"/>
    <w:rsid w:val="0073482E"/>
    <w:rsid w:val="0073512A"/>
    <w:rsid w:val="00735E90"/>
    <w:rsid w:val="00740341"/>
    <w:rsid w:val="00740673"/>
    <w:rsid w:val="00740A34"/>
    <w:rsid w:val="007410DB"/>
    <w:rsid w:val="00753099"/>
    <w:rsid w:val="0075373C"/>
    <w:rsid w:val="00754914"/>
    <w:rsid w:val="00755601"/>
    <w:rsid w:val="007613DA"/>
    <w:rsid w:val="00763FF6"/>
    <w:rsid w:val="00767936"/>
    <w:rsid w:val="007679A5"/>
    <w:rsid w:val="0077222F"/>
    <w:rsid w:val="00772D5A"/>
    <w:rsid w:val="0077466F"/>
    <w:rsid w:val="00777323"/>
    <w:rsid w:val="00777B6E"/>
    <w:rsid w:val="00783289"/>
    <w:rsid w:val="007849D8"/>
    <w:rsid w:val="00785AF4"/>
    <w:rsid w:val="00792871"/>
    <w:rsid w:val="00795CA8"/>
    <w:rsid w:val="007A0787"/>
    <w:rsid w:val="007A1638"/>
    <w:rsid w:val="007A215D"/>
    <w:rsid w:val="007A5CDB"/>
    <w:rsid w:val="007A7D1A"/>
    <w:rsid w:val="007A7E44"/>
    <w:rsid w:val="007B1B05"/>
    <w:rsid w:val="007B2FF5"/>
    <w:rsid w:val="007B3C54"/>
    <w:rsid w:val="007C0B57"/>
    <w:rsid w:val="007C1470"/>
    <w:rsid w:val="007C26E2"/>
    <w:rsid w:val="007C3051"/>
    <w:rsid w:val="007C44C2"/>
    <w:rsid w:val="007C75DB"/>
    <w:rsid w:val="007D1231"/>
    <w:rsid w:val="007D1AF4"/>
    <w:rsid w:val="007D4CA7"/>
    <w:rsid w:val="007D59BA"/>
    <w:rsid w:val="007E0F7A"/>
    <w:rsid w:val="007E4035"/>
    <w:rsid w:val="007E43AA"/>
    <w:rsid w:val="007E47B8"/>
    <w:rsid w:val="007E55E8"/>
    <w:rsid w:val="007E6697"/>
    <w:rsid w:val="007F0816"/>
    <w:rsid w:val="007F416F"/>
    <w:rsid w:val="007F41C9"/>
    <w:rsid w:val="007F500E"/>
    <w:rsid w:val="007F5D21"/>
    <w:rsid w:val="007F7EAB"/>
    <w:rsid w:val="00807E51"/>
    <w:rsid w:val="008172E9"/>
    <w:rsid w:val="008224BC"/>
    <w:rsid w:val="0082412D"/>
    <w:rsid w:val="00824F70"/>
    <w:rsid w:val="00834461"/>
    <w:rsid w:val="008368B9"/>
    <w:rsid w:val="00836A9D"/>
    <w:rsid w:val="00836DB7"/>
    <w:rsid w:val="00840ADC"/>
    <w:rsid w:val="0084530F"/>
    <w:rsid w:val="00846CA3"/>
    <w:rsid w:val="008476D4"/>
    <w:rsid w:val="008477D3"/>
    <w:rsid w:val="00847B95"/>
    <w:rsid w:val="00850B56"/>
    <w:rsid w:val="0085474F"/>
    <w:rsid w:val="008610CC"/>
    <w:rsid w:val="00861797"/>
    <w:rsid w:val="00862F7C"/>
    <w:rsid w:val="00864111"/>
    <w:rsid w:val="00864DE0"/>
    <w:rsid w:val="0086637A"/>
    <w:rsid w:val="00867C2B"/>
    <w:rsid w:val="00870E11"/>
    <w:rsid w:val="00873830"/>
    <w:rsid w:val="00875E82"/>
    <w:rsid w:val="00885249"/>
    <w:rsid w:val="008921B7"/>
    <w:rsid w:val="00892683"/>
    <w:rsid w:val="00892D26"/>
    <w:rsid w:val="00892E1B"/>
    <w:rsid w:val="00894260"/>
    <w:rsid w:val="008A0B17"/>
    <w:rsid w:val="008A3602"/>
    <w:rsid w:val="008A4013"/>
    <w:rsid w:val="008B044D"/>
    <w:rsid w:val="008B63CF"/>
    <w:rsid w:val="008C1A55"/>
    <w:rsid w:val="008C1A9E"/>
    <w:rsid w:val="008C4CAD"/>
    <w:rsid w:val="008D16BD"/>
    <w:rsid w:val="008D41DC"/>
    <w:rsid w:val="008D7320"/>
    <w:rsid w:val="008E0292"/>
    <w:rsid w:val="008E1E1A"/>
    <w:rsid w:val="008E6241"/>
    <w:rsid w:val="008E7C0A"/>
    <w:rsid w:val="008E7C5D"/>
    <w:rsid w:val="008F0EE4"/>
    <w:rsid w:val="008F2432"/>
    <w:rsid w:val="00900D0D"/>
    <w:rsid w:val="00901572"/>
    <w:rsid w:val="00902808"/>
    <w:rsid w:val="00902C25"/>
    <w:rsid w:val="00912ADA"/>
    <w:rsid w:val="0091309E"/>
    <w:rsid w:val="00913479"/>
    <w:rsid w:val="00916109"/>
    <w:rsid w:val="00922D54"/>
    <w:rsid w:val="00924AEE"/>
    <w:rsid w:val="00924F66"/>
    <w:rsid w:val="009254F9"/>
    <w:rsid w:val="00926D40"/>
    <w:rsid w:val="0093160D"/>
    <w:rsid w:val="0093486F"/>
    <w:rsid w:val="00934DC6"/>
    <w:rsid w:val="0093627A"/>
    <w:rsid w:val="00937C33"/>
    <w:rsid w:val="00942829"/>
    <w:rsid w:val="00942CA3"/>
    <w:rsid w:val="00942ED3"/>
    <w:rsid w:val="00943109"/>
    <w:rsid w:val="00943EE8"/>
    <w:rsid w:val="00944072"/>
    <w:rsid w:val="00951F8D"/>
    <w:rsid w:val="0095323E"/>
    <w:rsid w:val="009612FE"/>
    <w:rsid w:val="00963E70"/>
    <w:rsid w:val="00966F9B"/>
    <w:rsid w:val="009671A6"/>
    <w:rsid w:val="00970C03"/>
    <w:rsid w:val="0098020A"/>
    <w:rsid w:val="00980275"/>
    <w:rsid w:val="00980E50"/>
    <w:rsid w:val="009814B1"/>
    <w:rsid w:val="00985784"/>
    <w:rsid w:val="00985A3F"/>
    <w:rsid w:val="00986124"/>
    <w:rsid w:val="00990023"/>
    <w:rsid w:val="009A0A19"/>
    <w:rsid w:val="009A40A0"/>
    <w:rsid w:val="009B223D"/>
    <w:rsid w:val="009B26A6"/>
    <w:rsid w:val="009B5235"/>
    <w:rsid w:val="009B5B51"/>
    <w:rsid w:val="009B7221"/>
    <w:rsid w:val="009C462D"/>
    <w:rsid w:val="009C6389"/>
    <w:rsid w:val="009D0029"/>
    <w:rsid w:val="009D1281"/>
    <w:rsid w:val="009D1C8F"/>
    <w:rsid w:val="009D39AF"/>
    <w:rsid w:val="009D4332"/>
    <w:rsid w:val="009D564F"/>
    <w:rsid w:val="009D5922"/>
    <w:rsid w:val="009D6B64"/>
    <w:rsid w:val="009D7658"/>
    <w:rsid w:val="009D7A63"/>
    <w:rsid w:val="009E0F6D"/>
    <w:rsid w:val="009E666F"/>
    <w:rsid w:val="009F24A4"/>
    <w:rsid w:val="009F3A37"/>
    <w:rsid w:val="00A00B47"/>
    <w:rsid w:val="00A022B8"/>
    <w:rsid w:val="00A06306"/>
    <w:rsid w:val="00A07243"/>
    <w:rsid w:val="00A1051E"/>
    <w:rsid w:val="00A10593"/>
    <w:rsid w:val="00A14CC9"/>
    <w:rsid w:val="00A16342"/>
    <w:rsid w:val="00A2346B"/>
    <w:rsid w:val="00A244F0"/>
    <w:rsid w:val="00A247D2"/>
    <w:rsid w:val="00A25DAD"/>
    <w:rsid w:val="00A25E18"/>
    <w:rsid w:val="00A3050B"/>
    <w:rsid w:val="00A32C16"/>
    <w:rsid w:val="00A368D9"/>
    <w:rsid w:val="00A376CA"/>
    <w:rsid w:val="00A41003"/>
    <w:rsid w:val="00A47303"/>
    <w:rsid w:val="00A50278"/>
    <w:rsid w:val="00A50EA5"/>
    <w:rsid w:val="00A525ED"/>
    <w:rsid w:val="00A54B7B"/>
    <w:rsid w:val="00A56CB4"/>
    <w:rsid w:val="00A611FB"/>
    <w:rsid w:val="00A61ABD"/>
    <w:rsid w:val="00A66DBA"/>
    <w:rsid w:val="00A701D5"/>
    <w:rsid w:val="00A71DE4"/>
    <w:rsid w:val="00A760DC"/>
    <w:rsid w:val="00A768BC"/>
    <w:rsid w:val="00A772F6"/>
    <w:rsid w:val="00A82E83"/>
    <w:rsid w:val="00A83795"/>
    <w:rsid w:val="00A837EE"/>
    <w:rsid w:val="00A865E7"/>
    <w:rsid w:val="00A86FD9"/>
    <w:rsid w:val="00A87C80"/>
    <w:rsid w:val="00A903D3"/>
    <w:rsid w:val="00A904A5"/>
    <w:rsid w:val="00A92EF7"/>
    <w:rsid w:val="00A97357"/>
    <w:rsid w:val="00AA0202"/>
    <w:rsid w:val="00AA185D"/>
    <w:rsid w:val="00AA2913"/>
    <w:rsid w:val="00AB007E"/>
    <w:rsid w:val="00AB098C"/>
    <w:rsid w:val="00AB18AD"/>
    <w:rsid w:val="00AB4D67"/>
    <w:rsid w:val="00AB566A"/>
    <w:rsid w:val="00AB6F3F"/>
    <w:rsid w:val="00AC10A8"/>
    <w:rsid w:val="00AC17E0"/>
    <w:rsid w:val="00AC3D4D"/>
    <w:rsid w:val="00AC45CF"/>
    <w:rsid w:val="00AD04F3"/>
    <w:rsid w:val="00AD0FC1"/>
    <w:rsid w:val="00AD144A"/>
    <w:rsid w:val="00AD2417"/>
    <w:rsid w:val="00AD434F"/>
    <w:rsid w:val="00AD4E14"/>
    <w:rsid w:val="00AD7BFC"/>
    <w:rsid w:val="00AE0003"/>
    <w:rsid w:val="00AE21DC"/>
    <w:rsid w:val="00AE3683"/>
    <w:rsid w:val="00AE48E3"/>
    <w:rsid w:val="00AE5D61"/>
    <w:rsid w:val="00AF102B"/>
    <w:rsid w:val="00AF31E8"/>
    <w:rsid w:val="00AF6538"/>
    <w:rsid w:val="00AF7601"/>
    <w:rsid w:val="00B04E3C"/>
    <w:rsid w:val="00B069DC"/>
    <w:rsid w:val="00B11BBC"/>
    <w:rsid w:val="00B1232F"/>
    <w:rsid w:val="00B12474"/>
    <w:rsid w:val="00B15C5E"/>
    <w:rsid w:val="00B20D4D"/>
    <w:rsid w:val="00B218AD"/>
    <w:rsid w:val="00B23BC3"/>
    <w:rsid w:val="00B2439E"/>
    <w:rsid w:val="00B31E34"/>
    <w:rsid w:val="00B32003"/>
    <w:rsid w:val="00B32CF5"/>
    <w:rsid w:val="00B3491D"/>
    <w:rsid w:val="00B34D1D"/>
    <w:rsid w:val="00B35D5E"/>
    <w:rsid w:val="00B36E51"/>
    <w:rsid w:val="00B42128"/>
    <w:rsid w:val="00B426A6"/>
    <w:rsid w:val="00B56CAB"/>
    <w:rsid w:val="00B57281"/>
    <w:rsid w:val="00B576BE"/>
    <w:rsid w:val="00B57BA1"/>
    <w:rsid w:val="00B602F2"/>
    <w:rsid w:val="00B63AF3"/>
    <w:rsid w:val="00B70990"/>
    <w:rsid w:val="00B70B83"/>
    <w:rsid w:val="00B735D4"/>
    <w:rsid w:val="00B74C48"/>
    <w:rsid w:val="00B77C82"/>
    <w:rsid w:val="00B77CC0"/>
    <w:rsid w:val="00B80FB2"/>
    <w:rsid w:val="00B872DE"/>
    <w:rsid w:val="00B92A05"/>
    <w:rsid w:val="00B93C4B"/>
    <w:rsid w:val="00B94D1B"/>
    <w:rsid w:val="00B95018"/>
    <w:rsid w:val="00BA1323"/>
    <w:rsid w:val="00BA402E"/>
    <w:rsid w:val="00BA72B7"/>
    <w:rsid w:val="00BB2F5C"/>
    <w:rsid w:val="00BB3153"/>
    <w:rsid w:val="00BB3766"/>
    <w:rsid w:val="00BB51CF"/>
    <w:rsid w:val="00BB62B9"/>
    <w:rsid w:val="00BC2A81"/>
    <w:rsid w:val="00BC594A"/>
    <w:rsid w:val="00BC762F"/>
    <w:rsid w:val="00BD0A83"/>
    <w:rsid w:val="00BD2181"/>
    <w:rsid w:val="00BD5FCF"/>
    <w:rsid w:val="00BE1441"/>
    <w:rsid w:val="00BE6BC6"/>
    <w:rsid w:val="00BF14AE"/>
    <w:rsid w:val="00BF4FB8"/>
    <w:rsid w:val="00BF6BD4"/>
    <w:rsid w:val="00BF6F00"/>
    <w:rsid w:val="00BF79B2"/>
    <w:rsid w:val="00C00E0F"/>
    <w:rsid w:val="00C01A12"/>
    <w:rsid w:val="00C04159"/>
    <w:rsid w:val="00C04B57"/>
    <w:rsid w:val="00C05380"/>
    <w:rsid w:val="00C05446"/>
    <w:rsid w:val="00C101FA"/>
    <w:rsid w:val="00C1051A"/>
    <w:rsid w:val="00C13538"/>
    <w:rsid w:val="00C17134"/>
    <w:rsid w:val="00C1765F"/>
    <w:rsid w:val="00C23968"/>
    <w:rsid w:val="00C24426"/>
    <w:rsid w:val="00C24761"/>
    <w:rsid w:val="00C257D3"/>
    <w:rsid w:val="00C272FD"/>
    <w:rsid w:val="00C27F73"/>
    <w:rsid w:val="00C30819"/>
    <w:rsid w:val="00C31789"/>
    <w:rsid w:val="00C323A6"/>
    <w:rsid w:val="00C32999"/>
    <w:rsid w:val="00C33782"/>
    <w:rsid w:val="00C43786"/>
    <w:rsid w:val="00C47252"/>
    <w:rsid w:val="00C54D29"/>
    <w:rsid w:val="00C576A1"/>
    <w:rsid w:val="00C61FB8"/>
    <w:rsid w:val="00C65490"/>
    <w:rsid w:val="00C76B1B"/>
    <w:rsid w:val="00C804B7"/>
    <w:rsid w:val="00C84C0C"/>
    <w:rsid w:val="00C87D0A"/>
    <w:rsid w:val="00C95A01"/>
    <w:rsid w:val="00CA3AEC"/>
    <w:rsid w:val="00CA5500"/>
    <w:rsid w:val="00CB3431"/>
    <w:rsid w:val="00CB7965"/>
    <w:rsid w:val="00CB7E63"/>
    <w:rsid w:val="00CC0D5B"/>
    <w:rsid w:val="00CC3C10"/>
    <w:rsid w:val="00CC4C20"/>
    <w:rsid w:val="00CD1794"/>
    <w:rsid w:val="00CD56FB"/>
    <w:rsid w:val="00CD5D1F"/>
    <w:rsid w:val="00CD66AA"/>
    <w:rsid w:val="00CD6CDE"/>
    <w:rsid w:val="00CD6F51"/>
    <w:rsid w:val="00CE1E80"/>
    <w:rsid w:val="00CE200D"/>
    <w:rsid w:val="00CE2210"/>
    <w:rsid w:val="00CE35C5"/>
    <w:rsid w:val="00CE37C9"/>
    <w:rsid w:val="00CE4F46"/>
    <w:rsid w:val="00CE5A51"/>
    <w:rsid w:val="00CE5B2E"/>
    <w:rsid w:val="00CE71C0"/>
    <w:rsid w:val="00CE7DA7"/>
    <w:rsid w:val="00CF00B5"/>
    <w:rsid w:val="00CF1B95"/>
    <w:rsid w:val="00CF1BC6"/>
    <w:rsid w:val="00CF5650"/>
    <w:rsid w:val="00CF5AC7"/>
    <w:rsid w:val="00CF714F"/>
    <w:rsid w:val="00D0044C"/>
    <w:rsid w:val="00D00B37"/>
    <w:rsid w:val="00D00D6E"/>
    <w:rsid w:val="00D035B7"/>
    <w:rsid w:val="00D03CAA"/>
    <w:rsid w:val="00D04C68"/>
    <w:rsid w:val="00D12D85"/>
    <w:rsid w:val="00D17708"/>
    <w:rsid w:val="00D21CC9"/>
    <w:rsid w:val="00D221E3"/>
    <w:rsid w:val="00D23768"/>
    <w:rsid w:val="00D243D9"/>
    <w:rsid w:val="00D275A3"/>
    <w:rsid w:val="00D31A25"/>
    <w:rsid w:val="00D34632"/>
    <w:rsid w:val="00D34743"/>
    <w:rsid w:val="00D3666D"/>
    <w:rsid w:val="00D413DB"/>
    <w:rsid w:val="00D4162E"/>
    <w:rsid w:val="00D518F1"/>
    <w:rsid w:val="00D52388"/>
    <w:rsid w:val="00D528C9"/>
    <w:rsid w:val="00D5317F"/>
    <w:rsid w:val="00D5404E"/>
    <w:rsid w:val="00D54466"/>
    <w:rsid w:val="00D54CB5"/>
    <w:rsid w:val="00D6193B"/>
    <w:rsid w:val="00D61E86"/>
    <w:rsid w:val="00D61FA0"/>
    <w:rsid w:val="00D64225"/>
    <w:rsid w:val="00D65631"/>
    <w:rsid w:val="00D758C1"/>
    <w:rsid w:val="00D7619F"/>
    <w:rsid w:val="00D76E96"/>
    <w:rsid w:val="00D801B3"/>
    <w:rsid w:val="00D802F0"/>
    <w:rsid w:val="00D81139"/>
    <w:rsid w:val="00D84FB5"/>
    <w:rsid w:val="00D85368"/>
    <w:rsid w:val="00D856D2"/>
    <w:rsid w:val="00D87711"/>
    <w:rsid w:val="00D903AE"/>
    <w:rsid w:val="00D910EE"/>
    <w:rsid w:val="00D915F8"/>
    <w:rsid w:val="00D91FAE"/>
    <w:rsid w:val="00D93BFB"/>
    <w:rsid w:val="00D94BC0"/>
    <w:rsid w:val="00D964C0"/>
    <w:rsid w:val="00D97146"/>
    <w:rsid w:val="00D97DC3"/>
    <w:rsid w:val="00DA1020"/>
    <w:rsid w:val="00DA1F3D"/>
    <w:rsid w:val="00DA26FB"/>
    <w:rsid w:val="00DA3BB3"/>
    <w:rsid w:val="00DA7A06"/>
    <w:rsid w:val="00DB03DC"/>
    <w:rsid w:val="00DB0E75"/>
    <w:rsid w:val="00DB13EB"/>
    <w:rsid w:val="00DB4B34"/>
    <w:rsid w:val="00DB5C0E"/>
    <w:rsid w:val="00DB6C29"/>
    <w:rsid w:val="00DC4174"/>
    <w:rsid w:val="00DC6448"/>
    <w:rsid w:val="00DC6519"/>
    <w:rsid w:val="00DC6C1F"/>
    <w:rsid w:val="00DC78D0"/>
    <w:rsid w:val="00DD0E76"/>
    <w:rsid w:val="00DD0E84"/>
    <w:rsid w:val="00DD2DE5"/>
    <w:rsid w:val="00DE2B83"/>
    <w:rsid w:val="00DE416D"/>
    <w:rsid w:val="00DF0F8F"/>
    <w:rsid w:val="00DF65E1"/>
    <w:rsid w:val="00DF68A1"/>
    <w:rsid w:val="00DF736F"/>
    <w:rsid w:val="00DF7C02"/>
    <w:rsid w:val="00E018DC"/>
    <w:rsid w:val="00E02956"/>
    <w:rsid w:val="00E02DA6"/>
    <w:rsid w:val="00E03EA7"/>
    <w:rsid w:val="00E04843"/>
    <w:rsid w:val="00E04B42"/>
    <w:rsid w:val="00E05FEB"/>
    <w:rsid w:val="00E1269C"/>
    <w:rsid w:val="00E12F0A"/>
    <w:rsid w:val="00E17C1E"/>
    <w:rsid w:val="00E20C4D"/>
    <w:rsid w:val="00E21B42"/>
    <w:rsid w:val="00E21EA1"/>
    <w:rsid w:val="00E22AEE"/>
    <w:rsid w:val="00E23844"/>
    <w:rsid w:val="00E258CB"/>
    <w:rsid w:val="00E2604F"/>
    <w:rsid w:val="00E26353"/>
    <w:rsid w:val="00E26E5B"/>
    <w:rsid w:val="00E30829"/>
    <w:rsid w:val="00E32310"/>
    <w:rsid w:val="00E34FD7"/>
    <w:rsid w:val="00E402EF"/>
    <w:rsid w:val="00E45BC9"/>
    <w:rsid w:val="00E52D93"/>
    <w:rsid w:val="00E5422D"/>
    <w:rsid w:val="00E54B39"/>
    <w:rsid w:val="00E5578C"/>
    <w:rsid w:val="00E55C24"/>
    <w:rsid w:val="00E60021"/>
    <w:rsid w:val="00E67B35"/>
    <w:rsid w:val="00E71AE4"/>
    <w:rsid w:val="00E72C78"/>
    <w:rsid w:val="00E748C6"/>
    <w:rsid w:val="00E752A2"/>
    <w:rsid w:val="00E75F90"/>
    <w:rsid w:val="00E77D57"/>
    <w:rsid w:val="00E77FB7"/>
    <w:rsid w:val="00E82574"/>
    <w:rsid w:val="00E835F7"/>
    <w:rsid w:val="00E84481"/>
    <w:rsid w:val="00E84A04"/>
    <w:rsid w:val="00E84A77"/>
    <w:rsid w:val="00E87511"/>
    <w:rsid w:val="00E90ECF"/>
    <w:rsid w:val="00E92BD5"/>
    <w:rsid w:val="00E9559C"/>
    <w:rsid w:val="00E96B0C"/>
    <w:rsid w:val="00EA1773"/>
    <w:rsid w:val="00EA7C0B"/>
    <w:rsid w:val="00EB011C"/>
    <w:rsid w:val="00EB1035"/>
    <w:rsid w:val="00EB3CEA"/>
    <w:rsid w:val="00EB3E27"/>
    <w:rsid w:val="00EB600E"/>
    <w:rsid w:val="00EB7216"/>
    <w:rsid w:val="00EC0CF9"/>
    <w:rsid w:val="00EC1F61"/>
    <w:rsid w:val="00EC4FCA"/>
    <w:rsid w:val="00ED42C8"/>
    <w:rsid w:val="00ED5696"/>
    <w:rsid w:val="00ED76ED"/>
    <w:rsid w:val="00EE1D68"/>
    <w:rsid w:val="00EE1FDC"/>
    <w:rsid w:val="00EE2857"/>
    <w:rsid w:val="00EE4AE5"/>
    <w:rsid w:val="00EE7571"/>
    <w:rsid w:val="00EE78A2"/>
    <w:rsid w:val="00EF135C"/>
    <w:rsid w:val="00EF308F"/>
    <w:rsid w:val="00F008E1"/>
    <w:rsid w:val="00F039CC"/>
    <w:rsid w:val="00F04AE3"/>
    <w:rsid w:val="00F070B5"/>
    <w:rsid w:val="00F07D79"/>
    <w:rsid w:val="00F15BF2"/>
    <w:rsid w:val="00F218BB"/>
    <w:rsid w:val="00F234CB"/>
    <w:rsid w:val="00F243C6"/>
    <w:rsid w:val="00F31A87"/>
    <w:rsid w:val="00F31F8E"/>
    <w:rsid w:val="00F3281F"/>
    <w:rsid w:val="00F36C46"/>
    <w:rsid w:val="00F41CA9"/>
    <w:rsid w:val="00F431AF"/>
    <w:rsid w:val="00F4357F"/>
    <w:rsid w:val="00F439C1"/>
    <w:rsid w:val="00F44B07"/>
    <w:rsid w:val="00F45E1C"/>
    <w:rsid w:val="00F46F13"/>
    <w:rsid w:val="00F47279"/>
    <w:rsid w:val="00F51E5B"/>
    <w:rsid w:val="00F6002E"/>
    <w:rsid w:val="00F62ADD"/>
    <w:rsid w:val="00F63764"/>
    <w:rsid w:val="00F65F09"/>
    <w:rsid w:val="00F66348"/>
    <w:rsid w:val="00F67437"/>
    <w:rsid w:val="00F67F32"/>
    <w:rsid w:val="00F67FEA"/>
    <w:rsid w:val="00F71E0D"/>
    <w:rsid w:val="00F741E9"/>
    <w:rsid w:val="00F80E2C"/>
    <w:rsid w:val="00F8322D"/>
    <w:rsid w:val="00F84041"/>
    <w:rsid w:val="00F852FB"/>
    <w:rsid w:val="00F9387F"/>
    <w:rsid w:val="00F93FDD"/>
    <w:rsid w:val="00F94A05"/>
    <w:rsid w:val="00F95030"/>
    <w:rsid w:val="00F95899"/>
    <w:rsid w:val="00FA236A"/>
    <w:rsid w:val="00FA2D26"/>
    <w:rsid w:val="00FA5ADB"/>
    <w:rsid w:val="00FA6BE4"/>
    <w:rsid w:val="00FB3BD4"/>
    <w:rsid w:val="00FB53AD"/>
    <w:rsid w:val="00FC08E5"/>
    <w:rsid w:val="00FC2313"/>
    <w:rsid w:val="00FC32E1"/>
    <w:rsid w:val="00FC3577"/>
    <w:rsid w:val="00FC4740"/>
    <w:rsid w:val="00FC790B"/>
    <w:rsid w:val="00FD0B20"/>
    <w:rsid w:val="00FD22E5"/>
    <w:rsid w:val="00FD23AE"/>
    <w:rsid w:val="00FD42F1"/>
    <w:rsid w:val="00FE0005"/>
    <w:rsid w:val="00FE3AE8"/>
    <w:rsid w:val="00FE3BEA"/>
    <w:rsid w:val="00FE49FD"/>
    <w:rsid w:val="00FE5063"/>
    <w:rsid w:val="00FE5F8F"/>
    <w:rsid w:val="00FE626B"/>
    <w:rsid w:val="00FF1C9D"/>
    <w:rsid w:val="00FF1F35"/>
    <w:rsid w:val="00FF6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4EB9A-FB12-454D-80B5-F9D3993B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lang w:val="en-GB"/>
    </w:rPr>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B069DC"/>
    <w:pPr>
      <w:ind w:left="720"/>
      <w:contextualSpacing/>
    </w:pPr>
  </w:style>
  <w:style w:type="paragraph" w:styleId="Nagwekspisutreci">
    <w:name w:val="TOC Heading"/>
    <w:basedOn w:val="Nagwek1"/>
    <w:next w:val="Normalny"/>
    <w:uiPriority w:val="39"/>
    <w:unhideWhenUsed/>
    <w:qFormat/>
    <w:rsid w:val="00EE1FDC"/>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942ED3"/>
    <w:pPr>
      <w:tabs>
        <w:tab w:val="center" w:pos="4536"/>
        <w:tab w:val="right" w:pos="9072"/>
      </w:tabs>
      <w:spacing w:line="240" w:lineRule="auto"/>
    </w:pPr>
  </w:style>
  <w:style w:type="character" w:customStyle="1" w:styleId="NagwekZnak">
    <w:name w:val="Nagłówek Znak"/>
    <w:basedOn w:val="Domylnaczcionkaakapitu"/>
    <w:link w:val="Nagwek"/>
    <w:uiPriority w:val="99"/>
    <w:rsid w:val="00942ED3"/>
  </w:style>
  <w:style w:type="paragraph" w:styleId="Stopka">
    <w:name w:val="footer"/>
    <w:basedOn w:val="Normalny"/>
    <w:link w:val="StopkaZnak"/>
    <w:uiPriority w:val="99"/>
    <w:unhideWhenUsed/>
    <w:rsid w:val="00942ED3"/>
    <w:pPr>
      <w:tabs>
        <w:tab w:val="center" w:pos="4536"/>
        <w:tab w:val="right" w:pos="9072"/>
      </w:tabs>
      <w:spacing w:line="240" w:lineRule="auto"/>
    </w:pPr>
  </w:style>
  <w:style w:type="character" w:customStyle="1" w:styleId="StopkaZnak">
    <w:name w:val="Stopka Znak"/>
    <w:basedOn w:val="Domylnaczcionkaakapitu"/>
    <w:link w:val="Stopka"/>
    <w:uiPriority w:val="99"/>
    <w:rsid w:val="00942ED3"/>
  </w:style>
  <w:style w:type="paragraph" w:styleId="Tekstprzypisudolnego">
    <w:name w:val="footnote text"/>
    <w:basedOn w:val="Normalny"/>
    <w:link w:val="TekstprzypisudolnegoZnak"/>
    <w:uiPriority w:val="99"/>
    <w:unhideWhenUsed/>
    <w:rsid w:val="00D5404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rsid w:val="00D5404E"/>
    <w:rPr>
      <w:rFonts w:asciiTheme="minorHAnsi" w:eastAsiaTheme="minorHAnsi" w:hAnsiTheme="minorHAnsi" w:cstheme="minorBidi"/>
      <w:color w:val="auto"/>
      <w:sz w:val="20"/>
      <w:szCs w:val="20"/>
      <w:lang w:eastAsia="en-US"/>
    </w:rPr>
  </w:style>
  <w:style w:type="character" w:styleId="Odwoanieprzypisudolnego">
    <w:name w:val="footnote reference"/>
    <w:basedOn w:val="Domylnaczcionkaakapitu"/>
    <w:uiPriority w:val="99"/>
    <w:semiHidden/>
    <w:unhideWhenUsed/>
    <w:rsid w:val="00D5404E"/>
    <w:rPr>
      <w:vertAlign w:val="superscript"/>
    </w:rPr>
  </w:style>
  <w:style w:type="table" w:styleId="Tabela-Siatka">
    <w:name w:val="Table Grid"/>
    <w:basedOn w:val="Standardowy"/>
    <w:uiPriority w:val="39"/>
    <w:rsid w:val="00E029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801B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01B3"/>
    <w:rPr>
      <w:sz w:val="20"/>
      <w:szCs w:val="20"/>
    </w:rPr>
  </w:style>
  <w:style w:type="character" w:styleId="Odwoanieprzypisukocowego">
    <w:name w:val="endnote reference"/>
    <w:basedOn w:val="Domylnaczcionkaakapitu"/>
    <w:uiPriority w:val="99"/>
    <w:semiHidden/>
    <w:unhideWhenUsed/>
    <w:rsid w:val="00D801B3"/>
    <w:rPr>
      <w:vertAlign w:val="superscript"/>
    </w:rPr>
  </w:style>
  <w:style w:type="paragraph" w:styleId="NormalnyWeb">
    <w:name w:val="Normal (Web)"/>
    <w:basedOn w:val="Normalny"/>
    <w:uiPriority w:val="99"/>
    <w:semiHidden/>
    <w:unhideWhenUsed/>
    <w:rsid w:val="005127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sz w:val="18"/>
      <w:szCs w:val="18"/>
    </w:rPr>
  </w:style>
  <w:style w:type="character" w:styleId="Odwoaniedokomentarza">
    <w:name w:val="annotation reference"/>
    <w:basedOn w:val="Domylnaczcionkaakapitu"/>
    <w:uiPriority w:val="99"/>
    <w:semiHidden/>
    <w:unhideWhenUsed/>
    <w:rsid w:val="00AF31E8"/>
    <w:rPr>
      <w:sz w:val="16"/>
      <w:szCs w:val="16"/>
    </w:rPr>
  </w:style>
  <w:style w:type="paragraph" w:styleId="Tekstkomentarza">
    <w:name w:val="annotation text"/>
    <w:basedOn w:val="Normalny"/>
    <w:link w:val="TekstkomentarzaZnak"/>
    <w:uiPriority w:val="99"/>
    <w:semiHidden/>
    <w:unhideWhenUsed/>
    <w:rsid w:val="00AF31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1E8"/>
    <w:rPr>
      <w:sz w:val="20"/>
      <w:szCs w:val="20"/>
    </w:rPr>
  </w:style>
  <w:style w:type="paragraph" w:styleId="Tematkomentarza">
    <w:name w:val="annotation subject"/>
    <w:basedOn w:val="Tekstkomentarza"/>
    <w:next w:val="Tekstkomentarza"/>
    <w:link w:val="TematkomentarzaZnak"/>
    <w:uiPriority w:val="99"/>
    <w:semiHidden/>
    <w:unhideWhenUsed/>
    <w:rsid w:val="00AF31E8"/>
    <w:rPr>
      <w:b/>
      <w:bCs/>
    </w:rPr>
  </w:style>
  <w:style w:type="character" w:customStyle="1" w:styleId="TematkomentarzaZnak">
    <w:name w:val="Temat komentarza Znak"/>
    <w:basedOn w:val="TekstkomentarzaZnak"/>
    <w:link w:val="Tematkomentarza"/>
    <w:uiPriority w:val="99"/>
    <w:semiHidden/>
    <w:rsid w:val="00AF31E8"/>
    <w:rPr>
      <w:b/>
      <w:bCs/>
      <w:sz w:val="20"/>
      <w:szCs w:val="20"/>
    </w:rPr>
  </w:style>
  <w:style w:type="paragraph" w:styleId="Tekstdymka">
    <w:name w:val="Balloon Text"/>
    <w:basedOn w:val="Normalny"/>
    <w:link w:val="TekstdymkaZnak"/>
    <w:uiPriority w:val="99"/>
    <w:semiHidden/>
    <w:unhideWhenUsed/>
    <w:rsid w:val="00AF31E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1E8"/>
    <w:rPr>
      <w:rFonts w:ascii="Segoe UI" w:hAnsi="Segoe UI" w:cs="Segoe UI"/>
      <w:sz w:val="18"/>
      <w:szCs w:val="18"/>
    </w:rPr>
  </w:style>
  <w:style w:type="paragraph" w:styleId="Poprawka">
    <w:name w:val="Revision"/>
    <w:hidden/>
    <w:uiPriority w:val="99"/>
    <w:semiHidden/>
    <w:rsid w:val="006B1319"/>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st">
    <w:name w:val="st"/>
    <w:basedOn w:val="Domylnaczcionkaakapitu"/>
    <w:rsid w:val="00A1051E"/>
  </w:style>
  <w:style w:type="character" w:styleId="Uwydatnienie">
    <w:name w:val="Emphasis"/>
    <w:basedOn w:val="Domylnaczcionkaakapitu"/>
    <w:uiPriority w:val="20"/>
    <w:qFormat/>
    <w:rsid w:val="00A1051E"/>
    <w:rPr>
      <w:i/>
      <w:iCs/>
    </w:rPr>
  </w:style>
  <w:style w:type="character" w:styleId="Hipercze">
    <w:name w:val="Hyperlink"/>
    <w:basedOn w:val="Domylnaczcionkaakapitu"/>
    <w:uiPriority w:val="99"/>
    <w:unhideWhenUsed/>
    <w:rsid w:val="00A1051E"/>
    <w:rPr>
      <w:color w:val="0000FF" w:themeColor="hyperlink"/>
      <w:u w:val="single"/>
    </w:rPr>
  </w:style>
  <w:style w:type="character" w:customStyle="1" w:styleId="UnresolvedMention">
    <w:name w:val="Unresolved Mention"/>
    <w:basedOn w:val="Domylnaczcionkaakapitu"/>
    <w:uiPriority w:val="99"/>
    <w:semiHidden/>
    <w:unhideWhenUsed/>
    <w:rsid w:val="00892E1B"/>
    <w:rPr>
      <w:color w:val="808080"/>
      <w:shd w:val="clear" w:color="auto" w:fill="E6E6E6"/>
    </w:rPr>
  </w:style>
  <w:style w:type="character" w:styleId="UyteHipercze">
    <w:name w:val="FollowedHyperlink"/>
    <w:basedOn w:val="Domylnaczcionkaakapitu"/>
    <w:uiPriority w:val="99"/>
    <w:semiHidden/>
    <w:unhideWhenUsed/>
    <w:rsid w:val="00C87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5611">
      <w:bodyDiv w:val="1"/>
      <w:marLeft w:val="0"/>
      <w:marRight w:val="0"/>
      <w:marTop w:val="0"/>
      <w:marBottom w:val="0"/>
      <w:divBdr>
        <w:top w:val="none" w:sz="0" w:space="0" w:color="auto"/>
        <w:left w:val="none" w:sz="0" w:space="0" w:color="auto"/>
        <w:bottom w:val="none" w:sz="0" w:space="0" w:color="auto"/>
        <w:right w:val="none" w:sz="0" w:space="0" w:color="auto"/>
      </w:divBdr>
      <w:divsChild>
        <w:div w:id="486017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702107">
      <w:bodyDiv w:val="1"/>
      <w:marLeft w:val="0"/>
      <w:marRight w:val="0"/>
      <w:marTop w:val="0"/>
      <w:marBottom w:val="0"/>
      <w:divBdr>
        <w:top w:val="none" w:sz="0" w:space="0" w:color="auto"/>
        <w:left w:val="none" w:sz="0" w:space="0" w:color="auto"/>
        <w:bottom w:val="none" w:sz="0" w:space="0" w:color="auto"/>
        <w:right w:val="none" w:sz="0" w:space="0" w:color="auto"/>
      </w:divBdr>
    </w:div>
    <w:div w:id="1027175650">
      <w:bodyDiv w:val="1"/>
      <w:marLeft w:val="0"/>
      <w:marRight w:val="0"/>
      <w:marTop w:val="0"/>
      <w:marBottom w:val="0"/>
      <w:divBdr>
        <w:top w:val="none" w:sz="0" w:space="0" w:color="auto"/>
        <w:left w:val="none" w:sz="0" w:space="0" w:color="auto"/>
        <w:bottom w:val="none" w:sz="0" w:space="0" w:color="auto"/>
        <w:right w:val="none" w:sz="0" w:space="0" w:color="auto"/>
      </w:divBdr>
      <w:divsChild>
        <w:div w:id="574245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56118">
      <w:bodyDiv w:val="1"/>
      <w:marLeft w:val="0"/>
      <w:marRight w:val="0"/>
      <w:marTop w:val="0"/>
      <w:marBottom w:val="0"/>
      <w:divBdr>
        <w:top w:val="none" w:sz="0" w:space="0" w:color="auto"/>
        <w:left w:val="none" w:sz="0" w:space="0" w:color="auto"/>
        <w:bottom w:val="none" w:sz="0" w:space="0" w:color="auto"/>
        <w:right w:val="none" w:sz="0" w:space="0" w:color="auto"/>
      </w:divBdr>
      <w:divsChild>
        <w:div w:id="230240880">
          <w:marLeft w:val="0"/>
          <w:marRight w:val="0"/>
          <w:marTop w:val="240"/>
          <w:marBottom w:val="0"/>
          <w:divBdr>
            <w:top w:val="none" w:sz="0" w:space="0" w:color="auto"/>
            <w:left w:val="none" w:sz="0" w:space="0" w:color="auto"/>
            <w:bottom w:val="none" w:sz="0" w:space="0" w:color="auto"/>
            <w:right w:val="none" w:sz="0" w:space="0" w:color="auto"/>
          </w:divBdr>
        </w:div>
        <w:div w:id="138108189">
          <w:marLeft w:val="0"/>
          <w:marRight w:val="0"/>
          <w:marTop w:val="0"/>
          <w:marBottom w:val="0"/>
          <w:divBdr>
            <w:top w:val="none" w:sz="0" w:space="0" w:color="auto"/>
            <w:left w:val="none" w:sz="0" w:space="0" w:color="auto"/>
            <w:bottom w:val="none" w:sz="0" w:space="0" w:color="auto"/>
            <w:right w:val="none" w:sz="0" w:space="0" w:color="auto"/>
          </w:divBdr>
          <w:divsChild>
            <w:div w:id="463936120">
              <w:marLeft w:val="-2475"/>
              <w:marRight w:val="0"/>
              <w:marTop w:val="0"/>
              <w:marBottom w:val="0"/>
              <w:divBdr>
                <w:top w:val="none" w:sz="0" w:space="0" w:color="auto"/>
                <w:left w:val="none" w:sz="0" w:space="0" w:color="auto"/>
                <w:bottom w:val="none" w:sz="0" w:space="0" w:color="auto"/>
                <w:right w:val="none" w:sz="0" w:space="0" w:color="auto"/>
              </w:divBdr>
            </w:div>
          </w:divsChild>
        </w:div>
        <w:div w:id="540631660">
          <w:marLeft w:val="0"/>
          <w:marRight w:val="0"/>
          <w:marTop w:val="0"/>
          <w:marBottom w:val="0"/>
          <w:divBdr>
            <w:top w:val="none" w:sz="0" w:space="0" w:color="auto"/>
            <w:left w:val="none" w:sz="0" w:space="0" w:color="auto"/>
            <w:bottom w:val="none" w:sz="0" w:space="0" w:color="auto"/>
            <w:right w:val="none" w:sz="0" w:space="0" w:color="auto"/>
          </w:divBdr>
          <w:divsChild>
            <w:div w:id="1306081822">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ACE3-8258-4E14-AD64-E6436CD5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16101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Sabat Zbigniew</dc:creator>
  <cp:lastModifiedBy>Jaworska Karolina</cp:lastModifiedBy>
  <cp:revision>2</cp:revision>
  <cp:lastPrinted>2018-03-07T18:44:00Z</cp:lastPrinted>
  <dcterms:created xsi:type="dcterms:W3CDTF">2018-03-08T09:04:00Z</dcterms:created>
  <dcterms:modified xsi:type="dcterms:W3CDTF">2018-03-08T09:04:00Z</dcterms:modified>
</cp:coreProperties>
</file>