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67A" w:rsidRDefault="0037667A" w:rsidP="0037667A">
      <w:pPr>
        <w:pStyle w:val="Tytu"/>
      </w:pPr>
      <w:r w:rsidRPr="0037667A">
        <w:t>200 miliardów złotych w umowach. Marszałkowie muszą przyspieszyć</w:t>
      </w:r>
    </w:p>
    <w:p w:rsidR="008C5B60" w:rsidRPr="0037667A" w:rsidRDefault="008C5B60" w:rsidP="0037667A">
      <w:pPr>
        <w:rPr>
          <w:rFonts w:eastAsia="Calibri"/>
          <w:sz w:val="24"/>
          <w:lang w:eastAsia="en-US"/>
        </w:rPr>
      </w:pPr>
      <w:r w:rsidRPr="0037667A">
        <w:rPr>
          <w:rFonts w:eastAsia="Calibri"/>
          <w:sz w:val="24"/>
          <w:lang w:eastAsia="en-US"/>
        </w:rPr>
        <w:t>Informacja prasowa, 2 sierpnia 2018 r.</w:t>
      </w:r>
    </w:p>
    <w:p w:rsidR="008C5B60" w:rsidRPr="008C5B60" w:rsidRDefault="008C5B60" w:rsidP="0037667A">
      <w:pPr>
        <w:rPr>
          <w:rFonts w:eastAsia="Calibri"/>
          <w:b/>
          <w:lang w:eastAsia="en-US"/>
        </w:rPr>
      </w:pPr>
      <w:r w:rsidRPr="008C5B60">
        <w:rPr>
          <w:rFonts w:eastAsia="Calibri"/>
          <w:b/>
          <w:lang w:eastAsia="en-US"/>
        </w:rPr>
        <w:t xml:space="preserve">W gospodarce pracuje już 200 miliardów złotych z Unii Europejskiej. Program rządowe wdrażane są szybciej niż te, którymi zarządzają marszałkowie województw. </w:t>
      </w:r>
    </w:p>
    <w:p w:rsidR="008C5B60" w:rsidRPr="008C5B60" w:rsidRDefault="008C5B60" w:rsidP="0037667A">
      <w:pPr>
        <w:pStyle w:val="Nagwek1"/>
        <w:rPr>
          <w:rFonts w:eastAsia="Calibri"/>
          <w:lang w:eastAsia="en-US"/>
        </w:rPr>
      </w:pPr>
      <w:r w:rsidRPr="008C5B60">
        <w:rPr>
          <w:rFonts w:eastAsia="Calibri"/>
          <w:lang w:eastAsia="en-US"/>
        </w:rPr>
        <w:t>Fundusze unijne. Gdzie jesteśmy?</w:t>
      </w:r>
    </w:p>
    <w:p w:rsidR="0037667A" w:rsidRDefault="0037667A" w:rsidP="0037667A">
      <w:pPr>
        <w:rPr>
          <w:rFonts w:eastAsia="Calibri"/>
          <w:lang w:eastAsia="en-US"/>
        </w:rPr>
      </w:pPr>
      <w:r w:rsidRPr="0037667A">
        <w:rPr>
          <w:rFonts w:eastAsia="Calibri"/>
          <w:lang w:eastAsia="en-US"/>
        </w:rPr>
        <w:t>„Mamy już wnioski o dofinansowanie na kwotę 338 miliardów złotych</w:t>
      </w:r>
      <w:r>
        <w:rPr>
          <w:rFonts w:eastAsia="Calibri"/>
          <w:lang w:eastAsia="en-US"/>
        </w:rPr>
        <w:t xml:space="preserve"> z Unii Europejskiej</w:t>
      </w:r>
      <w:r w:rsidRPr="0037667A">
        <w:rPr>
          <w:rFonts w:eastAsia="Calibri"/>
          <w:lang w:eastAsia="en-US"/>
        </w:rPr>
        <w:t xml:space="preserve">. Gdybyśmy wszystkie rozpatrzyli pozytywnie, nie byłoby już czego dzielić, bo to 101 procent przyznanej nam puli” </w:t>
      </w:r>
      <w:r>
        <w:rPr>
          <w:rFonts w:eastAsia="Calibri"/>
          <w:lang w:eastAsia="en-US"/>
        </w:rPr>
        <w:t>–</w:t>
      </w:r>
      <w:r w:rsidRPr="0037667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poinformował minister inwestycji i rozwoju </w:t>
      </w:r>
      <w:r w:rsidRPr="0037667A">
        <w:rPr>
          <w:rFonts w:eastAsia="Calibri"/>
          <w:b/>
          <w:lang w:eastAsia="en-US"/>
        </w:rPr>
        <w:t>Jerzy Kwieciński</w:t>
      </w:r>
      <w:r>
        <w:rPr>
          <w:rFonts w:eastAsia="Calibri"/>
          <w:lang w:eastAsia="en-US"/>
        </w:rPr>
        <w:t>. Jak przyznał to sytuacja czysto hipotetyczna, ale pokazuje skalę zainteresowania pieniędzmi europejskimi</w:t>
      </w:r>
      <w:r w:rsidR="00665674">
        <w:rPr>
          <w:rFonts w:eastAsia="Calibri"/>
          <w:lang w:eastAsia="en-US"/>
        </w:rPr>
        <w:t>.</w:t>
      </w:r>
    </w:p>
    <w:p w:rsidR="00665674" w:rsidRPr="00665674" w:rsidRDefault="00665674" w:rsidP="0037667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„Druga dobra wiadomość dotyczy inwestycji, które już się toczą. 200 miliardów złotych z unii pracuje już w gospodarce, czyli ma odzwierciedlenie w podpisanych umowach. Jeśli wyobrazilibyśmy sobie, że Polska dostała z UE 10 </w:t>
      </w:r>
      <w:r w:rsidR="000856C4">
        <w:rPr>
          <w:rFonts w:eastAsia="Calibri"/>
          <w:lang w:eastAsia="en-US"/>
        </w:rPr>
        <w:t>euro</w:t>
      </w:r>
      <w:r>
        <w:rPr>
          <w:rFonts w:eastAsia="Calibri"/>
          <w:lang w:eastAsia="en-US"/>
        </w:rPr>
        <w:t xml:space="preserve">, to wykorzystaliśmy już 6” – powiedział </w:t>
      </w:r>
      <w:r w:rsidRPr="00665674">
        <w:rPr>
          <w:rFonts w:eastAsia="Calibri"/>
          <w:b/>
          <w:lang w:eastAsia="en-US"/>
        </w:rPr>
        <w:t>Kwieciński</w:t>
      </w:r>
      <w:r>
        <w:rPr>
          <w:rFonts w:eastAsia="Calibri"/>
          <w:lang w:eastAsia="en-US"/>
        </w:rPr>
        <w:t xml:space="preserve">. </w:t>
      </w:r>
    </w:p>
    <w:p w:rsidR="00665674" w:rsidRDefault="0037667A" w:rsidP="0037667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Sytuację najlepiej opisują twarde dane.</w:t>
      </w:r>
    </w:p>
    <w:p w:rsidR="0037667A" w:rsidRDefault="0037667A" w:rsidP="0037667A">
      <w:pPr>
        <w:pStyle w:val="Nagwek2"/>
        <w:rPr>
          <w:rFonts w:eastAsia="Calibri"/>
          <w:lang w:eastAsia="en-US"/>
        </w:rPr>
      </w:pPr>
      <w:r>
        <w:rPr>
          <w:rFonts w:eastAsia="Calibri"/>
          <w:lang w:eastAsia="en-US"/>
        </w:rPr>
        <w:t>Wnioski o dofinansowanie</w:t>
      </w:r>
    </w:p>
    <w:p w:rsidR="008C5B60" w:rsidRDefault="0037667A" w:rsidP="0037667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Do 31 lipca 2018 roku</w:t>
      </w:r>
      <w:r w:rsidR="008C5B60" w:rsidRPr="0037667A">
        <w:rPr>
          <w:rFonts w:eastAsia="Calibri"/>
          <w:lang w:eastAsia="en-US"/>
        </w:rPr>
        <w:t>, we wszystkich programac</w:t>
      </w:r>
      <w:r>
        <w:rPr>
          <w:rFonts w:eastAsia="Calibri"/>
          <w:lang w:eastAsia="en-US"/>
        </w:rPr>
        <w:t>h na lata 2014-2020 złożono około 89 tysięcy</w:t>
      </w:r>
      <w:r w:rsidR="008C5B60" w:rsidRPr="0037667A">
        <w:rPr>
          <w:rFonts w:eastAsia="Calibri"/>
          <w:lang w:eastAsia="en-US"/>
        </w:rPr>
        <w:t xml:space="preserve"> wniosków </w:t>
      </w:r>
      <w:r>
        <w:rPr>
          <w:rFonts w:eastAsia="Calibri"/>
          <w:lang w:eastAsia="en-US"/>
        </w:rPr>
        <w:t xml:space="preserve">o dofinansowanie o wartości 546,4 miliarda złotych. 337,9 miliarda złotych (w lipcu przybyło 12,4 miliarda) </w:t>
      </w:r>
      <w:r w:rsidR="008C5B60" w:rsidRPr="0037667A">
        <w:rPr>
          <w:rFonts w:eastAsia="Calibri"/>
          <w:lang w:eastAsia="en-US"/>
        </w:rPr>
        <w:t>to unijne dofinasowanie, co stanowi 101 proc. dostępnej dla Polski puli.</w:t>
      </w:r>
      <w:r>
        <w:rPr>
          <w:rFonts w:eastAsia="Calibri"/>
          <w:lang w:eastAsia="en-US"/>
        </w:rPr>
        <w:t xml:space="preserve"> ]</w:t>
      </w:r>
    </w:p>
    <w:p w:rsidR="0037667A" w:rsidRPr="0037667A" w:rsidRDefault="0037667A" w:rsidP="0037667A">
      <w:pPr>
        <w:rPr>
          <w:rFonts w:eastAsia="Calibri"/>
          <w:b/>
          <w:u w:val="single"/>
          <w:lang w:eastAsia="en-US"/>
        </w:rPr>
      </w:pPr>
      <w:r w:rsidRPr="0037667A">
        <w:rPr>
          <w:rFonts w:eastAsia="Calibri"/>
          <w:b/>
          <w:u w:val="single"/>
          <w:lang w:eastAsia="en-US"/>
        </w:rPr>
        <w:t>Umowy</w:t>
      </w:r>
    </w:p>
    <w:p w:rsidR="008C5B60" w:rsidRDefault="008C5B60" w:rsidP="0037667A">
      <w:pPr>
        <w:rPr>
          <w:rFonts w:eastAsia="Calibri"/>
          <w:lang w:eastAsia="en-US"/>
        </w:rPr>
      </w:pPr>
      <w:r w:rsidRPr="0037667A">
        <w:rPr>
          <w:rFonts w:eastAsia="Calibri"/>
          <w:lang w:eastAsia="en-US"/>
        </w:rPr>
        <w:t>Z benefi</w:t>
      </w:r>
      <w:r w:rsidR="0037667A">
        <w:rPr>
          <w:rFonts w:eastAsia="Calibri"/>
          <w:lang w:eastAsia="en-US"/>
        </w:rPr>
        <w:t>cjentami podpisano umowy na 38 tysięcy inwestycji. Wartość tych projektów to 325,1 miliarda złotych</w:t>
      </w:r>
      <w:r w:rsidRPr="0037667A">
        <w:rPr>
          <w:rFonts w:eastAsia="Calibri"/>
          <w:lang w:eastAsia="en-US"/>
        </w:rPr>
        <w:t xml:space="preserve">. </w:t>
      </w:r>
      <w:r w:rsidR="0037667A">
        <w:rPr>
          <w:rFonts w:eastAsia="Calibri"/>
          <w:lang w:eastAsia="en-US"/>
        </w:rPr>
        <w:t>Dofinansowanie unijne</w:t>
      </w:r>
      <w:r w:rsidRPr="0037667A">
        <w:rPr>
          <w:rFonts w:eastAsia="Calibri"/>
          <w:lang w:eastAsia="en-US"/>
        </w:rPr>
        <w:t xml:space="preserve"> </w:t>
      </w:r>
      <w:r w:rsidR="0037667A">
        <w:rPr>
          <w:rFonts w:eastAsia="Calibri"/>
          <w:lang w:eastAsia="en-US"/>
        </w:rPr>
        <w:t>wyniosło 200,2 miliarda złotych</w:t>
      </w:r>
      <w:r w:rsidRPr="0037667A">
        <w:rPr>
          <w:rFonts w:eastAsia="Calibri"/>
          <w:lang w:eastAsia="en-US"/>
        </w:rPr>
        <w:t>, co stanowi 60 proc</w:t>
      </w:r>
      <w:r w:rsidR="0037667A">
        <w:rPr>
          <w:rFonts w:eastAsia="Calibri"/>
          <w:lang w:eastAsia="en-US"/>
        </w:rPr>
        <w:t>ent</w:t>
      </w:r>
      <w:r w:rsidRPr="0037667A">
        <w:rPr>
          <w:rFonts w:eastAsia="Calibri"/>
          <w:lang w:eastAsia="en-US"/>
        </w:rPr>
        <w:t xml:space="preserve"> dostępnych</w:t>
      </w:r>
      <w:r w:rsidR="0037667A">
        <w:rPr>
          <w:rFonts w:eastAsia="Calibri"/>
          <w:lang w:eastAsia="en-US"/>
        </w:rPr>
        <w:t xml:space="preserve"> dla Polski </w:t>
      </w:r>
      <w:r w:rsidRPr="0037667A">
        <w:rPr>
          <w:rFonts w:eastAsia="Calibri"/>
          <w:lang w:eastAsia="en-US"/>
        </w:rPr>
        <w:t xml:space="preserve">funduszy europejskich. </w:t>
      </w:r>
    </w:p>
    <w:p w:rsidR="0037667A" w:rsidRPr="0037667A" w:rsidRDefault="0037667A" w:rsidP="0037667A">
      <w:pPr>
        <w:rPr>
          <w:rFonts w:eastAsia="Calibri"/>
          <w:b/>
          <w:u w:val="single"/>
          <w:lang w:eastAsia="en-US"/>
        </w:rPr>
      </w:pPr>
      <w:r w:rsidRPr="0037667A">
        <w:rPr>
          <w:rFonts w:eastAsia="Calibri"/>
          <w:b/>
          <w:u w:val="single"/>
          <w:lang w:eastAsia="en-US"/>
        </w:rPr>
        <w:t xml:space="preserve">Pieniądze z rozliczone </w:t>
      </w:r>
      <w:r>
        <w:rPr>
          <w:rFonts w:eastAsia="Calibri"/>
          <w:b/>
          <w:u w:val="single"/>
          <w:lang w:eastAsia="en-US"/>
        </w:rPr>
        <w:t>przez beneficjentów</w:t>
      </w:r>
    </w:p>
    <w:p w:rsidR="008C5B60" w:rsidRDefault="008C5B60" w:rsidP="0037667A">
      <w:pPr>
        <w:rPr>
          <w:rFonts w:eastAsia="Calibri"/>
          <w:lang w:eastAsia="en-US"/>
        </w:rPr>
      </w:pPr>
      <w:r w:rsidRPr="0037667A">
        <w:rPr>
          <w:rFonts w:eastAsia="Calibri"/>
          <w:lang w:eastAsia="en-US"/>
        </w:rPr>
        <w:t xml:space="preserve">Wartość wydatków rozliczonych </w:t>
      </w:r>
      <w:r w:rsidR="0037667A">
        <w:rPr>
          <w:rFonts w:eastAsia="Calibri"/>
          <w:lang w:eastAsia="en-US"/>
        </w:rPr>
        <w:t>przez podmioty (osoby, firmy, samorządy, uczelnie itd.) korzystające z dotacji</w:t>
      </w:r>
      <w:r w:rsidRPr="0037667A">
        <w:rPr>
          <w:rFonts w:eastAsia="Calibri"/>
          <w:lang w:eastAsia="en-US"/>
        </w:rPr>
        <w:t xml:space="preserve"> to ponad 79,1 </w:t>
      </w:r>
      <w:r w:rsidR="0037667A">
        <w:rPr>
          <w:rFonts w:eastAsia="Calibri"/>
          <w:lang w:eastAsia="en-US"/>
        </w:rPr>
        <w:t xml:space="preserve">miliarda złotych, z czego </w:t>
      </w:r>
      <w:r w:rsidRPr="0037667A">
        <w:rPr>
          <w:rFonts w:eastAsia="Calibri"/>
          <w:lang w:eastAsia="en-US"/>
        </w:rPr>
        <w:t xml:space="preserve">55,7 </w:t>
      </w:r>
      <w:r w:rsidR="0037667A">
        <w:rPr>
          <w:rFonts w:eastAsia="Calibri"/>
          <w:lang w:eastAsia="en-US"/>
        </w:rPr>
        <w:t>mili</w:t>
      </w:r>
      <w:r w:rsidR="00665674">
        <w:rPr>
          <w:rFonts w:eastAsia="Calibri"/>
          <w:lang w:eastAsia="en-US"/>
        </w:rPr>
        <w:t>arda złotych pochodzi z Unii Europejskiej</w:t>
      </w:r>
      <w:r w:rsidR="0037667A">
        <w:rPr>
          <w:rFonts w:eastAsia="Calibri"/>
          <w:lang w:eastAsia="en-US"/>
        </w:rPr>
        <w:t>. To 17 procent</w:t>
      </w:r>
      <w:r w:rsidRPr="0037667A">
        <w:rPr>
          <w:rFonts w:eastAsia="Calibri"/>
          <w:lang w:eastAsia="en-US"/>
        </w:rPr>
        <w:t xml:space="preserve"> puli </w:t>
      </w:r>
      <w:r w:rsidR="00665674">
        <w:rPr>
          <w:rFonts w:eastAsia="Calibri"/>
          <w:lang w:eastAsia="en-US"/>
        </w:rPr>
        <w:t xml:space="preserve">dla Polski </w:t>
      </w:r>
      <w:r w:rsidRPr="0037667A">
        <w:rPr>
          <w:rFonts w:eastAsia="Calibri"/>
          <w:lang w:eastAsia="en-US"/>
        </w:rPr>
        <w:t>na lata 2014-2020.</w:t>
      </w:r>
    </w:p>
    <w:p w:rsidR="00665674" w:rsidRDefault="00665674" w:rsidP="0037667A">
      <w:pPr>
        <w:rPr>
          <w:rFonts w:eastAsia="Calibri"/>
          <w:lang w:eastAsia="en-US"/>
        </w:rPr>
      </w:pPr>
    </w:p>
    <w:p w:rsidR="00665674" w:rsidRDefault="00665674" w:rsidP="0037667A">
      <w:pPr>
        <w:rPr>
          <w:rFonts w:eastAsia="Calibri"/>
          <w:b/>
          <w:u w:val="single"/>
          <w:lang w:eastAsia="en-US"/>
        </w:rPr>
      </w:pPr>
    </w:p>
    <w:p w:rsidR="00665674" w:rsidRDefault="00CF57CC" w:rsidP="0037667A">
      <w:pPr>
        <w:rPr>
          <w:rFonts w:eastAsia="Calibri"/>
          <w:b/>
          <w:u w:val="single"/>
          <w:lang w:eastAsia="en-US"/>
        </w:rPr>
      </w:pPr>
      <w:r w:rsidRPr="00665674">
        <w:rPr>
          <w:rFonts w:eastAsia="Calibr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8119B7" wp14:editId="3AC47A31">
            <wp:simplePos x="0" y="0"/>
            <wp:positionH relativeFrom="margin">
              <wp:posOffset>1364615</wp:posOffset>
            </wp:positionH>
            <wp:positionV relativeFrom="margin">
              <wp:posOffset>-120015</wp:posOffset>
            </wp:positionV>
            <wp:extent cx="3839210" cy="3581400"/>
            <wp:effectExtent l="0" t="0" r="8890" b="0"/>
            <wp:wrapSquare wrapText="bothSides"/>
            <wp:docPr id="297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358140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674" w:rsidRDefault="00665674" w:rsidP="0037667A">
      <w:pPr>
        <w:rPr>
          <w:rFonts w:eastAsia="Calibri"/>
          <w:b/>
          <w:u w:val="single"/>
          <w:lang w:eastAsia="en-US"/>
        </w:rPr>
      </w:pPr>
    </w:p>
    <w:p w:rsidR="00665674" w:rsidRDefault="00665674" w:rsidP="0037667A">
      <w:pPr>
        <w:rPr>
          <w:rFonts w:eastAsia="Calibri"/>
          <w:b/>
          <w:u w:val="single"/>
          <w:lang w:eastAsia="en-US"/>
        </w:rPr>
      </w:pPr>
    </w:p>
    <w:p w:rsidR="00665674" w:rsidRDefault="00665674" w:rsidP="0037667A">
      <w:pPr>
        <w:rPr>
          <w:rFonts w:eastAsia="Calibri"/>
          <w:b/>
          <w:u w:val="single"/>
          <w:lang w:eastAsia="en-US"/>
        </w:rPr>
      </w:pPr>
    </w:p>
    <w:p w:rsidR="00665674" w:rsidRDefault="00665674" w:rsidP="0037667A">
      <w:pPr>
        <w:rPr>
          <w:rFonts w:eastAsia="Calibri"/>
          <w:b/>
          <w:u w:val="single"/>
          <w:lang w:eastAsia="en-US"/>
        </w:rPr>
      </w:pPr>
    </w:p>
    <w:p w:rsidR="00665674" w:rsidRDefault="00665674" w:rsidP="0037667A">
      <w:pPr>
        <w:rPr>
          <w:rFonts w:eastAsia="Calibri"/>
          <w:b/>
          <w:u w:val="single"/>
          <w:lang w:eastAsia="en-US"/>
        </w:rPr>
      </w:pPr>
    </w:p>
    <w:p w:rsidR="00665674" w:rsidRDefault="00665674" w:rsidP="0037667A">
      <w:pPr>
        <w:rPr>
          <w:rFonts w:eastAsia="Calibri"/>
          <w:b/>
          <w:u w:val="single"/>
          <w:lang w:eastAsia="en-US"/>
        </w:rPr>
      </w:pPr>
    </w:p>
    <w:p w:rsidR="00665674" w:rsidRDefault="00665674" w:rsidP="0037667A">
      <w:pPr>
        <w:rPr>
          <w:rFonts w:eastAsia="Calibri"/>
          <w:b/>
          <w:u w:val="single"/>
          <w:lang w:eastAsia="en-US"/>
        </w:rPr>
      </w:pPr>
    </w:p>
    <w:p w:rsidR="00665674" w:rsidRDefault="00665674" w:rsidP="0037667A">
      <w:pPr>
        <w:rPr>
          <w:rFonts w:eastAsia="Calibri"/>
          <w:b/>
          <w:u w:val="single"/>
          <w:lang w:eastAsia="en-US"/>
        </w:rPr>
      </w:pPr>
    </w:p>
    <w:p w:rsidR="00665674" w:rsidRDefault="00665674" w:rsidP="0037667A">
      <w:pPr>
        <w:rPr>
          <w:rFonts w:eastAsia="Calibri"/>
          <w:b/>
          <w:u w:val="single"/>
          <w:lang w:eastAsia="en-US"/>
        </w:rPr>
      </w:pPr>
      <w:r w:rsidRPr="00665674">
        <w:rPr>
          <w:rFonts w:eastAsia="Calibri"/>
          <w:b/>
          <w:u w:val="single"/>
          <w:lang w:eastAsia="en-US"/>
        </w:rPr>
        <w:t>Rozliczenia z Komisją Europejską</w:t>
      </w:r>
    </w:p>
    <w:p w:rsidR="00665674" w:rsidRDefault="00CF57CC" w:rsidP="0037667A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23D0B7" wp14:editId="730ACF46">
            <wp:simplePos x="0" y="0"/>
            <wp:positionH relativeFrom="margin">
              <wp:posOffset>239395</wp:posOffset>
            </wp:positionH>
            <wp:positionV relativeFrom="margin">
              <wp:posOffset>5048250</wp:posOffset>
            </wp:positionV>
            <wp:extent cx="6209030" cy="3879850"/>
            <wp:effectExtent l="0" t="0" r="1270" b="63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674" w:rsidRPr="00665674">
        <w:rPr>
          <w:rFonts w:eastAsia="Calibri"/>
          <w:lang w:eastAsia="en-US"/>
        </w:rPr>
        <w:t>Do 31 lipca 2018 r</w:t>
      </w:r>
      <w:r w:rsidR="00665674">
        <w:rPr>
          <w:rFonts w:eastAsia="Calibri"/>
          <w:lang w:eastAsia="en-US"/>
        </w:rPr>
        <w:t>oku</w:t>
      </w:r>
      <w:r w:rsidR="00665674" w:rsidRPr="00665674">
        <w:rPr>
          <w:rFonts w:eastAsia="Calibri"/>
          <w:lang w:eastAsia="en-US"/>
        </w:rPr>
        <w:t xml:space="preserve"> Komisja Europejska wypłaciła Polsce ponad 11,3 </w:t>
      </w:r>
      <w:r w:rsidR="00665674">
        <w:rPr>
          <w:rFonts w:eastAsia="Calibri"/>
          <w:lang w:eastAsia="en-US"/>
        </w:rPr>
        <w:t>miliarda euro</w:t>
      </w:r>
      <w:r w:rsidR="00665674" w:rsidRPr="00665674">
        <w:rPr>
          <w:rFonts w:eastAsia="Calibri"/>
          <w:lang w:eastAsia="en-US"/>
        </w:rPr>
        <w:t xml:space="preserve"> z polityki spójności - najwięcej ze wszystkich krajów Unii Europejskiej.</w:t>
      </w:r>
      <w:r w:rsidR="00665674">
        <w:rPr>
          <w:rFonts w:eastAsia="Calibri"/>
          <w:lang w:eastAsia="en-US"/>
        </w:rPr>
        <w:t xml:space="preserve"> Polska jest też w pierwszej dziesiątce w Unii Europejskiej jeśli wartość wypłaconej kwoty odniesiemy do przyznanej </w:t>
      </w:r>
      <w:r>
        <w:rPr>
          <w:rFonts w:eastAsia="Calibri"/>
          <w:lang w:eastAsia="en-US"/>
        </w:rPr>
        <w:t xml:space="preserve">puli. </w:t>
      </w:r>
    </w:p>
    <w:p w:rsidR="00CF57CC" w:rsidRDefault="00CF57CC" w:rsidP="00CF57CC">
      <w:pPr>
        <w:pStyle w:val="Nagwek1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Maruderzy i liderzy</w:t>
      </w:r>
    </w:p>
    <w:p w:rsidR="00D4786D" w:rsidRDefault="00D4786D" w:rsidP="00D4786D">
      <w:pPr>
        <w:pStyle w:val="Nagwek2"/>
        <w:rPr>
          <w:rFonts w:eastAsia="Calibri"/>
          <w:lang w:eastAsia="en-US"/>
        </w:rPr>
      </w:pPr>
      <w:r>
        <w:rPr>
          <w:rFonts w:eastAsia="Calibri"/>
          <w:lang w:eastAsia="en-US"/>
        </w:rPr>
        <w:t>Programy krajowe vs programy regionalne</w:t>
      </w:r>
    </w:p>
    <w:p w:rsidR="00CF57CC" w:rsidRDefault="00CF57CC" w:rsidP="00CF57CC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Programy krajowe (zarządzane przez rząd i podległe mu instytucje) wdrażane są szybciej niż regionalne (zarządzane przez województwa). Widać to zarówno na poziomie umów, jak i pieniędzy rozliczonych przez beneficjentów:</w:t>
      </w:r>
    </w:p>
    <w:p w:rsidR="00CF57CC" w:rsidRPr="00CF57CC" w:rsidRDefault="00CF57CC" w:rsidP="00CF57CC">
      <w:pPr>
        <w:pStyle w:val="Akapitzlist"/>
        <w:numPr>
          <w:ilvl w:val="0"/>
          <w:numId w:val="25"/>
        </w:numPr>
      </w:pPr>
      <w:r w:rsidRPr="00CF57CC">
        <w:t>marszałkowie podpisali umowy na 55 procent przyznanych im funduszy, a instytucje rządowe na 63 procent,</w:t>
      </w:r>
    </w:p>
    <w:p w:rsidR="00CF57CC" w:rsidRDefault="00CF57CC" w:rsidP="00CF57CC">
      <w:pPr>
        <w:pStyle w:val="Akapitzlist"/>
        <w:numPr>
          <w:ilvl w:val="0"/>
          <w:numId w:val="25"/>
        </w:num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6CE0B48" wp14:editId="79938E9D">
            <wp:simplePos x="0" y="0"/>
            <wp:positionH relativeFrom="margin">
              <wp:posOffset>188595</wp:posOffset>
            </wp:positionH>
            <wp:positionV relativeFrom="margin">
              <wp:posOffset>2853690</wp:posOffset>
            </wp:positionV>
            <wp:extent cx="6100445" cy="3039745"/>
            <wp:effectExtent l="0" t="0" r="0" b="825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03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F57CC">
        <w:t>marszałkowie rozliczyli z beneficjentami 13 procent funduszy, a instytucje rządowe 19 procent.</w:t>
      </w:r>
    </w:p>
    <w:p w:rsidR="00CF57CC" w:rsidRDefault="00CF57CC" w:rsidP="0037667A">
      <w:pPr>
        <w:rPr>
          <w:rFonts w:eastAsia="Calibri"/>
          <w:lang w:eastAsia="en-US"/>
        </w:rPr>
      </w:pPr>
    </w:p>
    <w:p w:rsidR="00D4786D" w:rsidRDefault="00D4786D" w:rsidP="00D4786D">
      <w:pPr>
        <w:pStyle w:val="Nagwek2"/>
        <w:rPr>
          <w:rFonts w:eastAsia="Calibri"/>
          <w:lang w:eastAsia="en-US"/>
        </w:rPr>
      </w:pPr>
      <w:r>
        <w:rPr>
          <w:rFonts w:eastAsia="Calibri"/>
          <w:lang w:eastAsia="en-US"/>
        </w:rPr>
        <w:t>Różnice pomiędzy województwami</w:t>
      </w:r>
    </w:p>
    <w:p w:rsidR="00CF57CC" w:rsidRDefault="00854A9D" w:rsidP="0037667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„</w:t>
      </w:r>
      <w:r w:rsidR="00CF57CC">
        <w:rPr>
          <w:rFonts w:eastAsia="Calibri"/>
          <w:lang w:eastAsia="en-US"/>
        </w:rPr>
        <w:t>Pomiędzy województwami są także spore dysproporcje. Jeśli weźmiemy pod uwagę tempo rozliczania funduszy z beneficjentami to najlepiej radzą sobie: opolskie, podkarpackie i dolnośląskie</w:t>
      </w:r>
      <w:r>
        <w:rPr>
          <w:rFonts w:eastAsia="Calibri"/>
          <w:lang w:eastAsia="en-US"/>
        </w:rPr>
        <w:t xml:space="preserve">. Zdecydowanie przyspieszyć muszą warmińsko-mazurskie, kujawsko-pomorskie i podlaskie” – ocenił minister </w:t>
      </w:r>
      <w:r w:rsidRPr="00854A9D">
        <w:rPr>
          <w:rFonts w:eastAsia="Calibri"/>
          <w:b/>
          <w:lang w:eastAsia="en-US"/>
        </w:rPr>
        <w:t>Kwieciński</w:t>
      </w:r>
      <w:r>
        <w:rPr>
          <w:rFonts w:eastAsia="Calibri"/>
          <w:lang w:eastAsia="en-US"/>
        </w:rPr>
        <w:t>.</w:t>
      </w:r>
    </w:p>
    <w:p w:rsidR="00CF57CC" w:rsidRPr="00CF57CC" w:rsidRDefault="00854A9D" w:rsidP="00CF57CC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Województwo opolskie rozliczyło 21 procent dostępnych funduszy, a podkarpackie i dolnośląskie – 17 procent. W przypadku województw warmińsko-mazurskiego, kujawsko-pomorskiego i podlaskiego jest to odpowiednio 10,5, 9,6 oraz 9,4 procenta. </w:t>
      </w:r>
    </w:p>
    <w:p w:rsidR="00854A9D" w:rsidRDefault="00854A9D" w:rsidP="00854A9D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2860"/>
        <w:gridCol w:w="2760"/>
      </w:tblGrid>
      <w:tr w:rsidR="00854A9D" w:rsidRPr="00854A9D" w:rsidTr="007528AA">
        <w:trPr>
          <w:trHeight w:val="624"/>
        </w:trPr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4A9D" w:rsidRPr="00854A9D" w:rsidRDefault="00854A9D" w:rsidP="00854A9D">
            <w:pPr>
              <w:spacing w:before="0" w:beforeAutospacing="0" w:after="0" w:afterAutospacing="0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lastRenderedPageBreak/>
              <w:t>stan na 31 lipca 2018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4A9D" w:rsidRPr="00854A9D" w:rsidRDefault="00854A9D" w:rsidP="00854A9D">
            <w:pPr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4A9D" w:rsidRPr="00854A9D" w:rsidRDefault="00854A9D" w:rsidP="00854A9D">
            <w:pPr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54A9D" w:rsidRPr="00854A9D" w:rsidTr="00854A9D">
        <w:trPr>
          <w:trHeight w:val="293"/>
        </w:trPr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38DD5"/>
            <w:noWrap/>
            <w:vAlign w:val="center"/>
            <w:hideMark/>
          </w:tcPr>
          <w:p w:rsidR="00854A9D" w:rsidRPr="00854A9D" w:rsidRDefault="00854A9D" w:rsidP="00854A9D">
            <w:pPr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color w:val="FFFFFF"/>
                <w:sz w:val="24"/>
              </w:rPr>
            </w:pPr>
            <w:r w:rsidRPr="00854A9D">
              <w:rPr>
                <w:rFonts w:ascii="Calibri" w:hAnsi="Calibri" w:cs="Calibri"/>
                <w:b/>
                <w:bCs/>
                <w:color w:val="FFFFFF"/>
                <w:sz w:val="24"/>
              </w:rPr>
              <w:t xml:space="preserve">Program </w:t>
            </w:r>
          </w:p>
        </w:tc>
        <w:tc>
          <w:tcPr>
            <w:tcW w:w="2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854A9D" w:rsidRPr="00854A9D" w:rsidRDefault="00854A9D" w:rsidP="00854A9D">
            <w:pPr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color w:val="FFFFFF"/>
                <w:sz w:val="24"/>
              </w:rPr>
            </w:pPr>
            <w:r w:rsidRPr="00854A9D">
              <w:rPr>
                <w:rFonts w:ascii="Calibri" w:hAnsi="Calibri" w:cs="Calibri"/>
                <w:b/>
                <w:bCs/>
                <w:color w:val="FFFFFF"/>
                <w:sz w:val="24"/>
              </w:rPr>
              <w:t>Ile funduszy na program</w:t>
            </w:r>
            <w:r w:rsidR="007528AA">
              <w:rPr>
                <w:rFonts w:ascii="Calibri" w:hAnsi="Calibri" w:cs="Calibri"/>
                <w:b/>
                <w:bCs/>
                <w:color w:val="FFFFFF"/>
                <w:sz w:val="24"/>
              </w:rPr>
              <w:br/>
              <w:t>(w złotówkach)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854A9D" w:rsidRPr="00854A9D" w:rsidRDefault="00854A9D" w:rsidP="00854A9D">
            <w:pPr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color w:val="FFFFFF"/>
                <w:sz w:val="24"/>
              </w:rPr>
            </w:pPr>
            <w:r w:rsidRPr="00854A9D">
              <w:rPr>
                <w:rFonts w:ascii="Calibri" w:hAnsi="Calibri" w:cs="Calibri"/>
                <w:b/>
                <w:bCs/>
                <w:color w:val="FFFFFF"/>
                <w:sz w:val="24"/>
              </w:rPr>
              <w:t>% rozliczonych pieniędzy</w:t>
            </w:r>
            <w:r w:rsidR="00D4786D">
              <w:rPr>
                <w:rFonts w:ascii="Calibri" w:hAnsi="Calibri" w:cs="Calibri"/>
                <w:b/>
                <w:bCs/>
                <w:color w:val="FFFFFF"/>
                <w:sz w:val="24"/>
              </w:rPr>
              <w:t xml:space="preserve"> </w:t>
            </w:r>
            <w:r w:rsidR="00D4786D">
              <w:rPr>
                <w:rFonts w:ascii="Calibri" w:hAnsi="Calibri" w:cs="Calibri"/>
                <w:b/>
                <w:bCs/>
                <w:color w:val="FFFFFF"/>
                <w:sz w:val="24"/>
              </w:rPr>
              <w:br/>
              <w:t>z beneficjentami</w:t>
            </w:r>
            <w:r w:rsidRPr="00854A9D">
              <w:rPr>
                <w:rFonts w:ascii="Calibri" w:hAnsi="Calibri" w:cs="Calibri"/>
                <w:b/>
                <w:bCs/>
                <w:color w:val="FFFFFF"/>
                <w:sz w:val="24"/>
              </w:rPr>
              <w:t xml:space="preserve"> </w:t>
            </w:r>
          </w:p>
        </w:tc>
      </w:tr>
      <w:tr w:rsidR="00854A9D" w:rsidRPr="00854A9D" w:rsidTr="00854A9D">
        <w:trPr>
          <w:trHeight w:val="293"/>
        </w:trPr>
        <w:tc>
          <w:tcPr>
            <w:tcW w:w="3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A9D" w:rsidRPr="00854A9D" w:rsidRDefault="00854A9D" w:rsidP="00854A9D">
            <w:pPr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FFFFFF"/>
                <w:sz w:val="24"/>
              </w:rPr>
            </w:pPr>
          </w:p>
        </w:tc>
        <w:tc>
          <w:tcPr>
            <w:tcW w:w="2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A9D" w:rsidRPr="00854A9D" w:rsidRDefault="00854A9D" w:rsidP="00854A9D">
            <w:pPr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FFFFFF"/>
                <w:sz w:val="24"/>
              </w:rPr>
            </w:pPr>
          </w:p>
        </w:tc>
        <w:tc>
          <w:tcPr>
            <w:tcW w:w="2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A9D" w:rsidRPr="00854A9D" w:rsidRDefault="00854A9D" w:rsidP="00854A9D">
            <w:pPr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FFFFFF"/>
                <w:sz w:val="24"/>
              </w:rPr>
            </w:pPr>
          </w:p>
        </w:tc>
      </w:tr>
      <w:tr w:rsidR="00854A9D" w:rsidRPr="00854A9D" w:rsidTr="007528AA">
        <w:trPr>
          <w:trHeight w:val="293"/>
        </w:trPr>
        <w:tc>
          <w:tcPr>
            <w:tcW w:w="3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A9D" w:rsidRPr="00854A9D" w:rsidRDefault="00854A9D" w:rsidP="00854A9D">
            <w:pPr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FFFFFF"/>
                <w:sz w:val="24"/>
              </w:rPr>
            </w:pPr>
          </w:p>
        </w:tc>
        <w:tc>
          <w:tcPr>
            <w:tcW w:w="2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A9D" w:rsidRPr="00854A9D" w:rsidRDefault="00854A9D" w:rsidP="00854A9D">
            <w:pPr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FFFFFF"/>
                <w:sz w:val="24"/>
              </w:rPr>
            </w:pPr>
          </w:p>
        </w:tc>
        <w:tc>
          <w:tcPr>
            <w:tcW w:w="2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4A9D" w:rsidRPr="00854A9D" w:rsidRDefault="00854A9D" w:rsidP="00854A9D">
            <w:pPr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FFFFFF"/>
                <w:sz w:val="24"/>
              </w:rPr>
            </w:pPr>
          </w:p>
        </w:tc>
      </w:tr>
      <w:tr w:rsidR="00854A9D" w:rsidRPr="00854A9D" w:rsidTr="00095CD7">
        <w:trPr>
          <w:trHeight w:val="34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Dolnośląskiego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9 828 086 022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17,2%</w:t>
            </w:r>
          </w:p>
        </w:tc>
      </w:tr>
      <w:tr w:rsidR="00854A9D" w:rsidRPr="00854A9D" w:rsidTr="00095CD7">
        <w:trPr>
          <w:trHeight w:val="57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Kujawsko-Pomorskiego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8 305 336 626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9,6%</w:t>
            </w:r>
          </w:p>
        </w:tc>
      </w:tr>
      <w:tr w:rsidR="00854A9D" w:rsidRPr="00854A9D" w:rsidTr="00095CD7">
        <w:trPr>
          <w:trHeight w:val="45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Lubuskiego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3 957 024 944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13,2%</w:t>
            </w:r>
          </w:p>
        </w:tc>
      </w:tr>
      <w:tr w:rsidR="00854A9D" w:rsidRPr="00854A9D" w:rsidTr="00095CD7">
        <w:trPr>
          <w:trHeight w:val="43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Łódzkiego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9 843 367 894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11,7%</w:t>
            </w:r>
          </w:p>
        </w:tc>
      </w:tr>
      <w:tr w:rsidR="00854A9D" w:rsidRPr="00854A9D" w:rsidTr="00095CD7">
        <w:trPr>
          <w:trHeight w:val="45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Lubelskiego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9 733 893 609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12,0%</w:t>
            </w:r>
          </w:p>
        </w:tc>
      </w:tr>
      <w:tr w:rsidR="00854A9D" w:rsidRPr="00854A9D" w:rsidTr="00095CD7">
        <w:trPr>
          <w:trHeight w:val="42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Mazowieckiego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9 118 181 506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16,4%</w:t>
            </w:r>
          </w:p>
        </w:tc>
      </w:tr>
      <w:tr w:rsidR="00854A9D" w:rsidRPr="00854A9D" w:rsidTr="00095CD7">
        <w:trPr>
          <w:trHeight w:val="43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Małopolskiego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12 557 944 107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12,5%</w:t>
            </w:r>
          </w:p>
        </w:tc>
      </w:tr>
      <w:tr w:rsidR="00854A9D" w:rsidRPr="00854A9D" w:rsidTr="00095CD7">
        <w:trPr>
          <w:trHeight w:val="43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Opolskiego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4 122 988 973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21,1%</w:t>
            </w:r>
          </w:p>
        </w:tc>
      </w:tr>
      <w:tr w:rsidR="00854A9D" w:rsidRPr="00854A9D" w:rsidTr="00095CD7">
        <w:trPr>
          <w:trHeight w:val="54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Podlaskiego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5 295 040 171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9,4%</w:t>
            </w:r>
          </w:p>
        </w:tc>
      </w:tr>
      <w:tr w:rsidR="00854A9D" w:rsidRPr="00854A9D" w:rsidTr="00095CD7">
        <w:trPr>
          <w:trHeight w:val="645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Podkarpackiego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9 224 656 949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bookmarkStart w:id="0" w:name="_GoBack"/>
            <w:bookmarkEnd w:id="0"/>
            <w:r w:rsidRPr="00854A9D">
              <w:rPr>
                <w:rFonts w:ascii="Calibri" w:hAnsi="Calibri" w:cs="Calibri"/>
                <w:color w:val="000000"/>
                <w:sz w:val="24"/>
              </w:rPr>
              <w:t>17,4%</w:t>
            </w:r>
          </w:p>
        </w:tc>
      </w:tr>
      <w:tr w:rsidR="00854A9D" w:rsidRPr="00854A9D" w:rsidTr="00095CD7">
        <w:trPr>
          <w:trHeight w:val="48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Pomorskiego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8 136 359 920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15,2%</w:t>
            </w:r>
          </w:p>
        </w:tc>
      </w:tr>
      <w:tr w:rsidR="00854A9D" w:rsidRPr="00854A9D" w:rsidTr="00095CD7">
        <w:trPr>
          <w:trHeight w:val="45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Śląskiego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15 170 224 409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12,4%</w:t>
            </w:r>
          </w:p>
        </w:tc>
      </w:tr>
      <w:tr w:rsidR="00854A9D" w:rsidRPr="00854A9D" w:rsidTr="00095CD7">
        <w:trPr>
          <w:trHeight w:val="60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Świętokrzyskiego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5 953 640 151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11,7%</w:t>
            </w:r>
          </w:p>
        </w:tc>
      </w:tr>
      <w:tr w:rsidR="00854A9D" w:rsidRPr="00854A9D" w:rsidTr="00095CD7">
        <w:trPr>
          <w:trHeight w:val="660"/>
        </w:trPr>
        <w:tc>
          <w:tcPr>
            <w:tcW w:w="3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Warmińsko-Mazurskiego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7 540 623 978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10,5%</w:t>
            </w:r>
          </w:p>
        </w:tc>
      </w:tr>
      <w:tr w:rsidR="00854A9D" w:rsidRPr="00854A9D" w:rsidTr="00095CD7">
        <w:trPr>
          <w:trHeight w:val="645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RPO Woj. Wielkopolskiego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10 690 495 618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A9D" w:rsidRPr="00854A9D" w:rsidRDefault="00854A9D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>14,3%</w:t>
            </w:r>
          </w:p>
        </w:tc>
      </w:tr>
      <w:tr w:rsidR="007528AA" w:rsidRPr="00854A9D" w:rsidTr="00095CD7">
        <w:trPr>
          <w:trHeight w:val="645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8AA" w:rsidRPr="00854A9D" w:rsidRDefault="007528AA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854A9D">
              <w:rPr>
                <w:rFonts w:ascii="Calibri" w:hAnsi="Calibri" w:cs="Calibri"/>
                <w:color w:val="000000"/>
                <w:sz w:val="24"/>
              </w:rPr>
              <w:t xml:space="preserve">RPO Woj. </w:t>
            </w:r>
            <w:r>
              <w:rPr>
                <w:rFonts w:ascii="Calibri" w:hAnsi="Calibri" w:cs="Calibri"/>
                <w:color w:val="000000"/>
                <w:sz w:val="24"/>
              </w:rPr>
              <w:t>Zachodniopomorskiego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28AA" w:rsidRPr="00854A9D" w:rsidRDefault="007528AA" w:rsidP="00095CD7">
            <w:pPr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7528AA">
              <w:rPr>
                <w:rFonts w:ascii="Calibri" w:hAnsi="Calibri" w:cs="Calibri"/>
                <w:color w:val="000000"/>
                <w:sz w:val="24"/>
              </w:rPr>
              <w:t>6 986 366</w:t>
            </w:r>
            <w:r w:rsidRPr="007528AA">
              <w:rPr>
                <w:rFonts w:ascii="Calibri" w:hAnsi="Calibri" w:cs="Calibri"/>
                <w:color w:val="000000"/>
                <w:sz w:val="24"/>
              </w:rPr>
              <w:t> </w:t>
            </w:r>
            <w:r w:rsidRPr="007528AA">
              <w:rPr>
                <w:rFonts w:ascii="Calibri" w:hAnsi="Calibri" w:cs="Calibri"/>
                <w:color w:val="000000"/>
                <w:sz w:val="24"/>
              </w:rPr>
              <w:t>823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28AA" w:rsidRPr="00854A9D" w:rsidRDefault="007528AA" w:rsidP="00095CD7">
            <w:pPr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>
              <w:rPr>
                <w:rFonts w:ascii="Calibri" w:hAnsi="Calibri" w:cs="Calibri"/>
                <w:color w:val="000000"/>
                <w:sz w:val="24"/>
              </w:rPr>
              <w:t>12,9%</w:t>
            </w:r>
          </w:p>
        </w:tc>
      </w:tr>
    </w:tbl>
    <w:p w:rsidR="00D4786D" w:rsidRDefault="00D4786D" w:rsidP="00D4786D">
      <w:pPr>
        <w:pStyle w:val="Nagwek2"/>
        <w:rPr>
          <w:rFonts w:eastAsia="Calibri"/>
          <w:lang w:eastAsia="en-US"/>
        </w:rPr>
      </w:pPr>
      <w:r>
        <w:rPr>
          <w:rFonts w:eastAsia="Calibri"/>
          <w:lang w:eastAsia="en-US"/>
        </w:rPr>
        <w:t>Jak jest teraz. Jak było 7 lat temu</w:t>
      </w:r>
    </w:p>
    <w:p w:rsidR="00D4786D" w:rsidRDefault="00D4786D" w:rsidP="0037667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Ciekawie wypada również zestawienie wdrażania funduszy unijnych w programach regionalnych</w:t>
      </w:r>
      <w:r w:rsidR="00851F5A">
        <w:rPr>
          <w:rFonts w:eastAsia="Calibri"/>
          <w:lang w:eastAsia="en-US"/>
        </w:rPr>
        <w:t xml:space="preserve"> (RPO)</w:t>
      </w:r>
      <w:r>
        <w:rPr>
          <w:rFonts w:eastAsia="Calibri"/>
          <w:lang w:eastAsia="en-US"/>
        </w:rPr>
        <w:t xml:space="preserve"> i krajowych </w:t>
      </w:r>
      <w:r w:rsidR="00851F5A">
        <w:rPr>
          <w:rFonts w:eastAsia="Calibri"/>
          <w:lang w:eastAsia="en-US"/>
        </w:rPr>
        <w:t xml:space="preserve">(KPO) </w:t>
      </w:r>
      <w:r>
        <w:rPr>
          <w:rFonts w:eastAsia="Calibri"/>
          <w:lang w:eastAsia="en-US"/>
        </w:rPr>
        <w:t xml:space="preserve">obecnie i w analogicznym </w:t>
      </w:r>
      <w:r w:rsidR="0065061D">
        <w:rPr>
          <w:rFonts w:eastAsia="Calibri"/>
          <w:lang w:eastAsia="en-US"/>
        </w:rPr>
        <w:t xml:space="preserve">okresie </w:t>
      </w:r>
      <w:r>
        <w:rPr>
          <w:rFonts w:eastAsia="Calibri"/>
          <w:lang w:eastAsia="en-US"/>
        </w:rPr>
        <w:t>perspektywy</w:t>
      </w:r>
      <w:r w:rsidR="0065061D">
        <w:rPr>
          <w:rFonts w:eastAsia="Calibri"/>
          <w:lang w:eastAsia="en-US"/>
        </w:rPr>
        <w:t xml:space="preserve"> 2007-2013</w:t>
      </w:r>
      <w:r>
        <w:rPr>
          <w:rFonts w:eastAsia="Calibri"/>
          <w:lang w:eastAsia="en-US"/>
        </w:rPr>
        <w:t xml:space="preserve">. Porównywane dane dotyczą końca czerwca kwartału </w:t>
      </w:r>
      <w:r w:rsidR="0065061D">
        <w:rPr>
          <w:rFonts w:eastAsia="Calibri"/>
          <w:lang w:eastAsia="en-US"/>
        </w:rPr>
        <w:t xml:space="preserve">2011 i 2018 roku. </w:t>
      </w:r>
    </w:p>
    <w:p w:rsidR="00D4786D" w:rsidRDefault="00D4786D" w:rsidP="0037667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W przypadku umów o dofinansowanie</w:t>
      </w:r>
      <w:r w:rsidR="00851F5A">
        <w:rPr>
          <w:rFonts w:eastAsia="Calibri"/>
          <w:lang w:eastAsia="en-US"/>
        </w:rPr>
        <w:t xml:space="preserve"> (wykresy poniżej)</w:t>
      </w:r>
      <w:r>
        <w:rPr>
          <w:rFonts w:eastAsia="Calibri"/>
          <w:lang w:eastAsia="en-US"/>
        </w:rPr>
        <w:t>:</w:t>
      </w:r>
    </w:p>
    <w:p w:rsidR="00D4786D" w:rsidRPr="00851F5A" w:rsidRDefault="0065061D" w:rsidP="00851F5A">
      <w:pPr>
        <w:pStyle w:val="Akapitzlist"/>
        <w:numPr>
          <w:ilvl w:val="0"/>
          <w:numId w:val="26"/>
        </w:numPr>
      </w:pPr>
      <w:r w:rsidRPr="00851F5A">
        <w:t xml:space="preserve">w czerwcu 2011 roku marszałkowie </w:t>
      </w:r>
      <w:r w:rsidR="005647AF">
        <w:t xml:space="preserve"> wykorzystali </w:t>
      </w:r>
      <w:r w:rsidR="00851F5A" w:rsidRPr="00851F5A">
        <w:t>66,6 procent pieniędzy w zarządzanych przez siebie programach</w:t>
      </w:r>
      <w:r w:rsidR="005647AF">
        <w:t xml:space="preserve"> na lata 2007-2013</w:t>
      </w:r>
      <w:r w:rsidR="00851F5A" w:rsidRPr="00851F5A">
        <w:t>, a na koniec czerwca 2018 roku – 53,7 procent</w:t>
      </w:r>
      <w:r w:rsidR="005647AF">
        <w:t xml:space="preserve"> funduszy na lata 2014-2020,</w:t>
      </w:r>
    </w:p>
    <w:p w:rsidR="00851F5A" w:rsidRDefault="00851F5A" w:rsidP="00851F5A">
      <w:pPr>
        <w:pStyle w:val="Akapitzlist"/>
        <w:numPr>
          <w:ilvl w:val="0"/>
          <w:numId w:val="26"/>
        </w:numPr>
      </w:pPr>
      <w:r w:rsidRPr="00851F5A">
        <w:lastRenderedPageBreak/>
        <w:t xml:space="preserve">w czerwcu 2011 roku rząd </w:t>
      </w:r>
      <w:r w:rsidR="005647AF">
        <w:t>wykorzystał</w:t>
      </w:r>
      <w:r w:rsidRPr="00851F5A">
        <w:t xml:space="preserve"> 55,3 procent pieniędzy w zarządzanych przez siebie programach, a na koniec czerwca 2018 roku – 62,9 procent</w:t>
      </w:r>
      <w:r>
        <w:t>.</w:t>
      </w:r>
    </w:p>
    <w:p w:rsidR="00851F5A" w:rsidRDefault="007528AA">
      <w:pPr>
        <w:spacing w:before="0" w:beforeAutospacing="0" w:after="0" w:afterAutospacing="0"/>
      </w:pPr>
      <w:r w:rsidRPr="00851F5A">
        <w:rPr>
          <w:noProof/>
        </w:rPr>
        <w:drawing>
          <wp:anchor distT="0" distB="0" distL="114300" distR="114300" simplePos="0" relativeHeight="251662336" behindDoc="0" locked="0" layoutInCell="1" allowOverlap="1" wp14:anchorId="20C3F1F3" wp14:editId="1825C641">
            <wp:simplePos x="0" y="0"/>
            <wp:positionH relativeFrom="margin">
              <wp:posOffset>514350</wp:posOffset>
            </wp:positionH>
            <wp:positionV relativeFrom="margin">
              <wp:posOffset>708025</wp:posOffset>
            </wp:positionV>
            <wp:extent cx="5547995" cy="3615690"/>
            <wp:effectExtent l="0" t="0" r="0" b="3810"/>
            <wp:wrapSquare wrapText="bothSides"/>
            <wp:docPr id="440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F5A" w:rsidRDefault="00851F5A" w:rsidP="00851F5A"/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7528AA" w:rsidP="00851F5A">
      <w:pPr>
        <w:rPr>
          <w:rFonts w:eastAsia="Calibri"/>
        </w:rPr>
      </w:pPr>
      <w:r w:rsidRPr="00851F5A">
        <w:rPr>
          <w:rFonts w:eastAsia="Calibri"/>
          <w:noProof/>
        </w:rPr>
        <w:drawing>
          <wp:anchor distT="0" distB="0" distL="114300" distR="114300" simplePos="0" relativeHeight="251663360" behindDoc="0" locked="0" layoutInCell="1" allowOverlap="1" wp14:anchorId="441365A6" wp14:editId="372F5950">
            <wp:simplePos x="0" y="0"/>
            <wp:positionH relativeFrom="margin">
              <wp:posOffset>472440</wp:posOffset>
            </wp:positionH>
            <wp:positionV relativeFrom="margin">
              <wp:posOffset>4480560</wp:posOffset>
            </wp:positionV>
            <wp:extent cx="5588000" cy="3641725"/>
            <wp:effectExtent l="0" t="0" r="0" b="0"/>
            <wp:wrapSquare wrapText="bothSides"/>
            <wp:docPr id="430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</w:p>
    <w:p w:rsidR="00851F5A" w:rsidRDefault="00851F5A" w:rsidP="00851F5A">
      <w:pPr>
        <w:rPr>
          <w:rFonts w:eastAsia="Calibri"/>
        </w:rPr>
      </w:pPr>
      <w:r>
        <w:rPr>
          <w:rFonts w:eastAsia="Calibri"/>
        </w:rPr>
        <w:t>W przypadku rozliczeń z Ko</w:t>
      </w:r>
      <w:r w:rsidR="005647AF">
        <w:rPr>
          <w:rFonts w:eastAsia="Calibri"/>
        </w:rPr>
        <w:t>misją Europejską (tak zwana cer</w:t>
      </w:r>
      <w:r>
        <w:rPr>
          <w:rFonts w:eastAsia="Calibri"/>
        </w:rPr>
        <w:t>tyfikacja):</w:t>
      </w:r>
    </w:p>
    <w:p w:rsidR="00851F5A" w:rsidRPr="00851F5A" w:rsidRDefault="00851F5A" w:rsidP="00851F5A">
      <w:pPr>
        <w:pStyle w:val="Akapitzlist"/>
        <w:numPr>
          <w:ilvl w:val="0"/>
          <w:numId w:val="26"/>
        </w:numPr>
      </w:pPr>
      <w:r w:rsidRPr="00851F5A">
        <w:t xml:space="preserve">w czerwcu 2011 roku marszałkowie rozliczyli </w:t>
      </w:r>
      <w:r>
        <w:t>33,1</w:t>
      </w:r>
      <w:r w:rsidRPr="00851F5A">
        <w:t xml:space="preserve"> procent pieniędzy w zarządzanych przez siebie programach, a na koniec czerwca 2018 roku – </w:t>
      </w:r>
      <w:r>
        <w:t>11,9</w:t>
      </w:r>
      <w:r w:rsidRPr="00851F5A">
        <w:t xml:space="preserve"> procent</w:t>
      </w:r>
      <w:r>
        <w:t>,</w:t>
      </w:r>
    </w:p>
    <w:p w:rsidR="00851F5A" w:rsidRDefault="007528AA" w:rsidP="00851F5A">
      <w:pPr>
        <w:pStyle w:val="Akapitzlist"/>
        <w:numPr>
          <w:ilvl w:val="0"/>
          <w:numId w:val="26"/>
        </w:num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3FA2EB1B" wp14:editId="68225069">
            <wp:simplePos x="0" y="0"/>
            <wp:positionH relativeFrom="margin">
              <wp:posOffset>156210</wp:posOffset>
            </wp:positionH>
            <wp:positionV relativeFrom="margin">
              <wp:posOffset>746760</wp:posOffset>
            </wp:positionV>
            <wp:extent cx="6077585" cy="3961130"/>
            <wp:effectExtent l="0" t="0" r="0" b="1270"/>
            <wp:wrapSquare wrapText="bothSides"/>
            <wp:docPr id="512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9BB55FC" wp14:editId="52DE9264">
            <wp:simplePos x="0" y="0"/>
            <wp:positionH relativeFrom="margin">
              <wp:posOffset>157480</wp:posOffset>
            </wp:positionH>
            <wp:positionV relativeFrom="margin">
              <wp:posOffset>5033010</wp:posOffset>
            </wp:positionV>
            <wp:extent cx="6238875" cy="3891915"/>
            <wp:effectExtent l="0" t="0" r="9525" b="0"/>
            <wp:wrapSquare wrapText="bothSides"/>
            <wp:docPr id="501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51F5A" w:rsidRPr="00851F5A">
        <w:t xml:space="preserve">w czerwcu 2011 roku rząd rozliczył </w:t>
      </w:r>
      <w:r w:rsidR="00851F5A">
        <w:t>17,4</w:t>
      </w:r>
      <w:r w:rsidR="00851F5A" w:rsidRPr="00851F5A">
        <w:t xml:space="preserve"> procent pieniędzy w zarządzanych przez siebie programach, a na koniec czerwca 2018 roku – </w:t>
      </w:r>
      <w:r w:rsidR="00851F5A">
        <w:t>19,2</w:t>
      </w:r>
      <w:r w:rsidR="00851F5A" w:rsidRPr="00851F5A">
        <w:t xml:space="preserve"> procent</w:t>
      </w:r>
      <w:r w:rsidR="00851F5A">
        <w:t>.</w:t>
      </w:r>
    </w:p>
    <w:sectPr w:rsidR="00851F5A" w:rsidSect="00772000">
      <w:headerReference w:type="default" r:id="rId16"/>
      <w:footerReference w:type="even" r:id="rId17"/>
      <w:pgSz w:w="11906" w:h="16838"/>
      <w:pgMar w:top="142" w:right="707" w:bottom="851" w:left="907" w:header="357" w:footer="9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92A" w:rsidRDefault="0085292A">
      <w:r>
        <w:separator/>
      </w:r>
    </w:p>
  </w:endnote>
  <w:endnote w:type="continuationSeparator" w:id="0">
    <w:p w:rsidR="0085292A" w:rsidRDefault="00852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769" w:rsidRDefault="00B366E3" w:rsidP="0085205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86769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86769" w:rsidRDefault="00D86769" w:rsidP="00233E9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92A" w:rsidRDefault="0085292A">
      <w:r>
        <w:separator/>
      </w:r>
    </w:p>
  </w:footnote>
  <w:footnote w:type="continuationSeparator" w:id="0">
    <w:p w:rsidR="0085292A" w:rsidRDefault="008529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E13" w:rsidRDefault="00857A77" w:rsidP="00E420E6">
    <w:pPr>
      <w:pStyle w:val="Nagwek"/>
      <w:tabs>
        <w:tab w:val="clear" w:pos="4536"/>
        <w:tab w:val="clear" w:pos="9072"/>
        <w:tab w:val="left" w:pos="8115"/>
      </w:tabs>
    </w:pPr>
    <w:r>
      <w:rPr>
        <w:noProof/>
      </w:rPr>
      <w:drawing>
        <wp:inline distT="0" distB="0" distL="0" distR="0" wp14:anchorId="2C918775" wp14:editId="66064B40">
          <wp:extent cx="1342060" cy="458973"/>
          <wp:effectExtent l="0" t="0" r="0" b="0"/>
          <wp:docPr id="2" name="Obraz 2" descr="Po prawej stronie czarno-białego orła napis &quot;Ministerstwo Inwestycji i Rozwoju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awel_Nowak\AppData\Local\Temp\notesBAAA25\MIR_regular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060" cy="458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7B03" w:rsidRPr="00187B03">
      <w:rPr>
        <w:rFonts w:ascii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8.25pt;height:8.25pt" o:bullet="t">
        <v:imagedata r:id="rId1" o:title="BD14515_"/>
      </v:shape>
    </w:pict>
  </w:numPicBullet>
  <w:numPicBullet w:numPicBulletId="1">
    <w:pict>
      <v:shape id="_x0000_i1102" type="#_x0000_t75" style="width:8.25pt;height:8.25pt" o:bullet="t">
        <v:imagedata r:id="rId2" o:title="BD10268_"/>
      </v:shape>
    </w:pict>
  </w:numPicBullet>
  <w:numPicBullet w:numPicBulletId="2">
    <w:pict>
      <v:shape id="_x0000_i1103" type="#_x0000_t75" style="width:8.25pt;height:8.25pt" o:bullet="t">
        <v:imagedata r:id="rId3" o:title="BD14754_"/>
      </v:shape>
    </w:pict>
  </w:numPicBullet>
  <w:abstractNum w:abstractNumId="0">
    <w:nsid w:val="FFFFFF82"/>
    <w:multiLevelType w:val="singleLevel"/>
    <w:tmpl w:val="61603C1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C4023CE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Wingding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  <w:spacing w:val="4"/>
        <w:sz w:val="20"/>
        <w:szCs w:val="20"/>
      </w:rPr>
    </w:lvl>
  </w:abstractNum>
  <w:abstractNum w:abstractNumId="4">
    <w:nsid w:val="00000030"/>
    <w:multiLevelType w:val="singleLevel"/>
    <w:tmpl w:val="00000030"/>
    <w:name w:val="WW8Num48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/>
      </w:rPr>
    </w:lvl>
  </w:abstractNum>
  <w:abstractNum w:abstractNumId="5">
    <w:nsid w:val="00212471"/>
    <w:multiLevelType w:val="hybridMultilevel"/>
    <w:tmpl w:val="694AB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23F88"/>
    <w:multiLevelType w:val="hybridMultilevel"/>
    <w:tmpl w:val="1F324820"/>
    <w:lvl w:ilvl="0" w:tplc="73BC6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D1366"/>
    <w:multiLevelType w:val="hybridMultilevel"/>
    <w:tmpl w:val="E5AC8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00DAB"/>
    <w:multiLevelType w:val="hybridMultilevel"/>
    <w:tmpl w:val="FA3C82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D93176"/>
    <w:multiLevelType w:val="hybridMultilevel"/>
    <w:tmpl w:val="65E8D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864D52"/>
    <w:multiLevelType w:val="hybridMultilevel"/>
    <w:tmpl w:val="1FB6E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5D2B44"/>
    <w:multiLevelType w:val="hybridMultilevel"/>
    <w:tmpl w:val="F7AE6C68"/>
    <w:lvl w:ilvl="0" w:tplc="73BC6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C36536"/>
    <w:multiLevelType w:val="hybridMultilevel"/>
    <w:tmpl w:val="1E60A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9D027D"/>
    <w:multiLevelType w:val="hybridMultilevel"/>
    <w:tmpl w:val="748C7E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E20CF2"/>
    <w:multiLevelType w:val="hybridMultilevel"/>
    <w:tmpl w:val="BDC0286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EB34B3"/>
    <w:multiLevelType w:val="hybridMultilevel"/>
    <w:tmpl w:val="D1368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5129F4"/>
    <w:multiLevelType w:val="hybridMultilevel"/>
    <w:tmpl w:val="674A2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EC2E7F"/>
    <w:multiLevelType w:val="hybridMultilevel"/>
    <w:tmpl w:val="18221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D63848"/>
    <w:multiLevelType w:val="hybridMultilevel"/>
    <w:tmpl w:val="B4A24D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C21EE0"/>
    <w:multiLevelType w:val="hybridMultilevel"/>
    <w:tmpl w:val="5D32D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166002"/>
    <w:multiLevelType w:val="hybridMultilevel"/>
    <w:tmpl w:val="6EE00824"/>
    <w:lvl w:ilvl="0" w:tplc="73BC6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2E34ED"/>
    <w:multiLevelType w:val="hybridMultilevel"/>
    <w:tmpl w:val="8AE8501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7470DD"/>
    <w:multiLevelType w:val="hybridMultilevel"/>
    <w:tmpl w:val="301287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A0323A"/>
    <w:multiLevelType w:val="hybridMultilevel"/>
    <w:tmpl w:val="677C8E2A"/>
    <w:lvl w:ilvl="0" w:tplc="3DCC3F1E">
      <w:start w:val="1"/>
      <w:numFmt w:val="upperRoman"/>
      <w:pStyle w:val="naglowek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258025C">
      <w:start w:val="1"/>
      <w:numFmt w:val="decimal"/>
      <w:pStyle w:val="naglowek3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A108524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587410F"/>
    <w:multiLevelType w:val="hybridMultilevel"/>
    <w:tmpl w:val="26EA5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7581A"/>
    <w:multiLevelType w:val="hybridMultilevel"/>
    <w:tmpl w:val="4650C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BD67B2"/>
    <w:multiLevelType w:val="hybridMultilevel"/>
    <w:tmpl w:val="AAE48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263E99"/>
    <w:multiLevelType w:val="hybridMultilevel"/>
    <w:tmpl w:val="8B7468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346FA0"/>
    <w:multiLevelType w:val="hybridMultilevel"/>
    <w:tmpl w:val="1AA69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0"/>
  </w:num>
  <w:num w:numId="4">
    <w:abstractNumId w:val="11"/>
  </w:num>
  <w:num w:numId="5">
    <w:abstractNumId w:val="6"/>
  </w:num>
  <w:num w:numId="6">
    <w:abstractNumId w:val="20"/>
  </w:num>
  <w:num w:numId="7">
    <w:abstractNumId w:val="13"/>
  </w:num>
  <w:num w:numId="8">
    <w:abstractNumId w:val="14"/>
  </w:num>
  <w:num w:numId="9">
    <w:abstractNumId w:val="7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2"/>
  </w:num>
  <w:num w:numId="13">
    <w:abstractNumId w:val="10"/>
  </w:num>
  <w:num w:numId="14">
    <w:abstractNumId w:val="25"/>
  </w:num>
  <w:num w:numId="15">
    <w:abstractNumId w:val="28"/>
  </w:num>
  <w:num w:numId="16">
    <w:abstractNumId w:val="26"/>
  </w:num>
  <w:num w:numId="17">
    <w:abstractNumId w:val="19"/>
  </w:num>
  <w:num w:numId="18">
    <w:abstractNumId w:val="27"/>
  </w:num>
  <w:num w:numId="19">
    <w:abstractNumId w:val="17"/>
  </w:num>
  <w:num w:numId="20">
    <w:abstractNumId w:val="5"/>
  </w:num>
  <w:num w:numId="21">
    <w:abstractNumId w:val="22"/>
  </w:num>
  <w:num w:numId="22">
    <w:abstractNumId w:val="24"/>
  </w:num>
  <w:num w:numId="23">
    <w:abstractNumId w:val="16"/>
  </w:num>
  <w:num w:numId="24">
    <w:abstractNumId w:val="18"/>
  </w:num>
  <w:num w:numId="25">
    <w:abstractNumId w:val="15"/>
  </w:num>
  <w:num w:numId="26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988"/>
    <w:rsid w:val="00001E20"/>
    <w:rsid w:val="00003CCD"/>
    <w:rsid w:val="00004982"/>
    <w:rsid w:val="000051D3"/>
    <w:rsid w:val="00006135"/>
    <w:rsid w:val="00006DE0"/>
    <w:rsid w:val="000070A4"/>
    <w:rsid w:val="00007525"/>
    <w:rsid w:val="00007B2C"/>
    <w:rsid w:val="00011A8B"/>
    <w:rsid w:val="00014A02"/>
    <w:rsid w:val="00014EDC"/>
    <w:rsid w:val="00016146"/>
    <w:rsid w:val="000165DA"/>
    <w:rsid w:val="00020FBC"/>
    <w:rsid w:val="00026AD6"/>
    <w:rsid w:val="00027656"/>
    <w:rsid w:val="0003246E"/>
    <w:rsid w:val="00032FE0"/>
    <w:rsid w:val="000344B2"/>
    <w:rsid w:val="000350E0"/>
    <w:rsid w:val="000356E7"/>
    <w:rsid w:val="000373AE"/>
    <w:rsid w:val="00040D8A"/>
    <w:rsid w:val="00050DB5"/>
    <w:rsid w:val="000512F4"/>
    <w:rsid w:val="00051D01"/>
    <w:rsid w:val="000522B7"/>
    <w:rsid w:val="00055DB0"/>
    <w:rsid w:val="00056566"/>
    <w:rsid w:val="00060792"/>
    <w:rsid w:val="000611F7"/>
    <w:rsid w:val="0006156F"/>
    <w:rsid w:val="00061C97"/>
    <w:rsid w:val="0006395F"/>
    <w:rsid w:val="00064E25"/>
    <w:rsid w:val="00065E3E"/>
    <w:rsid w:val="00065E74"/>
    <w:rsid w:val="00066C53"/>
    <w:rsid w:val="00067FCA"/>
    <w:rsid w:val="00070694"/>
    <w:rsid w:val="00071DE6"/>
    <w:rsid w:val="00072D14"/>
    <w:rsid w:val="000734F2"/>
    <w:rsid w:val="000743C3"/>
    <w:rsid w:val="000758EF"/>
    <w:rsid w:val="00075A33"/>
    <w:rsid w:val="00076385"/>
    <w:rsid w:val="00076CA4"/>
    <w:rsid w:val="0007713E"/>
    <w:rsid w:val="00082171"/>
    <w:rsid w:val="00083722"/>
    <w:rsid w:val="00085563"/>
    <w:rsid w:val="000856C4"/>
    <w:rsid w:val="000859C4"/>
    <w:rsid w:val="00085DFF"/>
    <w:rsid w:val="00086367"/>
    <w:rsid w:val="00086CCD"/>
    <w:rsid w:val="00087829"/>
    <w:rsid w:val="00087A75"/>
    <w:rsid w:val="00091858"/>
    <w:rsid w:val="00091DC9"/>
    <w:rsid w:val="000943F0"/>
    <w:rsid w:val="00094D7E"/>
    <w:rsid w:val="00095259"/>
    <w:rsid w:val="00095CD7"/>
    <w:rsid w:val="000960AC"/>
    <w:rsid w:val="000A006F"/>
    <w:rsid w:val="000A1806"/>
    <w:rsid w:val="000A5656"/>
    <w:rsid w:val="000A5E55"/>
    <w:rsid w:val="000B014E"/>
    <w:rsid w:val="000B1357"/>
    <w:rsid w:val="000B4478"/>
    <w:rsid w:val="000B4D45"/>
    <w:rsid w:val="000B5543"/>
    <w:rsid w:val="000B5DB9"/>
    <w:rsid w:val="000B5F24"/>
    <w:rsid w:val="000B668C"/>
    <w:rsid w:val="000B6A0E"/>
    <w:rsid w:val="000B7372"/>
    <w:rsid w:val="000B75BF"/>
    <w:rsid w:val="000C25E6"/>
    <w:rsid w:val="000C2702"/>
    <w:rsid w:val="000C448B"/>
    <w:rsid w:val="000C4957"/>
    <w:rsid w:val="000C664E"/>
    <w:rsid w:val="000C6988"/>
    <w:rsid w:val="000C6E89"/>
    <w:rsid w:val="000C7026"/>
    <w:rsid w:val="000D0681"/>
    <w:rsid w:val="000D089B"/>
    <w:rsid w:val="000D163A"/>
    <w:rsid w:val="000D259B"/>
    <w:rsid w:val="000D4E6F"/>
    <w:rsid w:val="000D5E18"/>
    <w:rsid w:val="000D5E70"/>
    <w:rsid w:val="000D62EB"/>
    <w:rsid w:val="000D6C57"/>
    <w:rsid w:val="000D7E4C"/>
    <w:rsid w:val="000E2569"/>
    <w:rsid w:val="000E4010"/>
    <w:rsid w:val="000E5820"/>
    <w:rsid w:val="000E75A7"/>
    <w:rsid w:val="000F31CD"/>
    <w:rsid w:val="000F39FE"/>
    <w:rsid w:val="000F4DEE"/>
    <w:rsid w:val="000F53B9"/>
    <w:rsid w:val="000F567A"/>
    <w:rsid w:val="000F7B3E"/>
    <w:rsid w:val="00100214"/>
    <w:rsid w:val="00101960"/>
    <w:rsid w:val="001022ED"/>
    <w:rsid w:val="0010232F"/>
    <w:rsid w:val="00103205"/>
    <w:rsid w:val="00105B17"/>
    <w:rsid w:val="00105FED"/>
    <w:rsid w:val="001122D0"/>
    <w:rsid w:val="00112DF8"/>
    <w:rsid w:val="00117326"/>
    <w:rsid w:val="00120B0D"/>
    <w:rsid w:val="0012159A"/>
    <w:rsid w:val="00121D10"/>
    <w:rsid w:val="00122194"/>
    <w:rsid w:val="00122459"/>
    <w:rsid w:val="00124899"/>
    <w:rsid w:val="00132510"/>
    <w:rsid w:val="00135193"/>
    <w:rsid w:val="00141620"/>
    <w:rsid w:val="00142770"/>
    <w:rsid w:val="001429B3"/>
    <w:rsid w:val="00144E21"/>
    <w:rsid w:val="00146123"/>
    <w:rsid w:val="00147D5C"/>
    <w:rsid w:val="0015189A"/>
    <w:rsid w:val="00151AE6"/>
    <w:rsid w:val="00153933"/>
    <w:rsid w:val="00154509"/>
    <w:rsid w:val="0015479F"/>
    <w:rsid w:val="0015501D"/>
    <w:rsid w:val="00155BC9"/>
    <w:rsid w:val="001637F9"/>
    <w:rsid w:val="00166A4F"/>
    <w:rsid w:val="001727F3"/>
    <w:rsid w:val="00173E27"/>
    <w:rsid w:val="0017560D"/>
    <w:rsid w:val="001776CF"/>
    <w:rsid w:val="0017770B"/>
    <w:rsid w:val="00180FE0"/>
    <w:rsid w:val="00180FFD"/>
    <w:rsid w:val="001818EB"/>
    <w:rsid w:val="00181DFB"/>
    <w:rsid w:val="001857AE"/>
    <w:rsid w:val="00187123"/>
    <w:rsid w:val="001876F7"/>
    <w:rsid w:val="00187784"/>
    <w:rsid w:val="00187B03"/>
    <w:rsid w:val="00190838"/>
    <w:rsid w:val="00192EE5"/>
    <w:rsid w:val="001932D9"/>
    <w:rsid w:val="001946B9"/>
    <w:rsid w:val="00197CBC"/>
    <w:rsid w:val="001A004D"/>
    <w:rsid w:val="001A1A71"/>
    <w:rsid w:val="001A3342"/>
    <w:rsid w:val="001A66BC"/>
    <w:rsid w:val="001A6FE4"/>
    <w:rsid w:val="001A7C34"/>
    <w:rsid w:val="001B1014"/>
    <w:rsid w:val="001B1057"/>
    <w:rsid w:val="001B1762"/>
    <w:rsid w:val="001B217B"/>
    <w:rsid w:val="001B244E"/>
    <w:rsid w:val="001B3374"/>
    <w:rsid w:val="001B78BB"/>
    <w:rsid w:val="001C00C8"/>
    <w:rsid w:val="001C1486"/>
    <w:rsid w:val="001C20F8"/>
    <w:rsid w:val="001C24DC"/>
    <w:rsid w:val="001C42C5"/>
    <w:rsid w:val="001D27EB"/>
    <w:rsid w:val="001D368F"/>
    <w:rsid w:val="001D37AE"/>
    <w:rsid w:val="001D6D71"/>
    <w:rsid w:val="001E2C95"/>
    <w:rsid w:val="001E2F4C"/>
    <w:rsid w:val="001E3C25"/>
    <w:rsid w:val="001E4EBD"/>
    <w:rsid w:val="001E5236"/>
    <w:rsid w:val="001E76D0"/>
    <w:rsid w:val="001E7E71"/>
    <w:rsid w:val="001F48D7"/>
    <w:rsid w:val="002004F8"/>
    <w:rsid w:val="002014DE"/>
    <w:rsid w:val="00201854"/>
    <w:rsid w:val="0020368C"/>
    <w:rsid w:val="00203A89"/>
    <w:rsid w:val="00203F5B"/>
    <w:rsid w:val="00207869"/>
    <w:rsid w:val="00211B4F"/>
    <w:rsid w:val="00211C1B"/>
    <w:rsid w:val="0021306C"/>
    <w:rsid w:val="00213E6F"/>
    <w:rsid w:val="00214618"/>
    <w:rsid w:val="00214CA2"/>
    <w:rsid w:val="00214CAD"/>
    <w:rsid w:val="00216E96"/>
    <w:rsid w:val="00220E26"/>
    <w:rsid w:val="00221791"/>
    <w:rsid w:val="00222908"/>
    <w:rsid w:val="002229FB"/>
    <w:rsid w:val="00225464"/>
    <w:rsid w:val="00225A13"/>
    <w:rsid w:val="00226EA2"/>
    <w:rsid w:val="0022759A"/>
    <w:rsid w:val="00230D2B"/>
    <w:rsid w:val="00230DBD"/>
    <w:rsid w:val="00231257"/>
    <w:rsid w:val="00233E94"/>
    <w:rsid w:val="00233F69"/>
    <w:rsid w:val="00234243"/>
    <w:rsid w:val="00235072"/>
    <w:rsid w:val="00236D72"/>
    <w:rsid w:val="0024249B"/>
    <w:rsid w:val="00244264"/>
    <w:rsid w:val="00246D5A"/>
    <w:rsid w:val="0025137E"/>
    <w:rsid w:val="00251401"/>
    <w:rsid w:val="00254CA0"/>
    <w:rsid w:val="0025529C"/>
    <w:rsid w:val="0025728F"/>
    <w:rsid w:val="0025765D"/>
    <w:rsid w:val="0025770E"/>
    <w:rsid w:val="00261F25"/>
    <w:rsid w:val="00263CEF"/>
    <w:rsid w:val="00267EF9"/>
    <w:rsid w:val="002750BA"/>
    <w:rsid w:val="00276241"/>
    <w:rsid w:val="002764B1"/>
    <w:rsid w:val="00276993"/>
    <w:rsid w:val="00282FF3"/>
    <w:rsid w:val="00286E11"/>
    <w:rsid w:val="00287A19"/>
    <w:rsid w:val="002916E2"/>
    <w:rsid w:val="002930A8"/>
    <w:rsid w:val="00293B36"/>
    <w:rsid w:val="00293EB0"/>
    <w:rsid w:val="00297B78"/>
    <w:rsid w:val="002A01C1"/>
    <w:rsid w:val="002A138B"/>
    <w:rsid w:val="002A1D6C"/>
    <w:rsid w:val="002A2ED5"/>
    <w:rsid w:val="002A41E9"/>
    <w:rsid w:val="002A6694"/>
    <w:rsid w:val="002A6D67"/>
    <w:rsid w:val="002A6EC0"/>
    <w:rsid w:val="002A7596"/>
    <w:rsid w:val="002A7BCB"/>
    <w:rsid w:val="002B116C"/>
    <w:rsid w:val="002B1B6F"/>
    <w:rsid w:val="002B44C0"/>
    <w:rsid w:val="002B4577"/>
    <w:rsid w:val="002B78AB"/>
    <w:rsid w:val="002C04BC"/>
    <w:rsid w:val="002C0618"/>
    <w:rsid w:val="002C18E4"/>
    <w:rsid w:val="002C2503"/>
    <w:rsid w:val="002C3345"/>
    <w:rsid w:val="002C5476"/>
    <w:rsid w:val="002C6557"/>
    <w:rsid w:val="002C7424"/>
    <w:rsid w:val="002D3AD5"/>
    <w:rsid w:val="002D47E0"/>
    <w:rsid w:val="002D5368"/>
    <w:rsid w:val="002E192F"/>
    <w:rsid w:val="002E20A8"/>
    <w:rsid w:val="002E242F"/>
    <w:rsid w:val="002E4967"/>
    <w:rsid w:val="002E6662"/>
    <w:rsid w:val="002E6A9C"/>
    <w:rsid w:val="002F052D"/>
    <w:rsid w:val="002F0B0B"/>
    <w:rsid w:val="002F1161"/>
    <w:rsid w:val="002F31C7"/>
    <w:rsid w:val="002F51F0"/>
    <w:rsid w:val="002F6235"/>
    <w:rsid w:val="0030005C"/>
    <w:rsid w:val="0030248D"/>
    <w:rsid w:val="00303244"/>
    <w:rsid w:val="003037B2"/>
    <w:rsid w:val="00304BBB"/>
    <w:rsid w:val="00304F19"/>
    <w:rsid w:val="0030574D"/>
    <w:rsid w:val="00305D24"/>
    <w:rsid w:val="003076E8"/>
    <w:rsid w:val="003106F2"/>
    <w:rsid w:val="00310790"/>
    <w:rsid w:val="00311B38"/>
    <w:rsid w:val="00313034"/>
    <w:rsid w:val="00314B97"/>
    <w:rsid w:val="00315F14"/>
    <w:rsid w:val="00316AC4"/>
    <w:rsid w:val="00317FD7"/>
    <w:rsid w:val="0032117E"/>
    <w:rsid w:val="00321ED3"/>
    <w:rsid w:val="0033132B"/>
    <w:rsid w:val="003325CB"/>
    <w:rsid w:val="00336171"/>
    <w:rsid w:val="00347442"/>
    <w:rsid w:val="003500F7"/>
    <w:rsid w:val="00350AC2"/>
    <w:rsid w:val="00355C53"/>
    <w:rsid w:val="00356859"/>
    <w:rsid w:val="00360104"/>
    <w:rsid w:val="003604CF"/>
    <w:rsid w:val="003608D1"/>
    <w:rsid w:val="003616E9"/>
    <w:rsid w:val="00362A8E"/>
    <w:rsid w:val="0036417F"/>
    <w:rsid w:val="0037084A"/>
    <w:rsid w:val="00370BA1"/>
    <w:rsid w:val="0037148F"/>
    <w:rsid w:val="00371D02"/>
    <w:rsid w:val="00372C86"/>
    <w:rsid w:val="003732B2"/>
    <w:rsid w:val="0037348B"/>
    <w:rsid w:val="00373C6F"/>
    <w:rsid w:val="00374027"/>
    <w:rsid w:val="003743A3"/>
    <w:rsid w:val="0037643E"/>
    <w:rsid w:val="0037667A"/>
    <w:rsid w:val="00377B6D"/>
    <w:rsid w:val="00380501"/>
    <w:rsid w:val="00380656"/>
    <w:rsid w:val="00382792"/>
    <w:rsid w:val="00384C5E"/>
    <w:rsid w:val="00384F2A"/>
    <w:rsid w:val="00386AC3"/>
    <w:rsid w:val="00386CF8"/>
    <w:rsid w:val="00386E65"/>
    <w:rsid w:val="0038754B"/>
    <w:rsid w:val="003901DC"/>
    <w:rsid w:val="0039584C"/>
    <w:rsid w:val="00395CA7"/>
    <w:rsid w:val="003A01E5"/>
    <w:rsid w:val="003A2E9A"/>
    <w:rsid w:val="003A3A0C"/>
    <w:rsid w:val="003A5CD9"/>
    <w:rsid w:val="003A6A4C"/>
    <w:rsid w:val="003A77CE"/>
    <w:rsid w:val="003B0D77"/>
    <w:rsid w:val="003B2DAB"/>
    <w:rsid w:val="003B68A4"/>
    <w:rsid w:val="003C0606"/>
    <w:rsid w:val="003C0E6C"/>
    <w:rsid w:val="003C14EF"/>
    <w:rsid w:val="003C3C43"/>
    <w:rsid w:val="003C4576"/>
    <w:rsid w:val="003C616D"/>
    <w:rsid w:val="003C69B7"/>
    <w:rsid w:val="003C7191"/>
    <w:rsid w:val="003D022B"/>
    <w:rsid w:val="003D0BB2"/>
    <w:rsid w:val="003D11C2"/>
    <w:rsid w:val="003D17F9"/>
    <w:rsid w:val="003D593B"/>
    <w:rsid w:val="003E3AA3"/>
    <w:rsid w:val="003E4047"/>
    <w:rsid w:val="003E6B4D"/>
    <w:rsid w:val="003F1539"/>
    <w:rsid w:val="003F1C1C"/>
    <w:rsid w:val="003F3FEE"/>
    <w:rsid w:val="003F4BB4"/>
    <w:rsid w:val="003F5310"/>
    <w:rsid w:val="004032D7"/>
    <w:rsid w:val="004052C7"/>
    <w:rsid w:val="00406C2B"/>
    <w:rsid w:val="00411046"/>
    <w:rsid w:val="00411BA1"/>
    <w:rsid w:val="0041407C"/>
    <w:rsid w:val="00415168"/>
    <w:rsid w:val="00415DC1"/>
    <w:rsid w:val="00417F06"/>
    <w:rsid w:val="00421147"/>
    <w:rsid w:val="00421848"/>
    <w:rsid w:val="00421FA3"/>
    <w:rsid w:val="004223F6"/>
    <w:rsid w:val="00422D25"/>
    <w:rsid w:val="00423BA3"/>
    <w:rsid w:val="00425907"/>
    <w:rsid w:val="00426334"/>
    <w:rsid w:val="00430C41"/>
    <w:rsid w:val="0043397E"/>
    <w:rsid w:val="00437132"/>
    <w:rsid w:val="00437F18"/>
    <w:rsid w:val="004424E2"/>
    <w:rsid w:val="00444BBB"/>
    <w:rsid w:val="004513AE"/>
    <w:rsid w:val="00452F83"/>
    <w:rsid w:val="004567FF"/>
    <w:rsid w:val="00457204"/>
    <w:rsid w:val="00461D9F"/>
    <w:rsid w:val="00466852"/>
    <w:rsid w:val="00467956"/>
    <w:rsid w:val="00467B8D"/>
    <w:rsid w:val="004720E9"/>
    <w:rsid w:val="00472E45"/>
    <w:rsid w:val="004751B4"/>
    <w:rsid w:val="00477AA3"/>
    <w:rsid w:val="00481464"/>
    <w:rsid w:val="00483405"/>
    <w:rsid w:val="00483BD2"/>
    <w:rsid w:val="00487777"/>
    <w:rsid w:val="00487A60"/>
    <w:rsid w:val="00490BAC"/>
    <w:rsid w:val="00491153"/>
    <w:rsid w:val="00494B49"/>
    <w:rsid w:val="0049631D"/>
    <w:rsid w:val="00496559"/>
    <w:rsid w:val="004A07E9"/>
    <w:rsid w:val="004A0F29"/>
    <w:rsid w:val="004A29F5"/>
    <w:rsid w:val="004A686A"/>
    <w:rsid w:val="004A790E"/>
    <w:rsid w:val="004A7B7E"/>
    <w:rsid w:val="004B1046"/>
    <w:rsid w:val="004B18E6"/>
    <w:rsid w:val="004B2475"/>
    <w:rsid w:val="004B2A5A"/>
    <w:rsid w:val="004B63FA"/>
    <w:rsid w:val="004B6ACB"/>
    <w:rsid w:val="004B7FE8"/>
    <w:rsid w:val="004C1C42"/>
    <w:rsid w:val="004C2DFD"/>
    <w:rsid w:val="004C61AF"/>
    <w:rsid w:val="004C7C09"/>
    <w:rsid w:val="004D1DFC"/>
    <w:rsid w:val="004D3612"/>
    <w:rsid w:val="004D5C66"/>
    <w:rsid w:val="004D6264"/>
    <w:rsid w:val="004D75C6"/>
    <w:rsid w:val="004E3974"/>
    <w:rsid w:val="004F0272"/>
    <w:rsid w:val="004F0AEE"/>
    <w:rsid w:val="004F1129"/>
    <w:rsid w:val="004F19FA"/>
    <w:rsid w:val="004F3885"/>
    <w:rsid w:val="004F3ADB"/>
    <w:rsid w:val="004F5024"/>
    <w:rsid w:val="004F5961"/>
    <w:rsid w:val="004F7630"/>
    <w:rsid w:val="00501DF2"/>
    <w:rsid w:val="005027A3"/>
    <w:rsid w:val="00505000"/>
    <w:rsid w:val="00505141"/>
    <w:rsid w:val="00505F2D"/>
    <w:rsid w:val="00506B0C"/>
    <w:rsid w:val="00507577"/>
    <w:rsid w:val="005125C3"/>
    <w:rsid w:val="005162E4"/>
    <w:rsid w:val="005222D0"/>
    <w:rsid w:val="00525913"/>
    <w:rsid w:val="00527367"/>
    <w:rsid w:val="00527541"/>
    <w:rsid w:val="005275DA"/>
    <w:rsid w:val="00527B54"/>
    <w:rsid w:val="00530EA0"/>
    <w:rsid w:val="00532CB4"/>
    <w:rsid w:val="0053387E"/>
    <w:rsid w:val="00535C20"/>
    <w:rsid w:val="005367C5"/>
    <w:rsid w:val="005379AF"/>
    <w:rsid w:val="00540BA2"/>
    <w:rsid w:val="00541F58"/>
    <w:rsid w:val="0054283B"/>
    <w:rsid w:val="00543D8C"/>
    <w:rsid w:val="00543FA6"/>
    <w:rsid w:val="005455C9"/>
    <w:rsid w:val="005457A9"/>
    <w:rsid w:val="005522DB"/>
    <w:rsid w:val="005532DC"/>
    <w:rsid w:val="005547C2"/>
    <w:rsid w:val="0055551D"/>
    <w:rsid w:val="00557B8D"/>
    <w:rsid w:val="00557E3F"/>
    <w:rsid w:val="00561AA3"/>
    <w:rsid w:val="00562604"/>
    <w:rsid w:val="005647AF"/>
    <w:rsid w:val="005663F8"/>
    <w:rsid w:val="00567624"/>
    <w:rsid w:val="0057008B"/>
    <w:rsid w:val="00570D65"/>
    <w:rsid w:val="00571176"/>
    <w:rsid w:val="00571764"/>
    <w:rsid w:val="00572731"/>
    <w:rsid w:val="00572F69"/>
    <w:rsid w:val="005742D8"/>
    <w:rsid w:val="005742F0"/>
    <w:rsid w:val="00575C35"/>
    <w:rsid w:val="0057748E"/>
    <w:rsid w:val="00581E60"/>
    <w:rsid w:val="0058372D"/>
    <w:rsid w:val="0059081F"/>
    <w:rsid w:val="00591755"/>
    <w:rsid w:val="00592B78"/>
    <w:rsid w:val="0059344D"/>
    <w:rsid w:val="00594270"/>
    <w:rsid w:val="00596D72"/>
    <w:rsid w:val="00596EF2"/>
    <w:rsid w:val="00597E2E"/>
    <w:rsid w:val="005A1818"/>
    <w:rsid w:val="005A4400"/>
    <w:rsid w:val="005A5016"/>
    <w:rsid w:val="005A5121"/>
    <w:rsid w:val="005A542D"/>
    <w:rsid w:val="005A5C18"/>
    <w:rsid w:val="005A71B3"/>
    <w:rsid w:val="005B08E9"/>
    <w:rsid w:val="005B0CC8"/>
    <w:rsid w:val="005B1F00"/>
    <w:rsid w:val="005B2320"/>
    <w:rsid w:val="005B3C3C"/>
    <w:rsid w:val="005B6D4E"/>
    <w:rsid w:val="005B7037"/>
    <w:rsid w:val="005C0C99"/>
    <w:rsid w:val="005C109F"/>
    <w:rsid w:val="005C34F8"/>
    <w:rsid w:val="005C5C93"/>
    <w:rsid w:val="005C690A"/>
    <w:rsid w:val="005C7614"/>
    <w:rsid w:val="005D0B10"/>
    <w:rsid w:val="005D174F"/>
    <w:rsid w:val="005D2425"/>
    <w:rsid w:val="005D2766"/>
    <w:rsid w:val="005D2F44"/>
    <w:rsid w:val="005D3FE9"/>
    <w:rsid w:val="005D5321"/>
    <w:rsid w:val="005D5AA8"/>
    <w:rsid w:val="005D5C1D"/>
    <w:rsid w:val="005D5D6B"/>
    <w:rsid w:val="005D5F16"/>
    <w:rsid w:val="005D78E9"/>
    <w:rsid w:val="005E178D"/>
    <w:rsid w:val="005E2917"/>
    <w:rsid w:val="005E7C04"/>
    <w:rsid w:val="005F29C6"/>
    <w:rsid w:val="005F2C85"/>
    <w:rsid w:val="005F3BF7"/>
    <w:rsid w:val="005F5C46"/>
    <w:rsid w:val="005F6862"/>
    <w:rsid w:val="005F692C"/>
    <w:rsid w:val="006005E1"/>
    <w:rsid w:val="00603497"/>
    <w:rsid w:val="00606187"/>
    <w:rsid w:val="00606233"/>
    <w:rsid w:val="00607433"/>
    <w:rsid w:val="006075A8"/>
    <w:rsid w:val="006133F9"/>
    <w:rsid w:val="006143F7"/>
    <w:rsid w:val="00614A8A"/>
    <w:rsid w:val="00614D93"/>
    <w:rsid w:val="00615E2F"/>
    <w:rsid w:val="00616197"/>
    <w:rsid w:val="0061692C"/>
    <w:rsid w:val="00617190"/>
    <w:rsid w:val="00617EE7"/>
    <w:rsid w:val="00620102"/>
    <w:rsid w:val="00621EED"/>
    <w:rsid w:val="00621F80"/>
    <w:rsid w:val="0062332F"/>
    <w:rsid w:val="006236B5"/>
    <w:rsid w:val="0062408A"/>
    <w:rsid w:val="0062459B"/>
    <w:rsid w:val="006256B3"/>
    <w:rsid w:val="0063159F"/>
    <w:rsid w:val="00632C39"/>
    <w:rsid w:val="00634903"/>
    <w:rsid w:val="00635529"/>
    <w:rsid w:val="00636993"/>
    <w:rsid w:val="006369F5"/>
    <w:rsid w:val="00641393"/>
    <w:rsid w:val="00643C1D"/>
    <w:rsid w:val="006442A8"/>
    <w:rsid w:val="00645F81"/>
    <w:rsid w:val="006464DF"/>
    <w:rsid w:val="0064772C"/>
    <w:rsid w:val="0065061D"/>
    <w:rsid w:val="00660FE6"/>
    <w:rsid w:val="006614AB"/>
    <w:rsid w:val="00664417"/>
    <w:rsid w:val="00664A7C"/>
    <w:rsid w:val="00664CB0"/>
    <w:rsid w:val="00665674"/>
    <w:rsid w:val="0067060A"/>
    <w:rsid w:val="0067139A"/>
    <w:rsid w:val="006718DE"/>
    <w:rsid w:val="00671A28"/>
    <w:rsid w:val="00672B39"/>
    <w:rsid w:val="006754B1"/>
    <w:rsid w:val="00676C72"/>
    <w:rsid w:val="00677BC1"/>
    <w:rsid w:val="00677D65"/>
    <w:rsid w:val="0068136D"/>
    <w:rsid w:val="00681E39"/>
    <w:rsid w:val="006855F9"/>
    <w:rsid w:val="00686634"/>
    <w:rsid w:val="00686C85"/>
    <w:rsid w:val="00687894"/>
    <w:rsid w:val="00690B46"/>
    <w:rsid w:val="0069103B"/>
    <w:rsid w:val="00691495"/>
    <w:rsid w:val="00692C8D"/>
    <w:rsid w:val="006937A9"/>
    <w:rsid w:val="006937FF"/>
    <w:rsid w:val="00694076"/>
    <w:rsid w:val="0069713C"/>
    <w:rsid w:val="006971EB"/>
    <w:rsid w:val="00697332"/>
    <w:rsid w:val="0069753B"/>
    <w:rsid w:val="006A0C3F"/>
    <w:rsid w:val="006A1F00"/>
    <w:rsid w:val="006A4CE7"/>
    <w:rsid w:val="006A5BE3"/>
    <w:rsid w:val="006A77DA"/>
    <w:rsid w:val="006A7842"/>
    <w:rsid w:val="006B268C"/>
    <w:rsid w:val="006B3CFF"/>
    <w:rsid w:val="006B5C26"/>
    <w:rsid w:val="006C0202"/>
    <w:rsid w:val="006C4495"/>
    <w:rsid w:val="006C5424"/>
    <w:rsid w:val="006C72D1"/>
    <w:rsid w:val="006C7E5C"/>
    <w:rsid w:val="006D0781"/>
    <w:rsid w:val="006D36A4"/>
    <w:rsid w:val="006D3C5E"/>
    <w:rsid w:val="006D682A"/>
    <w:rsid w:val="006D6CE7"/>
    <w:rsid w:val="006E0D73"/>
    <w:rsid w:val="006E1B57"/>
    <w:rsid w:val="006E26C8"/>
    <w:rsid w:val="006E3E1C"/>
    <w:rsid w:val="006E444B"/>
    <w:rsid w:val="006E5E94"/>
    <w:rsid w:val="006E6BE8"/>
    <w:rsid w:val="006F46B3"/>
    <w:rsid w:val="00700547"/>
    <w:rsid w:val="007035B7"/>
    <w:rsid w:val="007041FA"/>
    <w:rsid w:val="007052C6"/>
    <w:rsid w:val="00712CB2"/>
    <w:rsid w:val="007170B8"/>
    <w:rsid w:val="007204C6"/>
    <w:rsid w:val="0072052C"/>
    <w:rsid w:val="0072291F"/>
    <w:rsid w:val="00722BA3"/>
    <w:rsid w:val="0072483E"/>
    <w:rsid w:val="0072628F"/>
    <w:rsid w:val="0072661C"/>
    <w:rsid w:val="00731037"/>
    <w:rsid w:val="00733D65"/>
    <w:rsid w:val="00733DB8"/>
    <w:rsid w:val="00734B3A"/>
    <w:rsid w:val="007350F8"/>
    <w:rsid w:val="00740681"/>
    <w:rsid w:val="00743D2D"/>
    <w:rsid w:val="0075022D"/>
    <w:rsid w:val="0075098F"/>
    <w:rsid w:val="00751418"/>
    <w:rsid w:val="007518A0"/>
    <w:rsid w:val="007528AA"/>
    <w:rsid w:val="007562CD"/>
    <w:rsid w:val="0075679B"/>
    <w:rsid w:val="0075722A"/>
    <w:rsid w:val="00760BBC"/>
    <w:rsid w:val="00764656"/>
    <w:rsid w:val="0076540C"/>
    <w:rsid w:val="00766DBF"/>
    <w:rsid w:val="00767333"/>
    <w:rsid w:val="00771D34"/>
    <w:rsid w:val="00772000"/>
    <w:rsid w:val="00774C73"/>
    <w:rsid w:val="007758E5"/>
    <w:rsid w:val="00775C7D"/>
    <w:rsid w:val="00776DCD"/>
    <w:rsid w:val="00776E2B"/>
    <w:rsid w:val="007810FB"/>
    <w:rsid w:val="00783F95"/>
    <w:rsid w:val="007848B0"/>
    <w:rsid w:val="00784EE2"/>
    <w:rsid w:val="00792412"/>
    <w:rsid w:val="00792B54"/>
    <w:rsid w:val="00792D06"/>
    <w:rsid w:val="00794862"/>
    <w:rsid w:val="00795347"/>
    <w:rsid w:val="00795A1F"/>
    <w:rsid w:val="00796405"/>
    <w:rsid w:val="007A05DA"/>
    <w:rsid w:val="007A1A33"/>
    <w:rsid w:val="007A6C2D"/>
    <w:rsid w:val="007A76D8"/>
    <w:rsid w:val="007A7C1B"/>
    <w:rsid w:val="007A7C86"/>
    <w:rsid w:val="007B0625"/>
    <w:rsid w:val="007B1359"/>
    <w:rsid w:val="007B2A0D"/>
    <w:rsid w:val="007B3EE3"/>
    <w:rsid w:val="007B4AC8"/>
    <w:rsid w:val="007B5CD0"/>
    <w:rsid w:val="007B5FFB"/>
    <w:rsid w:val="007B733A"/>
    <w:rsid w:val="007C04B3"/>
    <w:rsid w:val="007C09AE"/>
    <w:rsid w:val="007C28DC"/>
    <w:rsid w:val="007C30E0"/>
    <w:rsid w:val="007D0A2C"/>
    <w:rsid w:val="007D1212"/>
    <w:rsid w:val="007D179D"/>
    <w:rsid w:val="007D5795"/>
    <w:rsid w:val="007D5E31"/>
    <w:rsid w:val="007D66BC"/>
    <w:rsid w:val="007D676F"/>
    <w:rsid w:val="007D6C26"/>
    <w:rsid w:val="007E2203"/>
    <w:rsid w:val="007E28C5"/>
    <w:rsid w:val="007E2BE3"/>
    <w:rsid w:val="007E2F2E"/>
    <w:rsid w:val="007E359D"/>
    <w:rsid w:val="007E6293"/>
    <w:rsid w:val="007E667F"/>
    <w:rsid w:val="007F0B7D"/>
    <w:rsid w:val="007F1105"/>
    <w:rsid w:val="007F2F7A"/>
    <w:rsid w:val="007F60E4"/>
    <w:rsid w:val="007F65A8"/>
    <w:rsid w:val="007F7947"/>
    <w:rsid w:val="00801D8E"/>
    <w:rsid w:val="00801F66"/>
    <w:rsid w:val="00802C5F"/>
    <w:rsid w:val="00803538"/>
    <w:rsid w:val="00804B09"/>
    <w:rsid w:val="00804DCD"/>
    <w:rsid w:val="00806A8C"/>
    <w:rsid w:val="00807688"/>
    <w:rsid w:val="00811E72"/>
    <w:rsid w:val="008132B0"/>
    <w:rsid w:val="008161A3"/>
    <w:rsid w:val="008171C0"/>
    <w:rsid w:val="008175B7"/>
    <w:rsid w:val="00820F4A"/>
    <w:rsid w:val="008222E1"/>
    <w:rsid w:val="008223D2"/>
    <w:rsid w:val="00822F4A"/>
    <w:rsid w:val="008235D1"/>
    <w:rsid w:val="00823C76"/>
    <w:rsid w:val="008246B9"/>
    <w:rsid w:val="00826F9E"/>
    <w:rsid w:val="008305DA"/>
    <w:rsid w:val="00831090"/>
    <w:rsid w:val="00831BC6"/>
    <w:rsid w:val="00832224"/>
    <w:rsid w:val="008325BE"/>
    <w:rsid w:val="00833140"/>
    <w:rsid w:val="00833A57"/>
    <w:rsid w:val="00833BC0"/>
    <w:rsid w:val="008347E5"/>
    <w:rsid w:val="00840636"/>
    <w:rsid w:val="0084239D"/>
    <w:rsid w:val="0084583D"/>
    <w:rsid w:val="008460F4"/>
    <w:rsid w:val="00847D28"/>
    <w:rsid w:val="00851175"/>
    <w:rsid w:val="00851C66"/>
    <w:rsid w:val="00851E5D"/>
    <w:rsid w:val="00851F5A"/>
    <w:rsid w:val="0085205A"/>
    <w:rsid w:val="0085292A"/>
    <w:rsid w:val="00852E0F"/>
    <w:rsid w:val="00854A9D"/>
    <w:rsid w:val="008578FC"/>
    <w:rsid w:val="00857A77"/>
    <w:rsid w:val="00861E76"/>
    <w:rsid w:val="008621B4"/>
    <w:rsid w:val="00863347"/>
    <w:rsid w:val="0086414A"/>
    <w:rsid w:val="00864B47"/>
    <w:rsid w:val="00865555"/>
    <w:rsid w:val="00867823"/>
    <w:rsid w:val="00867AF6"/>
    <w:rsid w:val="00871EBE"/>
    <w:rsid w:val="00872D5A"/>
    <w:rsid w:val="00875A89"/>
    <w:rsid w:val="00876A47"/>
    <w:rsid w:val="00876E50"/>
    <w:rsid w:val="00880954"/>
    <w:rsid w:val="00883805"/>
    <w:rsid w:val="00884C05"/>
    <w:rsid w:val="00890A87"/>
    <w:rsid w:val="0089131D"/>
    <w:rsid w:val="0089529C"/>
    <w:rsid w:val="008978EC"/>
    <w:rsid w:val="00897E0D"/>
    <w:rsid w:val="008A1935"/>
    <w:rsid w:val="008A25A6"/>
    <w:rsid w:val="008A2C06"/>
    <w:rsid w:val="008A45C5"/>
    <w:rsid w:val="008A5331"/>
    <w:rsid w:val="008A5A40"/>
    <w:rsid w:val="008B0B14"/>
    <w:rsid w:val="008B298B"/>
    <w:rsid w:val="008B3E06"/>
    <w:rsid w:val="008B500A"/>
    <w:rsid w:val="008C0826"/>
    <w:rsid w:val="008C0F8A"/>
    <w:rsid w:val="008C12D9"/>
    <w:rsid w:val="008C19F8"/>
    <w:rsid w:val="008C3AED"/>
    <w:rsid w:val="008C4E80"/>
    <w:rsid w:val="008C5B60"/>
    <w:rsid w:val="008C72F6"/>
    <w:rsid w:val="008D3AEB"/>
    <w:rsid w:val="008D3C12"/>
    <w:rsid w:val="008D5788"/>
    <w:rsid w:val="008D724C"/>
    <w:rsid w:val="008E13D1"/>
    <w:rsid w:val="008E1C95"/>
    <w:rsid w:val="008E4987"/>
    <w:rsid w:val="008E55EF"/>
    <w:rsid w:val="008E64F7"/>
    <w:rsid w:val="008F1470"/>
    <w:rsid w:val="008F14BD"/>
    <w:rsid w:val="008F20CA"/>
    <w:rsid w:val="008F224B"/>
    <w:rsid w:val="008F2FFB"/>
    <w:rsid w:val="008F32CB"/>
    <w:rsid w:val="008F34CA"/>
    <w:rsid w:val="008F4A74"/>
    <w:rsid w:val="008F4F4E"/>
    <w:rsid w:val="008F5BB3"/>
    <w:rsid w:val="008F7832"/>
    <w:rsid w:val="008F799C"/>
    <w:rsid w:val="008F7C30"/>
    <w:rsid w:val="00901840"/>
    <w:rsid w:val="00901D5A"/>
    <w:rsid w:val="009043F6"/>
    <w:rsid w:val="009054F2"/>
    <w:rsid w:val="00911BA2"/>
    <w:rsid w:val="00912815"/>
    <w:rsid w:val="0091427B"/>
    <w:rsid w:val="00916DFF"/>
    <w:rsid w:val="00917220"/>
    <w:rsid w:val="00917484"/>
    <w:rsid w:val="009204AC"/>
    <w:rsid w:val="00920945"/>
    <w:rsid w:val="00921C05"/>
    <w:rsid w:val="009224EE"/>
    <w:rsid w:val="00922C44"/>
    <w:rsid w:val="00926C91"/>
    <w:rsid w:val="00926E6C"/>
    <w:rsid w:val="00926FE1"/>
    <w:rsid w:val="00930B3B"/>
    <w:rsid w:val="009330DC"/>
    <w:rsid w:val="00933249"/>
    <w:rsid w:val="00934F31"/>
    <w:rsid w:val="0093638C"/>
    <w:rsid w:val="00936488"/>
    <w:rsid w:val="00942525"/>
    <w:rsid w:val="009457AE"/>
    <w:rsid w:val="009478A2"/>
    <w:rsid w:val="00947C88"/>
    <w:rsid w:val="009500AA"/>
    <w:rsid w:val="009508A9"/>
    <w:rsid w:val="00951409"/>
    <w:rsid w:val="009544F3"/>
    <w:rsid w:val="00955151"/>
    <w:rsid w:val="00956001"/>
    <w:rsid w:val="00963F0A"/>
    <w:rsid w:val="009652BF"/>
    <w:rsid w:val="00965CED"/>
    <w:rsid w:val="00966127"/>
    <w:rsid w:val="00967CE4"/>
    <w:rsid w:val="00972363"/>
    <w:rsid w:val="009732A0"/>
    <w:rsid w:val="00973FF9"/>
    <w:rsid w:val="00974E46"/>
    <w:rsid w:val="00975330"/>
    <w:rsid w:val="00975882"/>
    <w:rsid w:val="00976D44"/>
    <w:rsid w:val="00977F5E"/>
    <w:rsid w:val="009806DF"/>
    <w:rsid w:val="00981F46"/>
    <w:rsid w:val="0098286F"/>
    <w:rsid w:val="009847F3"/>
    <w:rsid w:val="00984F40"/>
    <w:rsid w:val="00985902"/>
    <w:rsid w:val="00986836"/>
    <w:rsid w:val="00986CD9"/>
    <w:rsid w:val="009911C2"/>
    <w:rsid w:val="00995C82"/>
    <w:rsid w:val="009A03A6"/>
    <w:rsid w:val="009A0966"/>
    <w:rsid w:val="009A115F"/>
    <w:rsid w:val="009A1ECE"/>
    <w:rsid w:val="009A2086"/>
    <w:rsid w:val="009A2888"/>
    <w:rsid w:val="009A3A55"/>
    <w:rsid w:val="009A4EDE"/>
    <w:rsid w:val="009A70DA"/>
    <w:rsid w:val="009B130F"/>
    <w:rsid w:val="009B1859"/>
    <w:rsid w:val="009B56BE"/>
    <w:rsid w:val="009C0DC5"/>
    <w:rsid w:val="009C2BE6"/>
    <w:rsid w:val="009C2C17"/>
    <w:rsid w:val="009C33AB"/>
    <w:rsid w:val="009C4148"/>
    <w:rsid w:val="009C44CB"/>
    <w:rsid w:val="009D1C6E"/>
    <w:rsid w:val="009D3374"/>
    <w:rsid w:val="009D4FEA"/>
    <w:rsid w:val="009D53E9"/>
    <w:rsid w:val="009D60BC"/>
    <w:rsid w:val="009D6337"/>
    <w:rsid w:val="009D69F0"/>
    <w:rsid w:val="009D7A59"/>
    <w:rsid w:val="009E264F"/>
    <w:rsid w:val="009E33DD"/>
    <w:rsid w:val="009E5175"/>
    <w:rsid w:val="009E576E"/>
    <w:rsid w:val="009E6C37"/>
    <w:rsid w:val="009E75B8"/>
    <w:rsid w:val="009F057C"/>
    <w:rsid w:val="009F084B"/>
    <w:rsid w:val="009F0C0F"/>
    <w:rsid w:val="009F2ABF"/>
    <w:rsid w:val="009F4F09"/>
    <w:rsid w:val="009F4F5C"/>
    <w:rsid w:val="009F70FE"/>
    <w:rsid w:val="009F7100"/>
    <w:rsid w:val="009F767D"/>
    <w:rsid w:val="00A00129"/>
    <w:rsid w:val="00A023CF"/>
    <w:rsid w:val="00A078A4"/>
    <w:rsid w:val="00A101BD"/>
    <w:rsid w:val="00A11E94"/>
    <w:rsid w:val="00A1236E"/>
    <w:rsid w:val="00A14802"/>
    <w:rsid w:val="00A179EF"/>
    <w:rsid w:val="00A17C12"/>
    <w:rsid w:val="00A20503"/>
    <w:rsid w:val="00A21FBB"/>
    <w:rsid w:val="00A22319"/>
    <w:rsid w:val="00A25BA2"/>
    <w:rsid w:val="00A2635F"/>
    <w:rsid w:val="00A30B03"/>
    <w:rsid w:val="00A30B54"/>
    <w:rsid w:val="00A310A5"/>
    <w:rsid w:val="00A4065E"/>
    <w:rsid w:val="00A41124"/>
    <w:rsid w:val="00A43316"/>
    <w:rsid w:val="00A43401"/>
    <w:rsid w:val="00A4763E"/>
    <w:rsid w:val="00A50C75"/>
    <w:rsid w:val="00A55041"/>
    <w:rsid w:val="00A63957"/>
    <w:rsid w:val="00A6508D"/>
    <w:rsid w:val="00A665EB"/>
    <w:rsid w:val="00A7060E"/>
    <w:rsid w:val="00A706D2"/>
    <w:rsid w:val="00A708A6"/>
    <w:rsid w:val="00A75B92"/>
    <w:rsid w:val="00A77A23"/>
    <w:rsid w:val="00A806C8"/>
    <w:rsid w:val="00A86EEF"/>
    <w:rsid w:val="00A90172"/>
    <w:rsid w:val="00A91209"/>
    <w:rsid w:val="00A91F17"/>
    <w:rsid w:val="00A9294E"/>
    <w:rsid w:val="00A92A7C"/>
    <w:rsid w:val="00A96C53"/>
    <w:rsid w:val="00A96F0F"/>
    <w:rsid w:val="00AA000D"/>
    <w:rsid w:val="00AA23EC"/>
    <w:rsid w:val="00AA33D7"/>
    <w:rsid w:val="00AA538E"/>
    <w:rsid w:val="00AB0753"/>
    <w:rsid w:val="00AC0EEC"/>
    <w:rsid w:val="00AC46E9"/>
    <w:rsid w:val="00AC487C"/>
    <w:rsid w:val="00AD054E"/>
    <w:rsid w:val="00AD7265"/>
    <w:rsid w:val="00AE01D3"/>
    <w:rsid w:val="00AE0CB3"/>
    <w:rsid w:val="00AE2F1F"/>
    <w:rsid w:val="00AE3EAF"/>
    <w:rsid w:val="00AE4EF2"/>
    <w:rsid w:val="00AE579A"/>
    <w:rsid w:val="00AE635A"/>
    <w:rsid w:val="00AF0332"/>
    <w:rsid w:val="00AF1921"/>
    <w:rsid w:val="00AF1B79"/>
    <w:rsid w:val="00AF2BBB"/>
    <w:rsid w:val="00AF46E9"/>
    <w:rsid w:val="00AF6B3C"/>
    <w:rsid w:val="00AF6FA8"/>
    <w:rsid w:val="00AF7F35"/>
    <w:rsid w:val="00B0025A"/>
    <w:rsid w:val="00B01065"/>
    <w:rsid w:val="00B0411E"/>
    <w:rsid w:val="00B04FEF"/>
    <w:rsid w:val="00B07DA4"/>
    <w:rsid w:val="00B1063C"/>
    <w:rsid w:val="00B11859"/>
    <w:rsid w:val="00B128FC"/>
    <w:rsid w:val="00B13461"/>
    <w:rsid w:val="00B13575"/>
    <w:rsid w:val="00B150E0"/>
    <w:rsid w:val="00B160B6"/>
    <w:rsid w:val="00B1736C"/>
    <w:rsid w:val="00B17BB1"/>
    <w:rsid w:val="00B17F12"/>
    <w:rsid w:val="00B2062C"/>
    <w:rsid w:val="00B22F7B"/>
    <w:rsid w:val="00B23DB9"/>
    <w:rsid w:val="00B269DF"/>
    <w:rsid w:val="00B300DB"/>
    <w:rsid w:val="00B300FD"/>
    <w:rsid w:val="00B334D5"/>
    <w:rsid w:val="00B34025"/>
    <w:rsid w:val="00B35A13"/>
    <w:rsid w:val="00B366E3"/>
    <w:rsid w:val="00B37F26"/>
    <w:rsid w:val="00B419FB"/>
    <w:rsid w:val="00B41FB8"/>
    <w:rsid w:val="00B442CA"/>
    <w:rsid w:val="00B4731C"/>
    <w:rsid w:val="00B4789C"/>
    <w:rsid w:val="00B51B54"/>
    <w:rsid w:val="00B524A4"/>
    <w:rsid w:val="00B5463E"/>
    <w:rsid w:val="00B54D77"/>
    <w:rsid w:val="00B55CC4"/>
    <w:rsid w:val="00B57CF2"/>
    <w:rsid w:val="00B60268"/>
    <w:rsid w:val="00B60377"/>
    <w:rsid w:val="00B60B6E"/>
    <w:rsid w:val="00B61D42"/>
    <w:rsid w:val="00B635B5"/>
    <w:rsid w:val="00B63824"/>
    <w:rsid w:val="00B640CF"/>
    <w:rsid w:val="00B67D00"/>
    <w:rsid w:val="00B708FB"/>
    <w:rsid w:val="00B724AE"/>
    <w:rsid w:val="00B76D56"/>
    <w:rsid w:val="00B81A87"/>
    <w:rsid w:val="00B86E05"/>
    <w:rsid w:val="00B916E6"/>
    <w:rsid w:val="00B920B6"/>
    <w:rsid w:val="00B93A74"/>
    <w:rsid w:val="00B969DE"/>
    <w:rsid w:val="00B96C2C"/>
    <w:rsid w:val="00BA005B"/>
    <w:rsid w:val="00BA06E0"/>
    <w:rsid w:val="00BA18E9"/>
    <w:rsid w:val="00BA18F9"/>
    <w:rsid w:val="00BA3FBE"/>
    <w:rsid w:val="00BA44B1"/>
    <w:rsid w:val="00BA4B07"/>
    <w:rsid w:val="00BA6D28"/>
    <w:rsid w:val="00BA7628"/>
    <w:rsid w:val="00BA795E"/>
    <w:rsid w:val="00BB118F"/>
    <w:rsid w:val="00BB2C5A"/>
    <w:rsid w:val="00BB3B12"/>
    <w:rsid w:val="00BB511B"/>
    <w:rsid w:val="00BB62F1"/>
    <w:rsid w:val="00BC02E9"/>
    <w:rsid w:val="00BC035D"/>
    <w:rsid w:val="00BC03EC"/>
    <w:rsid w:val="00BC200F"/>
    <w:rsid w:val="00BC6D9B"/>
    <w:rsid w:val="00BC7B8B"/>
    <w:rsid w:val="00BD0CC8"/>
    <w:rsid w:val="00BD1961"/>
    <w:rsid w:val="00BD26D9"/>
    <w:rsid w:val="00BD30BD"/>
    <w:rsid w:val="00BD3632"/>
    <w:rsid w:val="00BD3C84"/>
    <w:rsid w:val="00BD4871"/>
    <w:rsid w:val="00BD4912"/>
    <w:rsid w:val="00BD6981"/>
    <w:rsid w:val="00BD7537"/>
    <w:rsid w:val="00BD7AF6"/>
    <w:rsid w:val="00BE0918"/>
    <w:rsid w:val="00BE0FFA"/>
    <w:rsid w:val="00BE1D07"/>
    <w:rsid w:val="00BE2E3A"/>
    <w:rsid w:val="00BE3722"/>
    <w:rsid w:val="00BE4A5A"/>
    <w:rsid w:val="00BE6082"/>
    <w:rsid w:val="00BE6C9E"/>
    <w:rsid w:val="00BF0170"/>
    <w:rsid w:val="00BF0D4D"/>
    <w:rsid w:val="00BF2FDC"/>
    <w:rsid w:val="00BF5FBA"/>
    <w:rsid w:val="00BF63C3"/>
    <w:rsid w:val="00BF79A8"/>
    <w:rsid w:val="00C01E96"/>
    <w:rsid w:val="00C02843"/>
    <w:rsid w:val="00C04191"/>
    <w:rsid w:val="00C07E95"/>
    <w:rsid w:val="00C10F2A"/>
    <w:rsid w:val="00C1768B"/>
    <w:rsid w:val="00C177A0"/>
    <w:rsid w:val="00C17CA1"/>
    <w:rsid w:val="00C17F9C"/>
    <w:rsid w:val="00C2142F"/>
    <w:rsid w:val="00C21A68"/>
    <w:rsid w:val="00C22A8F"/>
    <w:rsid w:val="00C25C59"/>
    <w:rsid w:val="00C2679C"/>
    <w:rsid w:val="00C2722D"/>
    <w:rsid w:val="00C27928"/>
    <w:rsid w:val="00C31B8A"/>
    <w:rsid w:val="00C31E6D"/>
    <w:rsid w:val="00C36077"/>
    <w:rsid w:val="00C37175"/>
    <w:rsid w:val="00C40925"/>
    <w:rsid w:val="00C42578"/>
    <w:rsid w:val="00C43C62"/>
    <w:rsid w:val="00C447B0"/>
    <w:rsid w:val="00C45EA3"/>
    <w:rsid w:val="00C46265"/>
    <w:rsid w:val="00C47596"/>
    <w:rsid w:val="00C51F54"/>
    <w:rsid w:val="00C5437F"/>
    <w:rsid w:val="00C57EB1"/>
    <w:rsid w:val="00C60649"/>
    <w:rsid w:val="00C61008"/>
    <w:rsid w:val="00C6124F"/>
    <w:rsid w:val="00C628AD"/>
    <w:rsid w:val="00C64DC7"/>
    <w:rsid w:val="00C65076"/>
    <w:rsid w:val="00C6639B"/>
    <w:rsid w:val="00C716EE"/>
    <w:rsid w:val="00C71A54"/>
    <w:rsid w:val="00C73866"/>
    <w:rsid w:val="00C76DC3"/>
    <w:rsid w:val="00C777FC"/>
    <w:rsid w:val="00C80061"/>
    <w:rsid w:val="00C801BA"/>
    <w:rsid w:val="00C8022D"/>
    <w:rsid w:val="00C80870"/>
    <w:rsid w:val="00C80B0C"/>
    <w:rsid w:val="00C81E0D"/>
    <w:rsid w:val="00C82C45"/>
    <w:rsid w:val="00C8375F"/>
    <w:rsid w:val="00C86A86"/>
    <w:rsid w:val="00C903A4"/>
    <w:rsid w:val="00C93144"/>
    <w:rsid w:val="00C94A07"/>
    <w:rsid w:val="00C9583B"/>
    <w:rsid w:val="00C97122"/>
    <w:rsid w:val="00C97CFA"/>
    <w:rsid w:val="00CA0161"/>
    <w:rsid w:val="00CA01B5"/>
    <w:rsid w:val="00CA0BE7"/>
    <w:rsid w:val="00CA3204"/>
    <w:rsid w:val="00CA3F6B"/>
    <w:rsid w:val="00CA473C"/>
    <w:rsid w:val="00CA558E"/>
    <w:rsid w:val="00CA59CA"/>
    <w:rsid w:val="00CA6B4B"/>
    <w:rsid w:val="00CB2B79"/>
    <w:rsid w:val="00CB47D4"/>
    <w:rsid w:val="00CB5E0B"/>
    <w:rsid w:val="00CB60F8"/>
    <w:rsid w:val="00CB7F42"/>
    <w:rsid w:val="00CC04CF"/>
    <w:rsid w:val="00CC1B06"/>
    <w:rsid w:val="00CC1C1F"/>
    <w:rsid w:val="00CC3039"/>
    <w:rsid w:val="00CC585A"/>
    <w:rsid w:val="00CC5A69"/>
    <w:rsid w:val="00CC5ABE"/>
    <w:rsid w:val="00CC687F"/>
    <w:rsid w:val="00CD1DB1"/>
    <w:rsid w:val="00CD2AFC"/>
    <w:rsid w:val="00CD2B42"/>
    <w:rsid w:val="00CD30D3"/>
    <w:rsid w:val="00CD32DA"/>
    <w:rsid w:val="00CD373D"/>
    <w:rsid w:val="00CD3C34"/>
    <w:rsid w:val="00CD3DE0"/>
    <w:rsid w:val="00CD5B74"/>
    <w:rsid w:val="00CD7AF7"/>
    <w:rsid w:val="00CE279B"/>
    <w:rsid w:val="00CE5CB6"/>
    <w:rsid w:val="00CE603E"/>
    <w:rsid w:val="00CE7CB5"/>
    <w:rsid w:val="00CF19D0"/>
    <w:rsid w:val="00CF3853"/>
    <w:rsid w:val="00CF436D"/>
    <w:rsid w:val="00CF57CC"/>
    <w:rsid w:val="00CF6857"/>
    <w:rsid w:val="00CF70EA"/>
    <w:rsid w:val="00D019AC"/>
    <w:rsid w:val="00D03D34"/>
    <w:rsid w:val="00D03D97"/>
    <w:rsid w:val="00D03DF0"/>
    <w:rsid w:val="00D052AC"/>
    <w:rsid w:val="00D0570F"/>
    <w:rsid w:val="00D06B13"/>
    <w:rsid w:val="00D075AA"/>
    <w:rsid w:val="00D10525"/>
    <w:rsid w:val="00D117D2"/>
    <w:rsid w:val="00D12119"/>
    <w:rsid w:val="00D15A9B"/>
    <w:rsid w:val="00D17E60"/>
    <w:rsid w:val="00D21D94"/>
    <w:rsid w:val="00D21E7B"/>
    <w:rsid w:val="00D221A3"/>
    <w:rsid w:val="00D256FD"/>
    <w:rsid w:val="00D27D29"/>
    <w:rsid w:val="00D30867"/>
    <w:rsid w:val="00D31C80"/>
    <w:rsid w:val="00D324CB"/>
    <w:rsid w:val="00D32719"/>
    <w:rsid w:val="00D3335B"/>
    <w:rsid w:val="00D33AE3"/>
    <w:rsid w:val="00D34B7A"/>
    <w:rsid w:val="00D36BAE"/>
    <w:rsid w:val="00D43011"/>
    <w:rsid w:val="00D4786D"/>
    <w:rsid w:val="00D50CF5"/>
    <w:rsid w:val="00D518CD"/>
    <w:rsid w:val="00D51B5B"/>
    <w:rsid w:val="00D52A0A"/>
    <w:rsid w:val="00D5335A"/>
    <w:rsid w:val="00D53727"/>
    <w:rsid w:val="00D55D0D"/>
    <w:rsid w:val="00D565C5"/>
    <w:rsid w:val="00D57696"/>
    <w:rsid w:val="00D6393A"/>
    <w:rsid w:val="00D65FE3"/>
    <w:rsid w:val="00D70EF8"/>
    <w:rsid w:val="00D7102D"/>
    <w:rsid w:val="00D756A8"/>
    <w:rsid w:val="00D76F1A"/>
    <w:rsid w:val="00D807E0"/>
    <w:rsid w:val="00D811D8"/>
    <w:rsid w:val="00D82D12"/>
    <w:rsid w:val="00D8356D"/>
    <w:rsid w:val="00D83E13"/>
    <w:rsid w:val="00D86769"/>
    <w:rsid w:val="00D96F7E"/>
    <w:rsid w:val="00D97F31"/>
    <w:rsid w:val="00DA060D"/>
    <w:rsid w:val="00DA142A"/>
    <w:rsid w:val="00DA2B48"/>
    <w:rsid w:val="00DA2BFB"/>
    <w:rsid w:val="00DA515E"/>
    <w:rsid w:val="00DA5B83"/>
    <w:rsid w:val="00DA7878"/>
    <w:rsid w:val="00DB4D2F"/>
    <w:rsid w:val="00DB78DD"/>
    <w:rsid w:val="00DC13E7"/>
    <w:rsid w:val="00DC3780"/>
    <w:rsid w:val="00DD4036"/>
    <w:rsid w:val="00DD5C7C"/>
    <w:rsid w:val="00DE0437"/>
    <w:rsid w:val="00DE3E86"/>
    <w:rsid w:val="00DF2790"/>
    <w:rsid w:val="00DF4B0F"/>
    <w:rsid w:val="00DF4E85"/>
    <w:rsid w:val="00DF59CB"/>
    <w:rsid w:val="00E00852"/>
    <w:rsid w:val="00E00C15"/>
    <w:rsid w:val="00E03C35"/>
    <w:rsid w:val="00E04149"/>
    <w:rsid w:val="00E06605"/>
    <w:rsid w:val="00E12AD4"/>
    <w:rsid w:val="00E137F1"/>
    <w:rsid w:val="00E20F45"/>
    <w:rsid w:val="00E273AA"/>
    <w:rsid w:val="00E273B5"/>
    <w:rsid w:val="00E3122B"/>
    <w:rsid w:val="00E35ABB"/>
    <w:rsid w:val="00E36AF7"/>
    <w:rsid w:val="00E37204"/>
    <w:rsid w:val="00E37247"/>
    <w:rsid w:val="00E3743D"/>
    <w:rsid w:val="00E37569"/>
    <w:rsid w:val="00E37CC9"/>
    <w:rsid w:val="00E406AD"/>
    <w:rsid w:val="00E40A18"/>
    <w:rsid w:val="00E41F7E"/>
    <w:rsid w:val="00E420E6"/>
    <w:rsid w:val="00E42D2C"/>
    <w:rsid w:val="00E450C3"/>
    <w:rsid w:val="00E45EE0"/>
    <w:rsid w:val="00E46CA5"/>
    <w:rsid w:val="00E47F05"/>
    <w:rsid w:val="00E5256F"/>
    <w:rsid w:val="00E555A6"/>
    <w:rsid w:val="00E55FC9"/>
    <w:rsid w:val="00E601F6"/>
    <w:rsid w:val="00E627DF"/>
    <w:rsid w:val="00E62C34"/>
    <w:rsid w:val="00E62CF2"/>
    <w:rsid w:val="00E640DE"/>
    <w:rsid w:val="00E64640"/>
    <w:rsid w:val="00E670FC"/>
    <w:rsid w:val="00E67D12"/>
    <w:rsid w:val="00E67E9D"/>
    <w:rsid w:val="00E730A4"/>
    <w:rsid w:val="00E76F91"/>
    <w:rsid w:val="00E77587"/>
    <w:rsid w:val="00E806EA"/>
    <w:rsid w:val="00E83768"/>
    <w:rsid w:val="00E84618"/>
    <w:rsid w:val="00E84753"/>
    <w:rsid w:val="00E861A9"/>
    <w:rsid w:val="00E8688C"/>
    <w:rsid w:val="00E8696F"/>
    <w:rsid w:val="00E878E2"/>
    <w:rsid w:val="00E9456B"/>
    <w:rsid w:val="00E9646E"/>
    <w:rsid w:val="00EA1306"/>
    <w:rsid w:val="00EA1541"/>
    <w:rsid w:val="00EA39F8"/>
    <w:rsid w:val="00EA6937"/>
    <w:rsid w:val="00EA7F6C"/>
    <w:rsid w:val="00EB1872"/>
    <w:rsid w:val="00EB1C83"/>
    <w:rsid w:val="00EB5684"/>
    <w:rsid w:val="00EC02FD"/>
    <w:rsid w:val="00EC0890"/>
    <w:rsid w:val="00EC10CF"/>
    <w:rsid w:val="00EC2440"/>
    <w:rsid w:val="00EC4C2F"/>
    <w:rsid w:val="00EC78E2"/>
    <w:rsid w:val="00ED0AF0"/>
    <w:rsid w:val="00ED0C5A"/>
    <w:rsid w:val="00ED2703"/>
    <w:rsid w:val="00ED3216"/>
    <w:rsid w:val="00ED59F3"/>
    <w:rsid w:val="00ED61A5"/>
    <w:rsid w:val="00EE19E4"/>
    <w:rsid w:val="00EE5A73"/>
    <w:rsid w:val="00EE676D"/>
    <w:rsid w:val="00EE7C5E"/>
    <w:rsid w:val="00EF0220"/>
    <w:rsid w:val="00EF0747"/>
    <w:rsid w:val="00EF1597"/>
    <w:rsid w:val="00EF3891"/>
    <w:rsid w:val="00EF3FF7"/>
    <w:rsid w:val="00EF402C"/>
    <w:rsid w:val="00EF51B5"/>
    <w:rsid w:val="00F00557"/>
    <w:rsid w:val="00F01744"/>
    <w:rsid w:val="00F01CD3"/>
    <w:rsid w:val="00F0239F"/>
    <w:rsid w:val="00F0494B"/>
    <w:rsid w:val="00F04E47"/>
    <w:rsid w:val="00F07569"/>
    <w:rsid w:val="00F124CB"/>
    <w:rsid w:val="00F12644"/>
    <w:rsid w:val="00F13F82"/>
    <w:rsid w:val="00F14F22"/>
    <w:rsid w:val="00F15248"/>
    <w:rsid w:val="00F15F0E"/>
    <w:rsid w:val="00F16DA3"/>
    <w:rsid w:val="00F21E80"/>
    <w:rsid w:val="00F22424"/>
    <w:rsid w:val="00F22D03"/>
    <w:rsid w:val="00F22EE6"/>
    <w:rsid w:val="00F23231"/>
    <w:rsid w:val="00F2550A"/>
    <w:rsid w:val="00F255AE"/>
    <w:rsid w:val="00F27916"/>
    <w:rsid w:val="00F30160"/>
    <w:rsid w:val="00F30F4E"/>
    <w:rsid w:val="00F3103B"/>
    <w:rsid w:val="00F31B4F"/>
    <w:rsid w:val="00F3220D"/>
    <w:rsid w:val="00F336A9"/>
    <w:rsid w:val="00F338D8"/>
    <w:rsid w:val="00F34ECE"/>
    <w:rsid w:val="00F35757"/>
    <w:rsid w:val="00F36F33"/>
    <w:rsid w:val="00F3736A"/>
    <w:rsid w:val="00F40465"/>
    <w:rsid w:val="00F42825"/>
    <w:rsid w:val="00F42955"/>
    <w:rsid w:val="00F42D44"/>
    <w:rsid w:val="00F43B11"/>
    <w:rsid w:val="00F44D8B"/>
    <w:rsid w:val="00F4598F"/>
    <w:rsid w:val="00F52207"/>
    <w:rsid w:val="00F54D05"/>
    <w:rsid w:val="00F55DB9"/>
    <w:rsid w:val="00F6146B"/>
    <w:rsid w:val="00F61BD7"/>
    <w:rsid w:val="00F62579"/>
    <w:rsid w:val="00F65525"/>
    <w:rsid w:val="00F67369"/>
    <w:rsid w:val="00F70E9F"/>
    <w:rsid w:val="00F710A6"/>
    <w:rsid w:val="00F7651D"/>
    <w:rsid w:val="00F8771E"/>
    <w:rsid w:val="00F91F18"/>
    <w:rsid w:val="00F929F6"/>
    <w:rsid w:val="00F92EE3"/>
    <w:rsid w:val="00F93F6E"/>
    <w:rsid w:val="00F96B2B"/>
    <w:rsid w:val="00FA0720"/>
    <w:rsid w:val="00FA27A3"/>
    <w:rsid w:val="00FA5E3E"/>
    <w:rsid w:val="00FA61F9"/>
    <w:rsid w:val="00FA7276"/>
    <w:rsid w:val="00FA7FEE"/>
    <w:rsid w:val="00FB253B"/>
    <w:rsid w:val="00FB2B85"/>
    <w:rsid w:val="00FB5511"/>
    <w:rsid w:val="00FC2597"/>
    <w:rsid w:val="00FC3EF7"/>
    <w:rsid w:val="00FC4C41"/>
    <w:rsid w:val="00FC5ADC"/>
    <w:rsid w:val="00FC6943"/>
    <w:rsid w:val="00FD0108"/>
    <w:rsid w:val="00FD1C18"/>
    <w:rsid w:val="00FD48FD"/>
    <w:rsid w:val="00FD5501"/>
    <w:rsid w:val="00FD5C18"/>
    <w:rsid w:val="00FD7213"/>
    <w:rsid w:val="00FD7AEC"/>
    <w:rsid w:val="00FE0052"/>
    <w:rsid w:val="00FE534B"/>
    <w:rsid w:val="00FE635A"/>
    <w:rsid w:val="00FF075F"/>
    <w:rsid w:val="00FF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665EB"/>
    <w:pPr>
      <w:spacing w:before="100" w:beforeAutospacing="1" w:after="100" w:afterAutospacing="1"/>
    </w:pPr>
    <w:rPr>
      <w:rFonts w:asciiTheme="minorHAnsi" w:hAnsiTheme="minorHAnsi"/>
      <w:sz w:val="28"/>
      <w:szCs w:val="24"/>
    </w:rPr>
  </w:style>
  <w:style w:type="paragraph" w:styleId="Nagwek1">
    <w:name w:val="heading 1"/>
    <w:basedOn w:val="Normalny"/>
    <w:next w:val="Normalny"/>
    <w:autoRedefine/>
    <w:qFormat/>
    <w:rsid w:val="00772000"/>
    <w:pPr>
      <w:keepNext/>
      <w:outlineLvl w:val="0"/>
    </w:pPr>
    <w:rPr>
      <w:rFonts w:ascii="Calibri" w:hAnsi="Calibri" w:cs="Arial"/>
      <w:b/>
      <w:bCs/>
      <w:color w:val="002060"/>
      <w:kern w:val="32"/>
      <w:szCs w:val="32"/>
    </w:rPr>
  </w:style>
  <w:style w:type="paragraph" w:styleId="Nagwek2">
    <w:name w:val="heading 2"/>
    <w:basedOn w:val="Normalny"/>
    <w:next w:val="Normalny"/>
    <w:autoRedefine/>
    <w:qFormat/>
    <w:rsid w:val="0037667A"/>
    <w:pPr>
      <w:keepNext/>
      <w:outlineLvl w:val="1"/>
    </w:pPr>
    <w:rPr>
      <w:rFonts w:ascii="Calibri" w:hAnsi="Calibri" w:cs="Arial"/>
      <w:b/>
      <w:bCs/>
      <w:iCs/>
      <w:szCs w:val="28"/>
      <w:u w:val="single"/>
    </w:rPr>
  </w:style>
  <w:style w:type="paragraph" w:styleId="Nagwek3">
    <w:name w:val="heading 3"/>
    <w:basedOn w:val="Normalny"/>
    <w:next w:val="Normalny"/>
    <w:qFormat/>
    <w:rsid w:val="00E00C15"/>
    <w:pPr>
      <w:keepNext/>
      <w:spacing w:before="240"/>
      <w:outlineLvl w:val="2"/>
    </w:pPr>
    <w:rPr>
      <w:rFonts w:ascii="Arial" w:hAnsi="Arial" w:cs="Arial"/>
      <w:b/>
      <w:bCs/>
      <w:sz w:val="26"/>
      <w:szCs w:val="26"/>
    </w:rPr>
  </w:style>
  <w:style w:type="paragraph" w:styleId="Nagwek9">
    <w:name w:val="heading 9"/>
    <w:basedOn w:val="Normalny"/>
    <w:next w:val="Normalny"/>
    <w:qFormat/>
    <w:rsid w:val="00E00C15"/>
    <w:pPr>
      <w:spacing w:before="240"/>
      <w:outlineLvl w:val="8"/>
    </w:pPr>
    <w:rPr>
      <w:rFonts w:ascii="Arial" w:hAnsi="Arial" w:cs="Arial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847F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847F3"/>
    <w:pPr>
      <w:tabs>
        <w:tab w:val="center" w:pos="4536"/>
        <w:tab w:val="right" w:pos="9072"/>
      </w:tabs>
    </w:pPr>
  </w:style>
  <w:style w:type="character" w:styleId="Hipercze">
    <w:name w:val="Hyperlink"/>
    <w:rsid w:val="009847F3"/>
    <w:rPr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OOTNOTES"/>
    <w:basedOn w:val="Normalny"/>
    <w:link w:val="TekstprzypisudolnegoZnak"/>
    <w:semiHidden/>
    <w:rsid w:val="00E00C1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OOTNOTES Znak"/>
    <w:link w:val="Tekstprzypisudolnego"/>
    <w:rsid w:val="00E00C15"/>
    <w:rPr>
      <w:rFonts w:ascii="Tahoma" w:hAnsi="Tahoma"/>
      <w:lang w:val="pl-PL" w:eastAsia="pl-PL" w:bidi="ar-SA"/>
    </w:rPr>
  </w:style>
  <w:style w:type="character" w:styleId="Odwoanieprzypisudolnego">
    <w:name w:val="footnote reference"/>
    <w:aliases w:val="Footnote Reference Number"/>
    <w:semiHidden/>
    <w:rsid w:val="00E00C15"/>
    <w:rPr>
      <w:vertAlign w:val="superscript"/>
    </w:rPr>
  </w:style>
  <w:style w:type="paragraph" w:styleId="Tekstpodstawowy">
    <w:name w:val="Body Text"/>
    <w:aliases w:val="bt,b,block style,Tekst podstawowy Znak,szaro,Tekst podstawowy Znak Znak Znak Znak Znak Znak Znak Znak,wypunktowanie,b1,Tekst podstawowy Znak Znak,Tekst podstawowy Znak Znak Znak Znak Znak Znak,Tekst podstawowy Znak Znak Znak Znak Znak"/>
    <w:basedOn w:val="Normalny"/>
    <w:link w:val="TekstpodstawowyZnak1"/>
    <w:semiHidden/>
    <w:rsid w:val="00E00C15"/>
    <w:pPr>
      <w:spacing w:before="120" w:line="340" w:lineRule="atLeast"/>
      <w:ind w:firstLine="709"/>
    </w:pPr>
    <w:rPr>
      <w:sz w:val="26"/>
      <w:szCs w:val="20"/>
    </w:rPr>
  </w:style>
  <w:style w:type="character" w:customStyle="1" w:styleId="TekstpodstawowyZnak1">
    <w:name w:val="Tekst podstawowy Znak1"/>
    <w:aliases w:val="bt Znak,b Znak,block style Znak,Tekst podstawowy Znak Znak1,szaro Znak,Tekst podstawowy Znak Znak Znak Znak Znak Znak Znak Znak Znak,wypunktowanie Znak,b1 Znak,Tekst podstawowy Znak Znak Znak"/>
    <w:link w:val="Tekstpodstawowy"/>
    <w:rsid w:val="00E00C15"/>
    <w:rPr>
      <w:rFonts w:ascii="Tahoma" w:hAnsi="Tahoma"/>
      <w:sz w:val="26"/>
      <w:lang w:val="pl-PL" w:eastAsia="pl-PL" w:bidi="ar-SA"/>
    </w:rPr>
  </w:style>
  <w:style w:type="table" w:styleId="Tabela-Siatka">
    <w:name w:val="Table Grid"/>
    <w:basedOn w:val="Standardowy"/>
    <w:rsid w:val="00E00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semiHidden/>
    <w:rsid w:val="00E00C15"/>
    <w:pPr>
      <w:spacing w:after="119"/>
    </w:pPr>
    <w:rPr>
      <w:rFonts w:ascii="Arial Unicode MS" w:hAnsi="Arial Unicode MS"/>
    </w:rPr>
  </w:style>
  <w:style w:type="character" w:styleId="Pogrubienie">
    <w:name w:val="Strong"/>
    <w:qFormat/>
    <w:rsid w:val="00E00C15"/>
    <w:rPr>
      <w:rFonts w:cs="Times New Roman"/>
      <w:b/>
      <w:bCs/>
    </w:rPr>
  </w:style>
  <w:style w:type="paragraph" w:customStyle="1" w:styleId="naglowek3">
    <w:name w:val="@naglowek3"/>
    <w:basedOn w:val="Nagwek3"/>
    <w:rsid w:val="00E00C15"/>
    <w:pPr>
      <w:numPr>
        <w:ilvl w:val="1"/>
        <w:numId w:val="1"/>
      </w:numPr>
      <w:tabs>
        <w:tab w:val="clear" w:pos="360"/>
      </w:tabs>
      <w:spacing w:before="120" w:after="120"/>
      <w:ind w:left="0" w:firstLine="0"/>
    </w:pPr>
    <w:rPr>
      <w:rFonts w:ascii="Tahoma" w:hAnsi="Tahoma" w:cs="Times New Roman"/>
      <w:bCs w:val="0"/>
      <w:sz w:val="22"/>
      <w:szCs w:val="20"/>
    </w:rPr>
  </w:style>
  <w:style w:type="paragraph" w:customStyle="1" w:styleId="naglowek1">
    <w:name w:val="@naglowek1"/>
    <w:basedOn w:val="Nagwek1"/>
    <w:next w:val="Normalny"/>
    <w:rsid w:val="00E00C15"/>
    <w:pPr>
      <w:numPr>
        <w:numId w:val="1"/>
      </w:numPr>
      <w:spacing w:before="0"/>
    </w:pPr>
    <w:rPr>
      <w:rFonts w:ascii="Tahoma" w:hAnsi="Tahoma"/>
      <w:bCs w:val="0"/>
      <w:color w:val="000000"/>
      <w:sz w:val="22"/>
      <w:szCs w:val="28"/>
    </w:rPr>
  </w:style>
  <w:style w:type="character" w:customStyle="1" w:styleId="ZnakZnak22">
    <w:name w:val="Znak Znak22"/>
    <w:rsid w:val="00E00C15"/>
    <w:rPr>
      <w:sz w:val="24"/>
      <w:szCs w:val="24"/>
      <w:lang w:val="pl-PL" w:eastAsia="pl-PL" w:bidi="ar-SA"/>
    </w:rPr>
  </w:style>
  <w:style w:type="character" w:styleId="Odwoaniedokomentarza">
    <w:name w:val="annotation reference"/>
    <w:semiHidden/>
    <w:rsid w:val="00687894"/>
    <w:rPr>
      <w:sz w:val="16"/>
      <w:szCs w:val="16"/>
    </w:rPr>
  </w:style>
  <w:style w:type="paragraph" w:styleId="Tekstkomentarza">
    <w:name w:val="annotation text"/>
    <w:basedOn w:val="Normalny"/>
    <w:semiHidden/>
    <w:rsid w:val="00687894"/>
    <w:pPr>
      <w:spacing w:before="0" w:after="0"/>
    </w:pPr>
    <w:rPr>
      <w:rFonts w:ascii="Times New Roman" w:hAnsi="Times New Roman"/>
      <w:sz w:val="20"/>
      <w:szCs w:val="20"/>
    </w:rPr>
  </w:style>
  <w:style w:type="paragraph" w:styleId="Tekstdymka">
    <w:name w:val="Balloon Text"/>
    <w:basedOn w:val="Normalny"/>
    <w:semiHidden/>
    <w:rsid w:val="00687894"/>
    <w:rPr>
      <w:rFonts w:cs="Tahoma"/>
      <w:sz w:val="16"/>
      <w:szCs w:val="16"/>
    </w:rPr>
  </w:style>
  <w:style w:type="paragraph" w:styleId="Akapitzlist">
    <w:name w:val="List Paragraph"/>
    <w:basedOn w:val="Normalny"/>
    <w:qFormat/>
    <w:rsid w:val="00233E94"/>
    <w:pPr>
      <w:spacing w:before="0"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Numerstrony">
    <w:name w:val="page number"/>
    <w:basedOn w:val="Domylnaczcionkaakapitu"/>
    <w:rsid w:val="00233E94"/>
  </w:style>
  <w:style w:type="paragraph" w:styleId="Tematkomentarza">
    <w:name w:val="annotation subject"/>
    <w:basedOn w:val="Tekstkomentarza"/>
    <w:next w:val="Tekstkomentarza"/>
    <w:semiHidden/>
    <w:rsid w:val="00075A33"/>
    <w:pPr>
      <w:spacing w:before="60" w:after="60"/>
      <w:jc w:val="both"/>
    </w:pPr>
    <w:rPr>
      <w:rFonts w:ascii="Tahoma" w:hAnsi="Tahoma"/>
      <w:b/>
      <w:bCs/>
    </w:rPr>
  </w:style>
  <w:style w:type="paragraph" w:customStyle="1" w:styleId="ZnakZnak">
    <w:name w:val="Znak Znak"/>
    <w:basedOn w:val="Normalny"/>
    <w:link w:val="Bezlisty"/>
    <w:rsid w:val="005D5321"/>
    <w:pPr>
      <w:spacing w:before="0" w:after="0" w:line="360" w:lineRule="auto"/>
    </w:pPr>
    <w:rPr>
      <w:rFonts w:ascii="Verdana" w:hAnsi="Verdana" w:cs="Arial"/>
      <w:sz w:val="20"/>
      <w:szCs w:val="20"/>
    </w:rPr>
  </w:style>
  <w:style w:type="paragraph" w:styleId="Mapadokumentu">
    <w:name w:val="Document Map"/>
    <w:basedOn w:val="Normalny"/>
    <w:semiHidden/>
    <w:rsid w:val="006971EB"/>
    <w:pPr>
      <w:shd w:val="clear" w:color="auto" w:fill="000080"/>
    </w:pPr>
    <w:rPr>
      <w:rFonts w:cs="Tahoma"/>
      <w:sz w:val="20"/>
      <w:szCs w:val="20"/>
    </w:rPr>
  </w:style>
  <w:style w:type="paragraph" w:styleId="Tekstprzypisukocowego">
    <w:name w:val="endnote text"/>
    <w:basedOn w:val="Normalny"/>
    <w:link w:val="TekstprzypisukocowegoZnak"/>
    <w:rsid w:val="000350E0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rsid w:val="000350E0"/>
    <w:rPr>
      <w:rFonts w:ascii="Tahoma" w:hAnsi="Tahoma"/>
    </w:rPr>
  </w:style>
  <w:style w:type="character" w:styleId="Odwoanieprzypisukocowego">
    <w:name w:val="endnote reference"/>
    <w:rsid w:val="000350E0"/>
    <w:rPr>
      <w:vertAlign w:val="superscript"/>
    </w:rPr>
  </w:style>
  <w:style w:type="paragraph" w:styleId="Poprawka">
    <w:name w:val="Revision"/>
    <w:hidden/>
    <w:uiPriority w:val="99"/>
    <w:semiHidden/>
    <w:rsid w:val="00C37175"/>
    <w:rPr>
      <w:rFonts w:ascii="Tahoma" w:hAnsi="Tahoma"/>
      <w:sz w:val="22"/>
      <w:szCs w:val="24"/>
    </w:rPr>
  </w:style>
  <w:style w:type="paragraph" w:customStyle="1" w:styleId="ZnakZnak1">
    <w:name w:val="Znak Znak1"/>
    <w:basedOn w:val="Normalny"/>
    <w:rsid w:val="00C04191"/>
    <w:pPr>
      <w:spacing w:before="0" w:after="0" w:line="360" w:lineRule="auto"/>
    </w:pPr>
    <w:rPr>
      <w:rFonts w:ascii="Verdana" w:hAnsi="Verdana"/>
      <w:sz w:val="20"/>
      <w:szCs w:val="20"/>
    </w:rPr>
  </w:style>
  <w:style w:type="character" w:customStyle="1" w:styleId="StopkaZnak">
    <w:name w:val="Stopka Znak"/>
    <w:link w:val="Stopka"/>
    <w:rsid w:val="00FD5C18"/>
    <w:rPr>
      <w:rFonts w:ascii="Tahoma" w:hAnsi="Tahoma"/>
      <w:sz w:val="22"/>
      <w:szCs w:val="24"/>
    </w:rPr>
  </w:style>
  <w:style w:type="character" w:customStyle="1" w:styleId="NagwekZnak">
    <w:name w:val="Nagłówek Znak"/>
    <w:link w:val="Nagwek"/>
    <w:uiPriority w:val="99"/>
    <w:rsid w:val="004A790E"/>
    <w:rPr>
      <w:rFonts w:ascii="Tahoma" w:hAnsi="Tahoma"/>
      <w:sz w:val="22"/>
      <w:szCs w:val="24"/>
    </w:rPr>
  </w:style>
  <w:style w:type="paragraph" w:styleId="Listapunktowana2">
    <w:name w:val="List Bullet 2"/>
    <w:basedOn w:val="Normalny"/>
    <w:rsid w:val="008B0B14"/>
    <w:pPr>
      <w:numPr>
        <w:numId w:val="2"/>
      </w:numPr>
      <w:contextualSpacing/>
    </w:pPr>
  </w:style>
  <w:style w:type="paragraph" w:styleId="Listapunktowana3">
    <w:name w:val="List Bullet 3"/>
    <w:basedOn w:val="Normalny"/>
    <w:rsid w:val="008B0B14"/>
    <w:pPr>
      <w:numPr>
        <w:numId w:val="3"/>
      </w:numPr>
      <w:contextualSpacing/>
    </w:pPr>
  </w:style>
  <w:style w:type="character" w:customStyle="1" w:styleId="ListParagraphChar">
    <w:name w:val="List Paragraph Char"/>
    <w:aliases w:val="Yellow Bullet Char,Normal bullet 2 Char"/>
    <w:basedOn w:val="Domylnaczcionkaakapitu"/>
    <w:link w:val="Akapitzlist1"/>
    <w:uiPriority w:val="34"/>
    <w:rsid w:val="006C0202"/>
    <w:rPr>
      <w:lang w:eastAsia="en-GB"/>
    </w:rPr>
  </w:style>
  <w:style w:type="paragraph" w:customStyle="1" w:styleId="Akapitzlist1">
    <w:name w:val="Akapit z listą1"/>
    <w:aliases w:val="Yellow Bullet,Normal bullet 2"/>
    <w:basedOn w:val="Normalny"/>
    <w:link w:val="ListParagraphChar"/>
    <w:uiPriority w:val="34"/>
    <w:rsid w:val="006C0202"/>
    <w:pPr>
      <w:spacing w:before="0" w:after="0"/>
      <w:ind w:left="720"/>
    </w:pPr>
    <w:rPr>
      <w:rFonts w:ascii="Times New Roman" w:hAnsi="Times New Roman"/>
      <w:sz w:val="20"/>
      <w:szCs w:val="20"/>
      <w:lang w:eastAsia="en-GB"/>
    </w:rPr>
  </w:style>
  <w:style w:type="table" w:customStyle="1" w:styleId="Tabela-Siatka1">
    <w:name w:val="Tabela - Siatka1"/>
    <w:basedOn w:val="Standardowy"/>
    <w:next w:val="Tabela-Siatka"/>
    <w:uiPriority w:val="59"/>
    <w:rsid w:val="00C82C4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BC200F"/>
    <w:rPr>
      <w:rFonts w:eastAsiaTheme="majorEastAsia" w:cstheme="majorBidi"/>
      <w:b/>
      <w:color w:val="17365D" w:themeColor="text2" w:themeShade="BF"/>
      <w:spacing w:val="5"/>
      <w:kern w:val="28"/>
      <w:sz w:val="32"/>
      <w:szCs w:val="52"/>
    </w:rPr>
  </w:style>
  <w:style w:type="character" w:customStyle="1" w:styleId="TytuZnak">
    <w:name w:val="Tytuł Znak"/>
    <w:basedOn w:val="Domylnaczcionkaakapitu"/>
    <w:link w:val="Tytu"/>
    <w:rsid w:val="00BC200F"/>
    <w:rPr>
      <w:rFonts w:asciiTheme="minorHAnsi" w:eastAsiaTheme="majorEastAsia" w:hAnsiTheme="minorHAnsi" w:cstheme="majorBidi"/>
      <w:b/>
      <w:color w:val="17365D" w:themeColor="text2" w:themeShade="BF"/>
      <w:spacing w:val="5"/>
      <w:kern w:val="28"/>
      <w:sz w:val="3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665EB"/>
    <w:pPr>
      <w:spacing w:before="100" w:beforeAutospacing="1" w:after="100" w:afterAutospacing="1"/>
    </w:pPr>
    <w:rPr>
      <w:rFonts w:asciiTheme="minorHAnsi" w:hAnsiTheme="minorHAnsi"/>
      <w:sz w:val="28"/>
      <w:szCs w:val="24"/>
    </w:rPr>
  </w:style>
  <w:style w:type="paragraph" w:styleId="Nagwek1">
    <w:name w:val="heading 1"/>
    <w:basedOn w:val="Normalny"/>
    <w:next w:val="Normalny"/>
    <w:autoRedefine/>
    <w:qFormat/>
    <w:rsid w:val="00772000"/>
    <w:pPr>
      <w:keepNext/>
      <w:outlineLvl w:val="0"/>
    </w:pPr>
    <w:rPr>
      <w:rFonts w:ascii="Calibri" w:hAnsi="Calibri" w:cs="Arial"/>
      <w:b/>
      <w:bCs/>
      <w:color w:val="002060"/>
      <w:kern w:val="32"/>
      <w:szCs w:val="32"/>
    </w:rPr>
  </w:style>
  <w:style w:type="paragraph" w:styleId="Nagwek2">
    <w:name w:val="heading 2"/>
    <w:basedOn w:val="Normalny"/>
    <w:next w:val="Normalny"/>
    <w:autoRedefine/>
    <w:qFormat/>
    <w:rsid w:val="0037667A"/>
    <w:pPr>
      <w:keepNext/>
      <w:outlineLvl w:val="1"/>
    </w:pPr>
    <w:rPr>
      <w:rFonts w:ascii="Calibri" w:hAnsi="Calibri" w:cs="Arial"/>
      <w:b/>
      <w:bCs/>
      <w:iCs/>
      <w:szCs w:val="28"/>
      <w:u w:val="single"/>
    </w:rPr>
  </w:style>
  <w:style w:type="paragraph" w:styleId="Nagwek3">
    <w:name w:val="heading 3"/>
    <w:basedOn w:val="Normalny"/>
    <w:next w:val="Normalny"/>
    <w:qFormat/>
    <w:rsid w:val="00E00C15"/>
    <w:pPr>
      <w:keepNext/>
      <w:spacing w:before="240"/>
      <w:outlineLvl w:val="2"/>
    </w:pPr>
    <w:rPr>
      <w:rFonts w:ascii="Arial" w:hAnsi="Arial" w:cs="Arial"/>
      <w:b/>
      <w:bCs/>
      <w:sz w:val="26"/>
      <w:szCs w:val="26"/>
    </w:rPr>
  </w:style>
  <w:style w:type="paragraph" w:styleId="Nagwek9">
    <w:name w:val="heading 9"/>
    <w:basedOn w:val="Normalny"/>
    <w:next w:val="Normalny"/>
    <w:qFormat/>
    <w:rsid w:val="00E00C15"/>
    <w:pPr>
      <w:spacing w:before="240"/>
      <w:outlineLvl w:val="8"/>
    </w:pPr>
    <w:rPr>
      <w:rFonts w:ascii="Arial" w:hAnsi="Arial" w:cs="Arial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847F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847F3"/>
    <w:pPr>
      <w:tabs>
        <w:tab w:val="center" w:pos="4536"/>
        <w:tab w:val="right" w:pos="9072"/>
      </w:tabs>
    </w:pPr>
  </w:style>
  <w:style w:type="character" w:styleId="Hipercze">
    <w:name w:val="Hyperlink"/>
    <w:rsid w:val="009847F3"/>
    <w:rPr>
      <w:color w:val="0000FF"/>
      <w:u w:val="singl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OOTNOTES"/>
    <w:basedOn w:val="Normalny"/>
    <w:link w:val="TekstprzypisudolnegoZnak"/>
    <w:semiHidden/>
    <w:rsid w:val="00E00C1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OOTNOTES Znak"/>
    <w:link w:val="Tekstprzypisudolnego"/>
    <w:rsid w:val="00E00C15"/>
    <w:rPr>
      <w:rFonts w:ascii="Tahoma" w:hAnsi="Tahoma"/>
      <w:lang w:val="pl-PL" w:eastAsia="pl-PL" w:bidi="ar-SA"/>
    </w:rPr>
  </w:style>
  <w:style w:type="character" w:styleId="Odwoanieprzypisudolnego">
    <w:name w:val="footnote reference"/>
    <w:aliases w:val="Footnote Reference Number"/>
    <w:semiHidden/>
    <w:rsid w:val="00E00C15"/>
    <w:rPr>
      <w:vertAlign w:val="superscript"/>
    </w:rPr>
  </w:style>
  <w:style w:type="paragraph" w:styleId="Tekstpodstawowy">
    <w:name w:val="Body Text"/>
    <w:aliases w:val="bt,b,block style,Tekst podstawowy Znak,szaro,Tekst podstawowy Znak Znak Znak Znak Znak Znak Znak Znak,wypunktowanie,b1,Tekst podstawowy Znak Znak,Tekst podstawowy Znak Znak Znak Znak Znak Znak,Tekst podstawowy Znak Znak Znak Znak Znak"/>
    <w:basedOn w:val="Normalny"/>
    <w:link w:val="TekstpodstawowyZnak1"/>
    <w:semiHidden/>
    <w:rsid w:val="00E00C15"/>
    <w:pPr>
      <w:spacing w:before="120" w:line="340" w:lineRule="atLeast"/>
      <w:ind w:firstLine="709"/>
    </w:pPr>
    <w:rPr>
      <w:sz w:val="26"/>
      <w:szCs w:val="20"/>
    </w:rPr>
  </w:style>
  <w:style w:type="character" w:customStyle="1" w:styleId="TekstpodstawowyZnak1">
    <w:name w:val="Tekst podstawowy Znak1"/>
    <w:aliases w:val="bt Znak,b Znak,block style Znak,Tekst podstawowy Znak Znak1,szaro Znak,Tekst podstawowy Znak Znak Znak Znak Znak Znak Znak Znak Znak,wypunktowanie Znak,b1 Znak,Tekst podstawowy Znak Znak Znak"/>
    <w:link w:val="Tekstpodstawowy"/>
    <w:rsid w:val="00E00C15"/>
    <w:rPr>
      <w:rFonts w:ascii="Tahoma" w:hAnsi="Tahoma"/>
      <w:sz w:val="26"/>
      <w:lang w:val="pl-PL" w:eastAsia="pl-PL" w:bidi="ar-SA"/>
    </w:rPr>
  </w:style>
  <w:style w:type="table" w:styleId="Tabela-Siatka">
    <w:name w:val="Table Grid"/>
    <w:basedOn w:val="Standardowy"/>
    <w:rsid w:val="00E00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semiHidden/>
    <w:rsid w:val="00E00C15"/>
    <w:pPr>
      <w:spacing w:after="119"/>
    </w:pPr>
    <w:rPr>
      <w:rFonts w:ascii="Arial Unicode MS" w:hAnsi="Arial Unicode MS"/>
    </w:rPr>
  </w:style>
  <w:style w:type="character" w:styleId="Pogrubienie">
    <w:name w:val="Strong"/>
    <w:qFormat/>
    <w:rsid w:val="00E00C15"/>
    <w:rPr>
      <w:rFonts w:cs="Times New Roman"/>
      <w:b/>
      <w:bCs/>
    </w:rPr>
  </w:style>
  <w:style w:type="paragraph" w:customStyle="1" w:styleId="naglowek3">
    <w:name w:val="@naglowek3"/>
    <w:basedOn w:val="Nagwek3"/>
    <w:rsid w:val="00E00C15"/>
    <w:pPr>
      <w:numPr>
        <w:ilvl w:val="1"/>
        <w:numId w:val="1"/>
      </w:numPr>
      <w:tabs>
        <w:tab w:val="clear" w:pos="360"/>
      </w:tabs>
      <w:spacing w:before="120" w:after="120"/>
      <w:ind w:left="0" w:firstLine="0"/>
    </w:pPr>
    <w:rPr>
      <w:rFonts w:ascii="Tahoma" w:hAnsi="Tahoma" w:cs="Times New Roman"/>
      <w:bCs w:val="0"/>
      <w:sz w:val="22"/>
      <w:szCs w:val="20"/>
    </w:rPr>
  </w:style>
  <w:style w:type="paragraph" w:customStyle="1" w:styleId="naglowek1">
    <w:name w:val="@naglowek1"/>
    <w:basedOn w:val="Nagwek1"/>
    <w:next w:val="Normalny"/>
    <w:rsid w:val="00E00C15"/>
    <w:pPr>
      <w:numPr>
        <w:numId w:val="1"/>
      </w:numPr>
      <w:spacing w:before="0"/>
    </w:pPr>
    <w:rPr>
      <w:rFonts w:ascii="Tahoma" w:hAnsi="Tahoma"/>
      <w:bCs w:val="0"/>
      <w:color w:val="000000"/>
      <w:sz w:val="22"/>
      <w:szCs w:val="28"/>
    </w:rPr>
  </w:style>
  <w:style w:type="character" w:customStyle="1" w:styleId="ZnakZnak22">
    <w:name w:val="Znak Znak22"/>
    <w:rsid w:val="00E00C15"/>
    <w:rPr>
      <w:sz w:val="24"/>
      <w:szCs w:val="24"/>
      <w:lang w:val="pl-PL" w:eastAsia="pl-PL" w:bidi="ar-SA"/>
    </w:rPr>
  </w:style>
  <w:style w:type="character" w:styleId="Odwoaniedokomentarza">
    <w:name w:val="annotation reference"/>
    <w:semiHidden/>
    <w:rsid w:val="00687894"/>
    <w:rPr>
      <w:sz w:val="16"/>
      <w:szCs w:val="16"/>
    </w:rPr>
  </w:style>
  <w:style w:type="paragraph" w:styleId="Tekstkomentarza">
    <w:name w:val="annotation text"/>
    <w:basedOn w:val="Normalny"/>
    <w:semiHidden/>
    <w:rsid w:val="00687894"/>
    <w:pPr>
      <w:spacing w:before="0" w:after="0"/>
    </w:pPr>
    <w:rPr>
      <w:rFonts w:ascii="Times New Roman" w:hAnsi="Times New Roman"/>
      <w:sz w:val="20"/>
      <w:szCs w:val="20"/>
    </w:rPr>
  </w:style>
  <w:style w:type="paragraph" w:styleId="Tekstdymka">
    <w:name w:val="Balloon Text"/>
    <w:basedOn w:val="Normalny"/>
    <w:semiHidden/>
    <w:rsid w:val="00687894"/>
    <w:rPr>
      <w:rFonts w:cs="Tahoma"/>
      <w:sz w:val="16"/>
      <w:szCs w:val="16"/>
    </w:rPr>
  </w:style>
  <w:style w:type="paragraph" w:styleId="Akapitzlist">
    <w:name w:val="List Paragraph"/>
    <w:basedOn w:val="Normalny"/>
    <w:qFormat/>
    <w:rsid w:val="00233E94"/>
    <w:pPr>
      <w:spacing w:before="0"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Numerstrony">
    <w:name w:val="page number"/>
    <w:basedOn w:val="Domylnaczcionkaakapitu"/>
    <w:rsid w:val="00233E94"/>
  </w:style>
  <w:style w:type="paragraph" w:styleId="Tematkomentarza">
    <w:name w:val="annotation subject"/>
    <w:basedOn w:val="Tekstkomentarza"/>
    <w:next w:val="Tekstkomentarza"/>
    <w:semiHidden/>
    <w:rsid w:val="00075A33"/>
    <w:pPr>
      <w:spacing w:before="60" w:after="60"/>
      <w:jc w:val="both"/>
    </w:pPr>
    <w:rPr>
      <w:rFonts w:ascii="Tahoma" w:hAnsi="Tahoma"/>
      <w:b/>
      <w:bCs/>
    </w:rPr>
  </w:style>
  <w:style w:type="paragraph" w:customStyle="1" w:styleId="ZnakZnak">
    <w:name w:val="Znak Znak"/>
    <w:basedOn w:val="Normalny"/>
    <w:link w:val="Bezlisty"/>
    <w:rsid w:val="005D5321"/>
    <w:pPr>
      <w:spacing w:before="0" w:after="0" w:line="360" w:lineRule="auto"/>
    </w:pPr>
    <w:rPr>
      <w:rFonts w:ascii="Verdana" w:hAnsi="Verdana" w:cs="Arial"/>
      <w:sz w:val="20"/>
      <w:szCs w:val="20"/>
    </w:rPr>
  </w:style>
  <w:style w:type="paragraph" w:styleId="Mapadokumentu">
    <w:name w:val="Document Map"/>
    <w:basedOn w:val="Normalny"/>
    <w:semiHidden/>
    <w:rsid w:val="006971EB"/>
    <w:pPr>
      <w:shd w:val="clear" w:color="auto" w:fill="000080"/>
    </w:pPr>
    <w:rPr>
      <w:rFonts w:cs="Tahoma"/>
      <w:sz w:val="20"/>
      <w:szCs w:val="20"/>
    </w:rPr>
  </w:style>
  <w:style w:type="paragraph" w:styleId="Tekstprzypisukocowego">
    <w:name w:val="endnote text"/>
    <w:basedOn w:val="Normalny"/>
    <w:link w:val="TekstprzypisukocowegoZnak"/>
    <w:rsid w:val="000350E0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rsid w:val="000350E0"/>
    <w:rPr>
      <w:rFonts w:ascii="Tahoma" w:hAnsi="Tahoma"/>
    </w:rPr>
  </w:style>
  <w:style w:type="character" w:styleId="Odwoanieprzypisukocowego">
    <w:name w:val="endnote reference"/>
    <w:rsid w:val="000350E0"/>
    <w:rPr>
      <w:vertAlign w:val="superscript"/>
    </w:rPr>
  </w:style>
  <w:style w:type="paragraph" w:styleId="Poprawka">
    <w:name w:val="Revision"/>
    <w:hidden/>
    <w:uiPriority w:val="99"/>
    <w:semiHidden/>
    <w:rsid w:val="00C37175"/>
    <w:rPr>
      <w:rFonts w:ascii="Tahoma" w:hAnsi="Tahoma"/>
      <w:sz w:val="22"/>
      <w:szCs w:val="24"/>
    </w:rPr>
  </w:style>
  <w:style w:type="paragraph" w:customStyle="1" w:styleId="ZnakZnak1">
    <w:name w:val="Znak Znak1"/>
    <w:basedOn w:val="Normalny"/>
    <w:rsid w:val="00C04191"/>
    <w:pPr>
      <w:spacing w:before="0" w:after="0" w:line="360" w:lineRule="auto"/>
    </w:pPr>
    <w:rPr>
      <w:rFonts w:ascii="Verdana" w:hAnsi="Verdana"/>
      <w:sz w:val="20"/>
      <w:szCs w:val="20"/>
    </w:rPr>
  </w:style>
  <w:style w:type="character" w:customStyle="1" w:styleId="StopkaZnak">
    <w:name w:val="Stopka Znak"/>
    <w:link w:val="Stopka"/>
    <w:rsid w:val="00FD5C18"/>
    <w:rPr>
      <w:rFonts w:ascii="Tahoma" w:hAnsi="Tahoma"/>
      <w:sz w:val="22"/>
      <w:szCs w:val="24"/>
    </w:rPr>
  </w:style>
  <w:style w:type="character" w:customStyle="1" w:styleId="NagwekZnak">
    <w:name w:val="Nagłówek Znak"/>
    <w:link w:val="Nagwek"/>
    <w:uiPriority w:val="99"/>
    <w:rsid w:val="004A790E"/>
    <w:rPr>
      <w:rFonts w:ascii="Tahoma" w:hAnsi="Tahoma"/>
      <w:sz w:val="22"/>
      <w:szCs w:val="24"/>
    </w:rPr>
  </w:style>
  <w:style w:type="paragraph" w:styleId="Listapunktowana2">
    <w:name w:val="List Bullet 2"/>
    <w:basedOn w:val="Normalny"/>
    <w:rsid w:val="008B0B14"/>
    <w:pPr>
      <w:numPr>
        <w:numId w:val="2"/>
      </w:numPr>
      <w:contextualSpacing/>
    </w:pPr>
  </w:style>
  <w:style w:type="paragraph" w:styleId="Listapunktowana3">
    <w:name w:val="List Bullet 3"/>
    <w:basedOn w:val="Normalny"/>
    <w:rsid w:val="008B0B14"/>
    <w:pPr>
      <w:numPr>
        <w:numId w:val="3"/>
      </w:numPr>
      <w:contextualSpacing/>
    </w:pPr>
  </w:style>
  <w:style w:type="character" w:customStyle="1" w:styleId="ListParagraphChar">
    <w:name w:val="List Paragraph Char"/>
    <w:aliases w:val="Yellow Bullet Char,Normal bullet 2 Char"/>
    <w:basedOn w:val="Domylnaczcionkaakapitu"/>
    <w:link w:val="Akapitzlist1"/>
    <w:uiPriority w:val="34"/>
    <w:rsid w:val="006C0202"/>
    <w:rPr>
      <w:lang w:eastAsia="en-GB"/>
    </w:rPr>
  </w:style>
  <w:style w:type="paragraph" w:customStyle="1" w:styleId="Akapitzlist1">
    <w:name w:val="Akapit z listą1"/>
    <w:aliases w:val="Yellow Bullet,Normal bullet 2"/>
    <w:basedOn w:val="Normalny"/>
    <w:link w:val="ListParagraphChar"/>
    <w:uiPriority w:val="34"/>
    <w:rsid w:val="006C0202"/>
    <w:pPr>
      <w:spacing w:before="0" w:after="0"/>
      <w:ind w:left="720"/>
    </w:pPr>
    <w:rPr>
      <w:rFonts w:ascii="Times New Roman" w:hAnsi="Times New Roman"/>
      <w:sz w:val="20"/>
      <w:szCs w:val="20"/>
      <w:lang w:eastAsia="en-GB"/>
    </w:rPr>
  </w:style>
  <w:style w:type="table" w:customStyle="1" w:styleId="Tabela-Siatka1">
    <w:name w:val="Tabela - Siatka1"/>
    <w:basedOn w:val="Standardowy"/>
    <w:next w:val="Tabela-Siatka"/>
    <w:uiPriority w:val="59"/>
    <w:rsid w:val="00C82C4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BC200F"/>
    <w:rPr>
      <w:rFonts w:eastAsiaTheme="majorEastAsia" w:cstheme="majorBidi"/>
      <w:b/>
      <w:color w:val="17365D" w:themeColor="text2" w:themeShade="BF"/>
      <w:spacing w:val="5"/>
      <w:kern w:val="28"/>
      <w:sz w:val="32"/>
      <w:szCs w:val="52"/>
    </w:rPr>
  </w:style>
  <w:style w:type="character" w:customStyle="1" w:styleId="TytuZnak">
    <w:name w:val="Tytuł Znak"/>
    <w:basedOn w:val="Domylnaczcionkaakapitu"/>
    <w:link w:val="Tytu"/>
    <w:rsid w:val="00BC200F"/>
    <w:rPr>
      <w:rFonts w:asciiTheme="minorHAnsi" w:eastAsiaTheme="majorEastAsia" w:hAnsiTheme="minorHAnsi" w:cstheme="majorBidi"/>
      <w:b/>
      <w:color w:val="17365D" w:themeColor="text2" w:themeShade="BF"/>
      <w:spacing w:val="5"/>
      <w:kern w:val="28"/>
      <w:sz w:val="3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0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46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02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0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DE399-9323-474A-AF76-662901B6D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729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5093</CharactersWithSpaces>
  <SharedDoc>false</SharedDoc>
  <HLinks>
    <vt:vector size="12" baseType="variant">
      <vt:variant>
        <vt:i4>4522051</vt:i4>
      </vt:variant>
      <vt:variant>
        <vt:i4>8</vt:i4>
      </vt:variant>
      <vt:variant>
        <vt:i4>0</vt:i4>
      </vt:variant>
      <vt:variant>
        <vt:i4>5</vt:i4>
      </vt:variant>
      <vt:variant>
        <vt:lpwstr>http://www.mr.gov.pl/</vt:lpwstr>
      </vt:variant>
      <vt:variant>
        <vt:lpwstr/>
      </vt:variant>
      <vt:variant>
        <vt:i4>6553621</vt:i4>
      </vt:variant>
      <vt:variant>
        <vt:i4>5</vt:i4>
      </vt:variant>
      <vt:variant>
        <vt:i4>0</vt:i4>
      </vt:variant>
      <vt:variant>
        <vt:i4>5</vt:i4>
      </vt:variant>
      <vt:variant>
        <vt:lpwstr>mailto:media@mr.gov.pl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2018-08-01T18:21:00Z</dcterms:created>
  <dcterms:modified xsi:type="dcterms:W3CDTF">2018-08-02T06:33:00Z</dcterms:modified>
</cp:coreProperties>
</file>