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73" w:rsidRPr="005E2273" w:rsidRDefault="005E2273" w:rsidP="005E2273">
      <w:pPr>
        <w:spacing w:after="200" w:line="276" w:lineRule="auto"/>
        <w:jc w:val="left"/>
        <w:rPr>
          <w:b/>
        </w:rPr>
      </w:pPr>
      <w:r w:rsidRPr="005E2273">
        <w:rPr>
          <w:b/>
        </w:rPr>
        <w:t>Załącznik</w:t>
      </w:r>
      <w:r w:rsidRPr="005E2273">
        <w:rPr>
          <w:b/>
        </w:rPr>
        <w:t xml:space="preserve"> do raportu bieżącego nr 57 z dnia 18 października 2018 roku</w:t>
      </w:r>
    </w:p>
    <w:p w:rsidR="005E2273" w:rsidRPr="005E2273" w:rsidRDefault="005E2273" w:rsidP="005E2273">
      <w:pPr>
        <w:pStyle w:val="GTBodyText"/>
        <w:jc w:val="center"/>
        <w:rPr>
          <w:b/>
        </w:rPr>
      </w:pPr>
      <w:r w:rsidRPr="005E2273">
        <w:rPr>
          <w:b/>
        </w:rPr>
        <w:t>TREŚĆ ZAREJESTROWANEJ ZMIANY STATUTU ROBYG S.A.</w:t>
      </w:r>
    </w:p>
    <w:p w:rsidR="005E2273" w:rsidRDefault="005E2273" w:rsidP="005E2273">
      <w:pPr>
        <w:pStyle w:val="GTBodyText"/>
        <w:jc w:val="left"/>
      </w:pPr>
      <w:r>
        <w:t>§ 17 ust. 2 statutu Spółki:</w:t>
      </w:r>
    </w:p>
    <w:p w:rsidR="005E2273" w:rsidRDefault="005E2273" w:rsidP="005E2273">
      <w:pPr>
        <w:pStyle w:val="GTBodyText"/>
        <w:jc w:val="left"/>
        <w:rPr>
          <w:b/>
          <w:i/>
        </w:rPr>
      </w:pPr>
      <w:r w:rsidRPr="002B2F40">
        <w:rPr>
          <w:b/>
          <w:i/>
        </w:rPr>
        <w:t>było:</w:t>
      </w:r>
    </w:p>
    <w:p w:rsidR="005E2273" w:rsidRDefault="005E2273" w:rsidP="005E2273">
      <w:pPr>
        <w:pStyle w:val="GTBodyText"/>
        <w:jc w:val="left"/>
      </w:pPr>
      <w:r>
        <w:t>„</w:t>
      </w:r>
      <w:bookmarkStart w:id="0" w:name="_Hlk526411180"/>
      <w:r>
        <w:t>Oprócz spraw zastrzeżonych przepisami prawa oraz postanowieniami niniejszego Statutu, do szczególnych uprawnień Rady Nadzorczej należy:</w:t>
      </w:r>
    </w:p>
    <w:p w:rsidR="005E2273" w:rsidRPr="001741BD" w:rsidRDefault="005E2273" w:rsidP="005E2273">
      <w:pPr>
        <w:pStyle w:val="GTHeading5"/>
      </w:pPr>
      <w:r w:rsidRPr="001741BD">
        <w:t>ustalanie lub zmiana jakichkolwiek elementów wynagrodzenia członków Zarządu otrzymywanego od Spółki lub podmiotów z jej grupy kapitałowej („Grupa”) na podstawie jakiegokolwiek tytułu prawnego (w tym m.in. krótkookresowych premii motywacyjnych i odpowiadających im celów oraz długoterminowych programów motywacyjnych z uwzględnieniem wynagradzania ich podmiotów powiązanych, otrzymywanych od Spółki lub podmiotów z Grupy na podstawie jakiegoko</w:t>
      </w:r>
      <w:r>
        <w:t>lwiek tytułu prawnego);</w:t>
      </w:r>
    </w:p>
    <w:p w:rsidR="005E2273" w:rsidRPr="001741BD" w:rsidRDefault="005E2273" w:rsidP="005E2273">
      <w:pPr>
        <w:pStyle w:val="GTHeading5"/>
      </w:pPr>
      <w:r w:rsidRPr="001741BD">
        <w:t>wyrażanie zgody na jakąkolwiek wypłatę zaliczki na poczet dywidendy na rzecz akcjonariu</w:t>
      </w:r>
      <w:r>
        <w:t>szy oraz kwotę takiej zaliczki;</w:t>
      </w:r>
    </w:p>
    <w:p w:rsidR="005E2273" w:rsidRPr="001741BD" w:rsidRDefault="005E2273" w:rsidP="005E2273">
      <w:pPr>
        <w:pStyle w:val="GTHeading5"/>
      </w:pPr>
      <w:r w:rsidRPr="001741BD">
        <w:t xml:space="preserve">powoływanie, odwoływanie i ustalanie </w:t>
      </w:r>
      <w:r>
        <w:t>liczby członków Zarządu Spółki;</w:t>
      </w:r>
    </w:p>
    <w:p w:rsidR="005E2273" w:rsidRPr="001741BD" w:rsidRDefault="005E2273" w:rsidP="005E2273">
      <w:pPr>
        <w:pStyle w:val="GTHeading5"/>
      </w:pPr>
      <w:r w:rsidRPr="001741BD">
        <w:t>zawieszenie w czynnościach, z ważnych powodów czł</w:t>
      </w:r>
      <w:r>
        <w:t>onka Zarządu lub całego Zarządu</w:t>
      </w:r>
    </w:p>
    <w:p w:rsidR="005E2273" w:rsidRPr="001741BD" w:rsidRDefault="005E2273" w:rsidP="005E2273">
      <w:pPr>
        <w:pStyle w:val="GTHeading5"/>
      </w:pPr>
      <w:r w:rsidRPr="001741BD">
        <w:t>delegowanie członka lub członków Rady Nadzorczej, na okres nie dłuższy niż trzy miesiące, do czasowego wykonywania czynności Zarządu Spółki w razie zawieszenia członków Zarządu czy też całego Zarządu lub gdy Zarząd z i</w:t>
      </w:r>
      <w:r>
        <w:t>nnych powodów nie może działać;</w:t>
      </w:r>
    </w:p>
    <w:p w:rsidR="005E2273" w:rsidRPr="001741BD" w:rsidRDefault="005E2273" w:rsidP="005E2273">
      <w:pPr>
        <w:pStyle w:val="GTHeading5"/>
      </w:pPr>
      <w:r w:rsidRPr="001741BD">
        <w:t>wybór biegłego rewidenta przeprowadzającego badanie sprawozdania finansowego Spółki i podmiotów z Grupy oraz wyrażanie zgody na zmianę biegłego rewide</w:t>
      </w:r>
      <w:r>
        <w:t>nta Spółki i podmiotów z Grupy;</w:t>
      </w:r>
    </w:p>
    <w:p w:rsidR="005E2273" w:rsidRPr="001741BD" w:rsidRDefault="005E2273" w:rsidP="005E2273">
      <w:pPr>
        <w:pStyle w:val="GTHeading5"/>
      </w:pPr>
      <w:r w:rsidRPr="001741BD">
        <w:t>określanie zakresu i dat przedstawiania przez Zarząd rocznych planów finansowych i planów rozwoju oraz strateg</w:t>
      </w:r>
      <w:r>
        <w:t>icznych planów długookresowych;</w:t>
      </w:r>
    </w:p>
    <w:p w:rsidR="005E2273" w:rsidRPr="001741BD" w:rsidRDefault="005E2273" w:rsidP="005E2273">
      <w:pPr>
        <w:pStyle w:val="GTHeading5"/>
      </w:pPr>
      <w:r w:rsidRPr="001741BD">
        <w:t>ocena i wydawanie opinii na temat projektów uchwał, które mają zostać po</w:t>
      </w:r>
      <w:r>
        <w:t>djęte przez Walne Zgromadzenie;</w:t>
      </w:r>
    </w:p>
    <w:p w:rsidR="005E2273" w:rsidRPr="001741BD" w:rsidRDefault="005E2273" w:rsidP="005E2273">
      <w:pPr>
        <w:pStyle w:val="GTHeading5"/>
      </w:pPr>
      <w:r w:rsidRPr="001741BD">
        <w:t>emisja obligacji (za w</w:t>
      </w:r>
      <w:r>
        <w:t>yjątkiem obligacji zamiennych);</w:t>
      </w:r>
    </w:p>
    <w:p w:rsidR="005E2273" w:rsidRPr="001741BD" w:rsidRDefault="005E2273" w:rsidP="005E2273">
      <w:pPr>
        <w:pStyle w:val="GTHeading5"/>
      </w:pPr>
      <w:r w:rsidRPr="001741BD">
        <w:t>wyrażanie zgody na wszelkie zmiany istotnych zasad i polityk rachunkowości, dat referencyjnych i</w:t>
      </w:r>
      <w:r>
        <w:t xml:space="preserve"> okresów dla celów księgowości;</w:t>
      </w:r>
    </w:p>
    <w:p w:rsidR="005E2273" w:rsidRPr="001741BD" w:rsidRDefault="005E2273" w:rsidP="005E2273">
      <w:pPr>
        <w:pStyle w:val="GTHeading5"/>
      </w:pPr>
      <w:r w:rsidRPr="001741BD">
        <w:t>wyrażanie zgody na sposób wykonywania przez Spółkę prawa głosu na walnych zgromadzeniach i zgromadzeniach wspólników podmiotów z Grupy w sprawach określ</w:t>
      </w:r>
      <w:r>
        <w:t>onych w niniejszym § 17 ust. 2;</w:t>
      </w:r>
    </w:p>
    <w:p w:rsidR="005E2273" w:rsidRPr="001741BD" w:rsidRDefault="005E2273" w:rsidP="005E2273">
      <w:pPr>
        <w:pStyle w:val="GTHeading5"/>
      </w:pPr>
      <w:r w:rsidRPr="001741BD">
        <w:t xml:space="preserve">udzielanie zgody członkom Zarządu na udział: (i) w działalności konkurencyjnej wobec działalności Spółki lub podmiotu z Grupy; lub (ii) jako akcjonariusz, wspólnik lub </w:t>
      </w:r>
      <w:r w:rsidRPr="001741BD">
        <w:lastRenderedPageBreak/>
        <w:t xml:space="preserve">członek organu spółki prowadzącej działalność konkurencyjną wobec działalności Spółki lub podmiotu z Grupy (zwolnienie z </w:t>
      </w:r>
      <w:r>
        <w:t>ustawowego zakazu konkurencji);</w:t>
      </w:r>
    </w:p>
    <w:p w:rsidR="005E2273" w:rsidRPr="001741BD" w:rsidRDefault="005E2273" w:rsidP="005E2273">
      <w:pPr>
        <w:pStyle w:val="GTHeading5"/>
      </w:pPr>
      <w:r w:rsidRPr="001741BD">
        <w:t>zwolnienie z zakazu konkurencji obowiązującego jakiegokolwiek członka Zarządu lub Rady Nadzorczej oraz jego podmiotu powiązanego na podstawie jakiejkolwiek umowy zawartej przez takie osoby lub podmioty z</w:t>
      </w:r>
      <w:r>
        <w:t>e Spółką lub podmiotem z Grupy;</w:t>
      </w:r>
    </w:p>
    <w:p w:rsidR="005E2273" w:rsidRPr="001741BD" w:rsidRDefault="005E2273" w:rsidP="005E2273">
      <w:pPr>
        <w:pStyle w:val="GTHeading5"/>
      </w:pPr>
      <w:r w:rsidRPr="001741BD">
        <w:t>przyjęcie lub zmiana prognoz finansowych i biznesplanów Spółki lub Grupy (indywidualnie każdego projektu w ujęciu skonsolidowanym) oraz ustalanie zakresu i dat sporządzania przez Zarząd prognoz finansowych, biznesplanów i budżetów, a ta</w:t>
      </w:r>
      <w:r>
        <w:t>kże jakiego okresu one dotyczą;</w:t>
      </w:r>
    </w:p>
    <w:p w:rsidR="005E2273" w:rsidRPr="001741BD" w:rsidRDefault="005E2273" w:rsidP="005E2273">
      <w:pPr>
        <w:pStyle w:val="GTHeading5"/>
      </w:pPr>
      <w:r w:rsidRPr="001741BD">
        <w:t>zatwierdzanie budżetów dla inwestycji realizowanych przez Spółkę̨ lub podmioty z Grupy oraz wyrażanie zgody na wprowadzanie znaczących zmian do takich budżetów, z zastrzeżeniem, że poziom „znaczącej zmiany do budżetu”, wymagającej zatwierdzenia przez Radę Nadzorczą będzie każdorazowo ustalany uchwałą Rady Nadzorczej zatwierdzającej dany budżet, je</w:t>
      </w:r>
      <w:r>
        <w:t xml:space="preserve">dnak będzie nie niższy niż 3%; </w:t>
      </w:r>
    </w:p>
    <w:p w:rsidR="005E2273" w:rsidRPr="001741BD" w:rsidRDefault="005E2273" w:rsidP="005E2273">
      <w:pPr>
        <w:pStyle w:val="GTBodyText"/>
        <w:ind w:left="360"/>
      </w:pPr>
      <w:r w:rsidRPr="001741BD">
        <w:t>przy czym niżej wymienione czynności lub transakcje wymagają zgody Rady Nadzorczej, chyba że: (i) są przeprowadzane w związku z inwestycjami zatwierdzonymi przez Radę Nadzorczą, lub (ii) zostały wyraźnie określone i wyszczególnione w budżecie lub biznesplanie zatwierdzonym przez Radę Nadzorczą lub (iii) są przeprowadzane w toku zwykłej działalności:</w:t>
      </w:r>
    </w:p>
    <w:p w:rsidR="005E2273" w:rsidRPr="001741BD" w:rsidRDefault="005E2273" w:rsidP="005E2273">
      <w:pPr>
        <w:pStyle w:val="GTHeading5"/>
      </w:pPr>
      <w:r w:rsidRPr="001741BD">
        <w:t>zbycie, obciążenie, wyrażenie zgody na zbycie lub obciążenie lub ustanowienie prawa na rzecz osoby trzeciej do używania, prawa pierwokupu lub innego prawa do składników majątku Spółki lub podmiotów z Grupy, o wartości przekraczającej kwotę̨ 10.000.000 PLN (w ramach jednej transakcji lub kilku powiązanych transakcji przeprowadzonych w ciągu jednego roku obrotowego), za wyjątkiem wszelkich obciążeń ustanawianych tytułem zabezpieczenia jakiegokolwiek finansowania zaciągniętego zgodnie z postanowieniami §17 (zatwierdzonego przez Radę Nadzorczą lub dozwolon</w:t>
      </w:r>
      <w:r>
        <w:t>ego bez zgody Rady Nadzorczej);</w:t>
      </w:r>
    </w:p>
    <w:p w:rsidR="005E2273" w:rsidRPr="001741BD" w:rsidRDefault="005E2273" w:rsidP="005E2273">
      <w:pPr>
        <w:pStyle w:val="GTHeading5"/>
      </w:pPr>
      <w:r w:rsidRPr="001741BD">
        <w:t xml:space="preserve">zawarcie lub zmiana jakiejkolwiek umowy, przeprowadzenie jakiejkolwiek transakcji lub przyznanie jakichkolwiek świadczeń przez Spółkę lub podmiot z Grupy z udziałem: (i) członka Zarządu, (ii) członka Rady Nadzorczej, (iii) członka zarządu podmiotu z Grupy, (iv) członka rady nadzorczej podmiotu z Grupy, (v) akcjonariusza Spółki, (vi) spółki powiązanej z akcjonariuszem Spółki lub (vii) jakiejkolwiek osoby powiązanej z którąkolwiek osobą lub podmiotem wymienionym w pkt (i) – (iv) powyżej, z zastrzeżeniem, że dla celów niniejszego pkt (q) osoba powiązana oznacza między innymi: (a) osobę fizyczną, która jest współmałżonkiem, osobą spokrewnioną lub spowinowaconą z taką osobą do drugiego stopnia w linii prostej lub bocznej lub osobę pozostającą we wspólnym gospodarstwie domowym z taką osobą, (b) spółkę osobową, w której taka osoba fizyczna jest wspólnikiem lub osobą zasiadającą w organach tej </w:t>
      </w:r>
      <w:r w:rsidRPr="001741BD">
        <w:lastRenderedPageBreak/>
        <w:t>spółki, (c) spółkę, w której taka osoba jest członkiem organów spółki, akcjonariuszem lub wspólnikiem posiadającym ponad 10% akcji lub udziałów w tej spółce, (d) fundację, w której taka osoba jest fundatorem lub członkiem jakiegokolwiek organu lub (e) inną osobę prawną lub jednostkę organizacyjną nieposiadającą osobowości prawnej, w której taka os</w:t>
      </w:r>
      <w:r>
        <w:t>oba jest członkiem jej organów;</w:t>
      </w:r>
    </w:p>
    <w:p w:rsidR="005E2273" w:rsidRPr="001741BD" w:rsidRDefault="005E2273" w:rsidP="005E2273">
      <w:pPr>
        <w:pStyle w:val="GTHeading5"/>
      </w:pPr>
      <w:r w:rsidRPr="001741BD">
        <w:t>zaciągnięcie nowego finansowania dłużnego, jeżeli kwota finansowania przekracza 20.000.000 PLN (z wyjątkiem finansowania inwestycji podmiotów z Grupy zatwierdzonych w sto</w:t>
      </w:r>
      <w:r>
        <w:t>sownym budżecie inwestycyjnym);</w:t>
      </w:r>
    </w:p>
    <w:p w:rsidR="005E2273" w:rsidRPr="001741BD" w:rsidRDefault="005E2273" w:rsidP="005E2273">
      <w:pPr>
        <w:pStyle w:val="GTHeading5"/>
      </w:pPr>
      <w:r w:rsidRPr="001741BD">
        <w:t>udzielenie pożyczki lub gwarancji lub poręczenia przez Spółkę lub podmiot z Grupy na rzecz jakiejkolwiek osoby, których wartość (łącznie z jakąkolwiek umową dotyczącą tego samego przedmiotu lub stanowiącą część serii transakcji) przekracza 10.000.000 PLN (w ramach jednej transakcji lub kilku powiązanych transakcji przeprowadzonych w ciągu jednego roku obrotowego); za wyjątkiem transakcji wewnątrzgrupowych i transakcji związanych z finansowaniem inwestycji zatwierdzonym w stosownym budżecie inwestycyjnym lub innego finansowania zaciągniętego zgodnie z postanowieniami §17 (zatwierdzonego przez Radę Nadzorczą lub dozwolon</w:t>
      </w:r>
      <w:r>
        <w:t>ego bez zgody Rady Nadzorczej);</w:t>
      </w:r>
    </w:p>
    <w:p w:rsidR="005E2273" w:rsidRPr="001741BD" w:rsidRDefault="005E2273" w:rsidP="005E2273">
      <w:pPr>
        <w:pStyle w:val="GTHeading5"/>
      </w:pPr>
      <w:r w:rsidRPr="001741BD">
        <w:t>nabycie lub zbycie przez Spółkę lub podmiot z Grupy nieruchomości, prawa użytkowania wieczystego lub udziału w nieruchomości i nabycia lub zbycie udziałów w przedsiębiorstwie lub jego znaczącej części, działalności lub innych udziałów w innych spółkach dokonanych przez Spółkę lub podmiot z Grupy (z wyłączeniem dokonywanych wewnątrz Grupy), których wartość (łącznie z jakimkolwiek innym nabyciem lub zbyciem dotyczącym tego samego przedmiotu lub stanowiącym część serii transak</w:t>
      </w:r>
      <w:r>
        <w:t>cji) przekracza 10.000.000 PLN;</w:t>
      </w:r>
    </w:p>
    <w:p w:rsidR="005E2273" w:rsidRPr="001741BD" w:rsidRDefault="005E2273" w:rsidP="005E2273">
      <w:pPr>
        <w:pStyle w:val="GTHeading5"/>
      </w:pPr>
      <w:r w:rsidRPr="001741BD">
        <w:t>wszelkie istotne zmiany przedmiotu prowadzonej działalności lub jurysdykcji, w której jest ona prowadzona przez Spółkę lub podmioty z Grupy, w tym ustanowienie jakiegokolwiek przedstawicielstwa lub prowad</w:t>
      </w:r>
      <w:r>
        <w:t>zenie działalności poza Polską;</w:t>
      </w:r>
    </w:p>
    <w:p w:rsidR="005E2273" w:rsidRPr="001741BD" w:rsidRDefault="005E2273" w:rsidP="005E2273">
      <w:pPr>
        <w:pStyle w:val="GTHeading5"/>
      </w:pPr>
      <w:r w:rsidRPr="001741BD">
        <w:t xml:space="preserve">objęcie lub nabycie akcji, udziałów lub innych papierów wartościowych lub innych jednostek uczestnictwa w jakimkolwiek podmiocie, ustanowienie spółki prawa handlowego, przystąpienie do spółki osobowej lub dokonanie innych inwestycji w innych podmiotach przez Spółkę lub podmiot z Grupy, których wartość przekracza 10.000.000 PLN (w ramach jednej transakcji lub kilku powiązanych transakcji przeprowadzonych w ciągu jednego roku obrotowego) lub które nie są związane z </w:t>
      </w:r>
      <w:r>
        <w:t>działalnością podstawową Grupy;</w:t>
      </w:r>
    </w:p>
    <w:p w:rsidR="005E2273" w:rsidRPr="001741BD" w:rsidRDefault="005E2273" w:rsidP="005E2273">
      <w:pPr>
        <w:pStyle w:val="GTHeading5"/>
      </w:pPr>
      <w:r w:rsidRPr="001741BD">
        <w:t xml:space="preserve">ustanowienie obciążenia, zbycie lub utworzenie udziałów, emisja akcji, papierów wartościowych lub innych jednostek uczestnictwa przez jakikolwiek podmiot z Grupy (za wyjątkiem obciążeń ustanawianych tytułem zabezpieczenia jakiegokolwiek </w:t>
      </w:r>
      <w:r w:rsidRPr="001741BD">
        <w:lastRenderedPageBreak/>
        <w:t>finansowania zaciągniętego zgodnie z postanowieniami §17 (zatwierdzonego przez Radę Nadzorczą lub dozwolone</w:t>
      </w:r>
      <w:r>
        <w:t>go bez zgody Rady Nadzorczej));</w:t>
      </w:r>
    </w:p>
    <w:p w:rsidR="005E2273" w:rsidRPr="001741BD" w:rsidRDefault="005E2273" w:rsidP="005E2273">
      <w:pPr>
        <w:pStyle w:val="GTHeading5"/>
      </w:pPr>
      <w:r w:rsidRPr="001741BD">
        <w:t>zbycie (w tym przeniesienie, obciążenie, udzielenie licencji itp.) przez Spółkę lub podmiot z Grupy całości lub zasadniczej części przedsiębiorstwa lub działalności Spółki lub podmiotu z Grupy, w tym przedsiębiorstwa lub jego zorganizowanej części (z wyłączeniem zbyci</w:t>
      </w:r>
      <w:r>
        <w:t>a dokonywanego wewnątrz Grupy);</w:t>
      </w:r>
    </w:p>
    <w:p w:rsidR="005E2273" w:rsidRPr="001741BD" w:rsidRDefault="005E2273" w:rsidP="005E2273">
      <w:pPr>
        <w:pStyle w:val="GTHeading5"/>
      </w:pPr>
      <w:r w:rsidRPr="001741BD">
        <w:t xml:space="preserve">wyrażanie zgody na zapoczątkowanie, dokonywanie ustaleń lub podjęcie jakichkolwiek działań mających na celu wyjście przez podmiot kontrolujący Spółkę z jego inwestycji w Spółkę lub notowanie jakichkolwiek akcji Spółki lub podmiotu z Grupy na giełdzie papierów wartościowych </w:t>
      </w:r>
      <w:r>
        <w:t>lub innym rynku obrotu;</w:t>
      </w:r>
    </w:p>
    <w:p w:rsidR="005E2273" w:rsidRPr="001741BD" w:rsidRDefault="005E2273" w:rsidP="005E2273">
      <w:pPr>
        <w:pStyle w:val="GTHeading5"/>
      </w:pPr>
      <w:r w:rsidRPr="001741BD">
        <w:t>rozwiązanie lub likwidacja podmiotu z Grupy (za wyj</w:t>
      </w:r>
      <w:r>
        <w:t>ątkiem likwidacji dobrowolnej);</w:t>
      </w:r>
    </w:p>
    <w:p w:rsidR="005E2273" w:rsidRPr="001741BD" w:rsidRDefault="005E2273" w:rsidP="005E2273">
      <w:pPr>
        <w:pStyle w:val="GTHeading5"/>
      </w:pPr>
      <w:r w:rsidRPr="001741BD">
        <w:t>przekształcenie, połączenie lub podział (wydzielenie) podmiotu z Grupy, za wyjątkie</w:t>
      </w:r>
      <w:r>
        <w:t>m transakcji wewnątrzgrupowych;</w:t>
      </w:r>
    </w:p>
    <w:p w:rsidR="005E2273" w:rsidRPr="001741BD" w:rsidRDefault="005E2273" w:rsidP="005E2273">
      <w:pPr>
        <w:pStyle w:val="GTHeading5"/>
      </w:pPr>
      <w:r w:rsidRPr="001741BD">
        <w:t>przystąpienie do wspólnego przedsięwzięcia (joint venture), współpracy strategicznej (inaczej niż w toku zwykłej działalności), partnerstwa lub podobnej umowy pr</w:t>
      </w:r>
      <w:r>
        <w:t>zez Spółkę lub podmiot z Grupy;</w:t>
      </w:r>
    </w:p>
    <w:p w:rsidR="005E2273" w:rsidRPr="001741BD" w:rsidRDefault="005E2273" w:rsidP="005E2273">
      <w:pPr>
        <w:pStyle w:val="GTHeading5"/>
      </w:pPr>
      <w:r w:rsidRPr="001741BD">
        <w:t>zawarcie umowy, zaciągniecie zobowiązania lub zawarcie porozumienia obejmującego zaciągniecie zobowiązania o wartości przekr</w:t>
      </w:r>
      <w:r>
        <w:t>aczającej kwotę 10.000.000 PLN;</w:t>
      </w:r>
    </w:p>
    <w:p w:rsidR="005E2273" w:rsidRPr="001741BD" w:rsidRDefault="005E2273" w:rsidP="005E2273">
      <w:pPr>
        <w:pStyle w:val="GTHeading5"/>
      </w:pPr>
      <w:r w:rsidRPr="001741BD">
        <w:t>dokonywanie darowizn, za wyjątkiem darowizn na cele charytatywne do łącznej wysokości 100.000 PLN w roku obrotowym, z zastrzeżeniem, że każdorazowo takie darowizny są dokonywane zgodnie z „Polityką darowizn na cele charytatywne” przyjętą prz</w:t>
      </w:r>
      <w:r>
        <w:t>ez Spółkę lub podmioty z Grupy;</w:t>
      </w:r>
    </w:p>
    <w:p w:rsidR="005E2273" w:rsidRPr="001741BD" w:rsidRDefault="005E2273" w:rsidP="005E2273">
      <w:pPr>
        <w:pStyle w:val="GTHeading5"/>
      </w:pPr>
      <w:r w:rsidRPr="001741BD">
        <w:t>nabywanie wszelkich istotnych praw własności intelektualnej oraz rozporządzanie, ustanawianie obciążeń lub innych praw na rzecz osób trzecich lub udzielanie licencji na korzystanie z jakichkolwiek istotnych praw własności intelektualnej Spółki lub podmiotów z Grupy (za wyjątkiem</w:t>
      </w:r>
      <w:r>
        <w:t xml:space="preserve"> transakcji wewnątrzgrupowych);</w:t>
      </w:r>
    </w:p>
    <w:p w:rsidR="005E2273" w:rsidRPr="001741BD" w:rsidRDefault="005E2273" w:rsidP="005E2273">
      <w:pPr>
        <w:pStyle w:val="GTHeading5"/>
      </w:pPr>
      <w:r w:rsidRPr="001741BD">
        <w:t>uznawanie przez Spółkę lub podmiot z Grupy roszczenia o rekompensatę lub odszkodowanie, którego łączna wa</w:t>
      </w:r>
      <w:r>
        <w:t>rtość przekracza 5.000.000 PLN;</w:t>
      </w:r>
    </w:p>
    <w:p w:rsidR="005E2273" w:rsidRPr="001741BD" w:rsidRDefault="005E2273" w:rsidP="005E2273">
      <w:pPr>
        <w:pStyle w:val="GTHeading5"/>
      </w:pPr>
      <w:r w:rsidRPr="001741BD">
        <w:t>zawieranie, zmienianie warunków lub rozwiązywanie umowy o pracę z jakimkolwiek pracownikiem Spółki lub podmiotu z Grupy, którego łączne wynagrodzenie w skali roku (z uwzględnieniem wszelkich kwot wypłacanych na podstawie umów o świadczenie usług, premii motywacyjnych, świadczeń i dodatków) przekracza lub można oczekiwać, że pr</w:t>
      </w:r>
      <w:r>
        <w:t>zekroczy 1.000.000 PLN rocznie;</w:t>
      </w:r>
    </w:p>
    <w:p w:rsidR="005E2273" w:rsidRPr="001741BD" w:rsidRDefault="005E2273" w:rsidP="005E2273">
      <w:pPr>
        <w:pStyle w:val="GTHeading5"/>
      </w:pPr>
      <w:r w:rsidRPr="001741BD">
        <w:t xml:space="preserve">zawieranie, przedłużanie lub zmienianie umów lub porozumień ze związkami zawodowymi działającymi w Spółce lub podmiocie z Grupy, za wyjątkiem działań, których podjęcie jest konieczne celem zapewnienia ciągłości działalności grupy </w:t>
      </w:r>
      <w:r w:rsidRPr="001741BD">
        <w:lastRenderedPageBreak/>
        <w:t>kapitałowej Spółki w razie strajku, groźby strajku lub jakiegokolwiek zbiorowego działania pracowników Spółki lub podmiotu</w:t>
      </w:r>
      <w:r>
        <w:t xml:space="preserve"> z Grupy;</w:t>
      </w:r>
    </w:p>
    <w:p w:rsidR="005E2273" w:rsidRPr="001741BD" w:rsidRDefault="005E2273" w:rsidP="005E2273">
      <w:pPr>
        <w:pStyle w:val="GTHeading5"/>
      </w:pPr>
      <w:r w:rsidRPr="001741BD">
        <w:t xml:space="preserve">inicjowanie lub przeprowadzanie programu zwolnień grupowych </w:t>
      </w:r>
      <w:r>
        <w:t>w Spółce lub podmiocie z Grupy;</w:t>
      </w:r>
    </w:p>
    <w:p w:rsidR="005E2273" w:rsidRPr="001741BD" w:rsidRDefault="005E2273" w:rsidP="005E2273">
      <w:pPr>
        <w:pStyle w:val="GTHeading5"/>
      </w:pPr>
      <w:r w:rsidRPr="001741BD">
        <w:t xml:space="preserve">nabywanie przez Spółkę akcji </w:t>
      </w:r>
      <w:r>
        <w:t xml:space="preserve">własnych w celu ich umorzenia; </w:t>
      </w:r>
    </w:p>
    <w:p w:rsidR="005E2273" w:rsidRPr="001741BD" w:rsidRDefault="005E2273" w:rsidP="005E2273">
      <w:pPr>
        <w:pStyle w:val="GTHeading5"/>
      </w:pPr>
      <w:r w:rsidRPr="001741BD">
        <w:t>zawieranie transakcji, umowy lub porozumienia z jakimkolwiek organem administracji państwowej, który należy interpretować jako jakikolwiek organ władz ponadnarodowych, krajowych lub lokalnych, jakąkolwiek jego jednostkę organizacyjną, instytucję administracyjną, komisję lub inny organ oraz wszelkie organy quasi-rządowe lub prywatne wykonujące jakąkolwiek funkcję nadzoru, administracji państw</w:t>
      </w:r>
      <w:r>
        <w:t>owej lub quasi-administracyjną;</w:t>
      </w:r>
    </w:p>
    <w:p w:rsidR="005E2273" w:rsidRPr="001741BD" w:rsidRDefault="005E2273" w:rsidP="005E2273">
      <w:pPr>
        <w:pStyle w:val="GTHeading5"/>
      </w:pPr>
      <w:r w:rsidRPr="001741BD">
        <w:t>wyrażanie zgody na wytoczenie, wniesienie, przystąpienie, zawarcie ugody, cofnięcie lub unieważnienie powództwa, postępowania arbitrażowego lub podobnego postępowania spornego oraz zawarcie ugody w sprawie dotyczącej Spółki lub podmiotu z Grupy, w której stroną przeciwną jest jakikolwiek organ administracji państwowej (innej niż w związku z prawem użytkowania wieczystego) lub o wartości sporu (łącznie z wszelkimi innymi powództwami, postępowaniami arbitrażowymi lub podobnymi postępowaniami spornymi w tym samym przedmiocie)</w:t>
      </w:r>
      <w:r>
        <w:t xml:space="preserve"> przekraczającej 5.000.000 PLN;</w:t>
      </w:r>
    </w:p>
    <w:p w:rsidR="005E2273" w:rsidRPr="001741BD" w:rsidRDefault="005E2273" w:rsidP="005E2273">
      <w:pPr>
        <w:pStyle w:val="GTHeading5"/>
      </w:pPr>
      <w:r w:rsidRPr="001741BD">
        <w:t>zawarcie umowy lub porozumienia w celu wykonania lub podjęcia się wykonania jakichkolwiek działań wymienionych w powyższych p</w:t>
      </w:r>
      <w:r>
        <w:t>unktach niniejszego §17.2; oraz</w:t>
      </w:r>
    </w:p>
    <w:p w:rsidR="005E2273" w:rsidRPr="001741BD" w:rsidRDefault="005E2273" w:rsidP="005E2273">
      <w:pPr>
        <w:pStyle w:val="GTHeading5"/>
      </w:pPr>
      <w:r w:rsidRPr="001741BD">
        <w:t>sprzedaż, dzierżawa lub wynajęcie jednemu podmiotowi, w ramach jednej lub kilku transakcji, powierzchni w której wartość lokalu stanowiącego przedmiot sprzedaży, dzierżawy lub wynajmu wyn</w:t>
      </w:r>
      <w:r>
        <w:t xml:space="preserve">osi więcej niż 10.000.000 PLN. </w:t>
      </w:r>
    </w:p>
    <w:p w:rsidR="005E2273" w:rsidRPr="001741BD" w:rsidRDefault="005E2273" w:rsidP="005E2273">
      <w:pPr>
        <w:pStyle w:val="GTBodyText"/>
        <w:ind w:left="360"/>
      </w:pPr>
      <w:r w:rsidRPr="001741BD">
        <w:t>W celu wykonania powyższych czynności Rada Nadzorcza może badać wszystkie dokumenty, żądać od Zarządu i pracowników Spółki sprawozdań i wyjaśnień oraz dokonywać rewizji majątku Spółki.</w:t>
      </w:r>
      <w:bookmarkEnd w:id="0"/>
      <w:r w:rsidRPr="001741BD">
        <w:t xml:space="preserve">” </w:t>
      </w:r>
    </w:p>
    <w:p w:rsidR="005E2273" w:rsidRDefault="005E2273" w:rsidP="005E2273">
      <w:pPr>
        <w:pStyle w:val="GTBodyText"/>
        <w:ind w:left="360"/>
        <w:jc w:val="left"/>
        <w:rPr>
          <w:b/>
          <w:i/>
        </w:rPr>
      </w:pPr>
    </w:p>
    <w:p w:rsidR="005E2273" w:rsidRDefault="005E2273" w:rsidP="005E2273">
      <w:pPr>
        <w:pStyle w:val="GTBodyText"/>
        <w:ind w:left="360"/>
        <w:jc w:val="left"/>
        <w:rPr>
          <w:b/>
          <w:i/>
        </w:rPr>
      </w:pPr>
      <w:bookmarkStart w:id="1" w:name="_GoBack"/>
      <w:bookmarkEnd w:id="1"/>
      <w:r w:rsidRPr="002B2F40">
        <w:rPr>
          <w:b/>
          <w:i/>
        </w:rPr>
        <w:t>jest:</w:t>
      </w:r>
    </w:p>
    <w:p w:rsidR="005E2273" w:rsidRPr="001741BD" w:rsidRDefault="005E2273" w:rsidP="005E2273">
      <w:pPr>
        <w:pStyle w:val="GTBodyText"/>
      </w:pPr>
      <w:r w:rsidRPr="001741BD">
        <w:t>„</w:t>
      </w:r>
      <w:bookmarkStart w:id="2" w:name="_Hlk526411321"/>
      <w:r w:rsidRPr="001741BD">
        <w:t>Oprócz spraw zastrzeżonych przepisami prawa oraz postanowieniami niniejszego Statutu, do szczególnych uprawnień Rady Nadzorczej należy:</w:t>
      </w:r>
    </w:p>
    <w:p w:rsidR="005E2273" w:rsidRPr="001741BD" w:rsidRDefault="005E2273" w:rsidP="005E2273">
      <w:pPr>
        <w:pStyle w:val="POLMain1"/>
      </w:pPr>
      <w:r w:rsidRPr="001741BD">
        <w:t>ustalanie lub zmiana jakichkolwiek elementów wynagrodzenia członków Zarządu otrzymywanego od Spółki lub podmiotów z jej grupy kapitałowej („Grupa”) na podstawie jakiegokolwiek tytułu prawnego (w tym m.in. krótkookresowych premii motywacyjnych i odpowiadających im celów oraz długoterminowych programów motywacyjnych z uwzględnieniem wynagradzania ich podmiotów powiązanych, otrzymywanych od Spółki lub podmiotów z Grupy na podstawie jakiegokolwiek tytułu prawnego);</w:t>
      </w:r>
    </w:p>
    <w:p w:rsidR="005E2273" w:rsidRPr="001741BD" w:rsidRDefault="005E2273" w:rsidP="005E2273">
      <w:pPr>
        <w:pStyle w:val="POLMain1"/>
      </w:pPr>
      <w:r w:rsidRPr="001741BD">
        <w:lastRenderedPageBreak/>
        <w:t>wyrażanie zgody na jakąkolwiek wypłatę zaliczki na poczet dywidendy na rzecz akcjonariuszy oraz kwotę takiej zaliczki;</w:t>
      </w:r>
    </w:p>
    <w:p w:rsidR="005E2273" w:rsidRPr="001741BD" w:rsidRDefault="005E2273" w:rsidP="005E2273">
      <w:pPr>
        <w:pStyle w:val="POLMain1"/>
      </w:pPr>
      <w:r w:rsidRPr="001741BD">
        <w:t>powoływanie, odwoływanie i ustalanie liczby członków Zarządu Spółki;</w:t>
      </w:r>
    </w:p>
    <w:p w:rsidR="005E2273" w:rsidRPr="001741BD" w:rsidRDefault="005E2273" w:rsidP="005E2273">
      <w:pPr>
        <w:pStyle w:val="POLMain1"/>
      </w:pPr>
      <w:r w:rsidRPr="001741BD">
        <w:t>zawieszenie w czynnościach, z ważnych powodów członka Zarządu lub całego Zarządu;</w:t>
      </w:r>
    </w:p>
    <w:p w:rsidR="005E2273" w:rsidRPr="001741BD" w:rsidRDefault="005E2273" w:rsidP="005E2273">
      <w:pPr>
        <w:pStyle w:val="POLMain1"/>
      </w:pPr>
      <w:r w:rsidRPr="001741BD">
        <w:t>delegowanie członka lub członków Rady Nadzorczej, na okres nie dłuższy niż trzy miesiące, do czasowego wykonywania czynności Zarządu Spółki w razie zawieszenia członków Zarządu czy też całego Zarządu lub gdy Zarząd z innych powodów nie może działać;</w:t>
      </w:r>
    </w:p>
    <w:p w:rsidR="005E2273" w:rsidRPr="001741BD" w:rsidRDefault="005E2273" w:rsidP="005E2273">
      <w:pPr>
        <w:pStyle w:val="POLMain1"/>
      </w:pPr>
      <w:r w:rsidRPr="001741BD">
        <w:t>wybór biegłego rewidenta przeprowadzającego badanie sprawozdania finansowego Spółki i skonsolidowanego badania finansowego Grupy oraz wyrażanie zgody na zmianę tego biegłego rewidenta;</w:t>
      </w:r>
    </w:p>
    <w:p w:rsidR="005E2273" w:rsidRPr="001741BD" w:rsidRDefault="005E2273" w:rsidP="005E2273">
      <w:pPr>
        <w:pStyle w:val="POLMain1"/>
      </w:pPr>
      <w:r w:rsidRPr="001741BD">
        <w:t>określanie zakresu i dat przedstawiania przez Zarząd rocznych planów finansowych i planów rozwoju oraz strateg</w:t>
      </w:r>
      <w:r>
        <w:t>icznych planów długookresowych;</w:t>
      </w:r>
    </w:p>
    <w:p w:rsidR="005E2273" w:rsidRPr="001741BD" w:rsidRDefault="005E2273" w:rsidP="005E2273">
      <w:pPr>
        <w:pStyle w:val="POLMain1"/>
      </w:pPr>
      <w:r w:rsidRPr="001741BD">
        <w:t>ocena i wydawanie opinii na temat projektów uchwał, które mają zostać podjęte przez Walne Zgromadzenie;</w:t>
      </w:r>
    </w:p>
    <w:p w:rsidR="005E2273" w:rsidRPr="001741BD" w:rsidRDefault="005E2273" w:rsidP="005E2273">
      <w:pPr>
        <w:pStyle w:val="POLMain1"/>
      </w:pPr>
      <w:r w:rsidRPr="001741BD">
        <w:t>emisja obligacji (za wyjątkiem obligacji zamiennych) Spółki i/lub podmiotu z Grupy (za wyjątkiem transakcji wewnątrzgrupowych);</w:t>
      </w:r>
    </w:p>
    <w:p w:rsidR="005E2273" w:rsidRPr="001741BD" w:rsidRDefault="005E2273" w:rsidP="005E2273">
      <w:pPr>
        <w:pStyle w:val="POLMain1"/>
      </w:pPr>
      <w:r w:rsidRPr="001741BD">
        <w:t>wyrażanie zgody na wszelkie zmiany istotnych zasad i polityk rachunkowości, dat referencyjnych i okresów dla celów księgowości Spółki i podmiotu z Grupy;</w:t>
      </w:r>
    </w:p>
    <w:p w:rsidR="005E2273" w:rsidRPr="001741BD" w:rsidRDefault="005E2273" w:rsidP="005E2273">
      <w:pPr>
        <w:pStyle w:val="POLMain1"/>
      </w:pPr>
      <w:r w:rsidRPr="001741BD">
        <w:t>udzielanie zgody członkom Zarządu na udział: (i) w działalności konkurencyjnej wobec działalności Spółki lub podmiotu z Grupy; lub (ii) jako akcjonariusz, wspólnik lub członek organu spółki prowadzącej działalność konkurencyjną wobec działalności Spółki lub podmiotu z Grupy (zwolnienie z ustawowego zakazu</w:t>
      </w:r>
      <w:r>
        <w:t xml:space="preserve"> konkurencji);</w:t>
      </w:r>
    </w:p>
    <w:p w:rsidR="005E2273" w:rsidRPr="001741BD" w:rsidRDefault="005E2273" w:rsidP="005E2273">
      <w:pPr>
        <w:pStyle w:val="POLMain1"/>
      </w:pPr>
      <w:r w:rsidRPr="001741BD">
        <w:t>zwolnienie z zakazu konkurencji obowiązującego jakiegokolwiek członka Zarządu lub Rady Nadzorczej oraz jego podmiotu powiązanego na podstawie jakiejkolwiek umowy zawartej przez takie osoby lub podmioty ze Spółką lub podmiotem z Grup</w:t>
      </w:r>
      <w:r>
        <w:t>y;</w:t>
      </w:r>
    </w:p>
    <w:p w:rsidR="005E2273" w:rsidRPr="001741BD" w:rsidRDefault="005E2273" w:rsidP="005E2273">
      <w:pPr>
        <w:pStyle w:val="POLMain1"/>
      </w:pPr>
      <w:r w:rsidRPr="001741BD">
        <w:t>przyjęcie lub zmiana prognoz finansowych i biznesplanów Spółki lub Grupy (indywidualnie każdego projektu w ujęciu skonsolidowanym) oraz ustalanie zakresu i dat sporządzania przez Zarząd prognoz finansowych, biznesplanów i budżetów, a także jak</w:t>
      </w:r>
      <w:r>
        <w:t>iego okresu one dotyczą;</w:t>
      </w:r>
      <w:r>
        <w:tab/>
      </w:r>
    </w:p>
    <w:p w:rsidR="005E2273" w:rsidRPr="001741BD" w:rsidRDefault="005E2273" w:rsidP="005E2273">
      <w:pPr>
        <w:pStyle w:val="POLMain1"/>
      </w:pPr>
      <w:r w:rsidRPr="001741BD">
        <w:t xml:space="preserve">zatwierdzanie budżetów dla inwestycji realizowanych przez Spółkę̨ lub podmioty z Grupy oraz wyrażanie zgody na wprowadzanie znaczących zmian do takich budżetów, z zastrzeżeniem, że poziom „znaczącej zmiany do budżetu”, wymagającej zatwierdzenia przez Radę Nadzorczą będzie każdorazowo ustalany uchwałą Rady Nadzorczej zatwierdzającej dany budżet, jednak będzie nie niższy </w:t>
      </w:r>
      <w:r>
        <w:t>niż 3%;</w:t>
      </w:r>
    </w:p>
    <w:p w:rsidR="005E2273" w:rsidRPr="001741BD" w:rsidRDefault="005E2273" w:rsidP="005E2273">
      <w:pPr>
        <w:pStyle w:val="POLBodyText"/>
      </w:pPr>
      <w:r w:rsidRPr="001741BD">
        <w:t>przy czym niżej wymienione czynności lub transakcje wymagają zgody Rady Nadzorczej, chyba że: (i) są przeprowadzane w związku z inwestycjami zatwierdzonymi przez Radę Nadzorczą, lub (ii) zostały wyraźnie określone i wyszczególnione w budżecie lub biznesplanie zatwierdzonym przez Radę Nadzorczą lub (iii) są przeprowadzane w toku zwykłej działalności:</w:t>
      </w:r>
    </w:p>
    <w:p w:rsidR="005E2273" w:rsidRPr="001741BD" w:rsidRDefault="005E2273" w:rsidP="005E2273">
      <w:pPr>
        <w:pStyle w:val="POLMain1"/>
      </w:pPr>
      <w:r w:rsidRPr="001741BD">
        <w:lastRenderedPageBreak/>
        <w:t>zbycie, obciążenie, wyrażenie zgody na zbycie lub obciążenie lub ustanowienie prawa na rzecz osoby trzeciej do używania, prawa pierwokupu lub innego prawa do składników majątku Spółki lub podmiotów z Grupy, o wartości przekraczającej kwotę̨ 10.000.000 PLN (w ramach jednej transakcji lub kilku powiązanych transakcji przeprowadzonych w ciągu jednego roku obrotowego), za wyjątkiem wszelkich obciążeń ustanawianych tytułem zabezpieczenia jakiegokolwiek finansowania zaciągniętego zgodnie z postanowieniami §17 (zatwierdzonego przez Radę Nadzorczą lub dozwolon</w:t>
      </w:r>
      <w:r>
        <w:t>ego bez zgody Rady Nadzorczej);</w:t>
      </w:r>
    </w:p>
    <w:p w:rsidR="005E2273" w:rsidRPr="001741BD" w:rsidRDefault="005E2273" w:rsidP="005E2273">
      <w:pPr>
        <w:pStyle w:val="POLMain1"/>
      </w:pPr>
      <w:r w:rsidRPr="001741BD">
        <w:t>zawarcie lub zmiana jakiejkolwiek umowy, przeprowadzenie jakiejkolwiek transakcji lub przyznanie jakichkolwiek świadczeń przez Spółkę lub podmiot z Grupy z udziałem: (i) członka Zarządu, (ii) członka Rady Nadzorczej, (iii) członka zarządu podmiotu z Grupy, (iv) członka rady nadzorczej podmiotu z Grupy, (v) akcjonariusza Spółki, (vi) spółki powiązanej z akcjonariuszem Spółki lub (vii) jakiejkolwiek osoby powiązanej z którąkolwiek osobą lub podmiotem wymienionym w pkt (i) – (iv) powyżej, z zastrzeżeniem, że dla celów niniejszego pkt 16) osoba powiązana oznacza między innymi: (a) osobę fizyczną, która jest współmałżonkiem, osobą spokrewnioną lub spowinowaconą z taką osobą do drugiego stopnia w linii prostej lub bocznej lub osobę pozostającą we wspólnym gospodarstwie domowym z taką osobą, (b) spółkę osobową, w której taka osoba fizyczna jest wspólnikiem lub osobą zasiadającą w organach tej spółki, (c) spółkę, w której taka osoba jest członkiem organów spółki, akcjonariuszem lub wspólnikiem posiadającym ponad 10% akcji lub udziałów w tej spółce, (d) fundację, w której taka osoba jest fundatorem lub członkiem jakiegokolwiek organu lub (e) inną osobę prawną lub jednostkę organizacyjną nieposiadającą osobowości prawnej, w której taka osoba jest członkiem jej org</w:t>
      </w:r>
      <w:r>
        <w:t>anów;</w:t>
      </w:r>
    </w:p>
    <w:p w:rsidR="005E2273" w:rsidRPr="001741BD" w:rsidRDefault="005E2273" w:rsidP="005E2273">
      <w:pPr>
        <w:pStyle w:val="POLMain1"/>
      </w:pPr>
      <w:r w:rsidRPr="001741BD">
        <w:t>zaciągnięcie nowego finansowania dłużnego przez Spółkę lub podmiot z Grupy, jeżeli kwota finansowania przekracza 20.000.000 PLN (z wyjątkiem finansowania inwestycji podmiotów z Grupy zatwierdzonych w stosownym budżecie inwestycyjnym i z wyjątkiem transakcji wewnątrzgrupowych);</w:t>
      </w:r>
    </w:p>
    <w:p w:rsidR="005E2273" w:rsidRPr="001741BD" w:rsidRDefault="005E2273" w:rsidP="005E2273">
      <w:pPr>
        <w:pStyle w:val="POLMain1"/>
      </w:pPr>
      <w:r w:rsidRPr="001741BD">
        <w:t xml:space="preserve"> udzielenie pożyczki lub gwarancji lub poręczenia przez Spółkę lub podmiot z Grupy na rzecz jakiejkolwiek osoby, których wartość (łącznie z jakąkolwiek umową dotyczącą tego samego przedmiotu lub stanowiącą część serii transakcji) przekracza 10.000.000 PLN (w ramach jednej transakcji lub kilku powiązanych transakcji przeprowadzonych w ciągu jednego roku obrotowego); za wyjątkiem transakcji wewnątrzgrupowych i transakcji związanych z finansowaniem inwestycji zatwierdzonym w stosownym budżecie inwestycyjnym lub innego finansowania zaciągniętego zgodnie z postanowieniami §17 Statutu Spółki (zatwierdzonego przez Radę Nadzorczą lub dozwolonego be</w:t>
      </w:r>
      <w:r>
        <w:t>z zgody Rady Nadzorczej);</w:t>
      </w:r>
    </w:p>
    <w:p w:rsidR="005E2273" w:rsidRPr="001741BD" w:rsidRDefault="005E2273" w:rsidP="005E2273">
      <w:pPr>
        <w:pStyle w:val="POLMain1"/>
      </w:pPr>
      <w:r w:rsidRPr="001741BD">
        <w:t xml:space="preserve">nabycie lub zbycie przez Spółkę lub podmiot z Grupy nieruchomości, prawa użytkowania wieczystego lub udziału w nieruchomości i nabycia lub zbycie udziałów w przedsiębiorstwie lub jego znaczącej części, działalności lub innych udziałów w innych spółkach dokonanych </w:t>
      </w:r>
      <w:r w:rsidRPr="001741BD">
        <w:lastRenderedPageBreak/>
        <w:t>przez Spółkę lub podmiot z Grupy (z wyłączeniem dokonywanych wewnątrz Grupy), których wartość (łącznie z jakimkolwiek innym nabyciem lub zbyciem dotyczącym tego samego przedmiotu lub stanowiącym część serii transakcji) przekracza 10.000.000 PLN</w:t>
      </w:r>
      <w:r>
        <w:t>;</w:t>
      </w:r>
    </w:p>
    <w:p w:rsidR="005E2273" w:rsidRPr="001741BD" w:rsidRDefault="005E2273" w:rsidP="005E2273">
      <w:pPr>
        <w:pStyle w:val="POLMain1"/>
      </w:pPr>
      <w:r w:rsidRPr="001741BD">
        <w:t>wszelkie istotne zmiany przedmiotu prowadzonej działalności lub jurysdykcji, w której jest ona prowadzona przez Spółkę lub podmioty z Grupy, w tym ustanowienie jakiegokolwiek przedstawicielstwa lub prowadzenie działalności poza Polsk</w:t>
      </w:r>
      <w:r>
        <w:t>ą;</w:t>
      </w:r>
    </w:p>
    <w:p w:rsidR="005E2273" w:rsidRPr="001741BD" w:rsidRDefault="005E2273" w:rsidP="005E2273">
      <w:pPr>
        <w:pStyle w:val="POLMain1"/>
      </w:pPr>
      <w:r w:rsidRPr="001741BD">
        <w:t>objęcie lub nabycie akcji, udziałów lub innych papierów wartościowych lub innych jednostek uczestnictwa w jakimkolwiek podmiocie, ustanowienie spółki prawa handlowego, przystąpienie do spółki osobowej lub dokonanie innych inwestycji w innych podmiotach przez Spółkę lub podmiot z Grupy, których wartość przekracza 10.000.000 PLN (w ramach jednej transakcji lub kilku powiązanych transakcji przeprowadzonych w ciągu jednego roku obrotowego) lub które nie są związane z działalnością podstawową Grupy;</w:t>
      </w:r>
    </w:p>
    <w:p w:rsidR="005E2273" w:rsidRPr="001741BD" w:rsidRDefault="005E2273" w:rsidP="005E2273">
      <w:pPr>
        <w:pStyle w:val="POLMain1"/>
      </w:pPr>
      <w:r w:rsidRPr="001741BD">
        <w:t>ustanowienie obciążenia, zbycie lub utworzenie udziałów, emisja akcji, papierów wartościowych lub innych jednostek uczestnictwa przez jakikolwiek podmiot z Grupy (za wyjątkiem obciążeń ustanawianych tytułem zabezpieczenia jakiegokolwiek finansowania zaciągniętego zgodnie z postanowieniami §17 Statutu Spółki (zatwierdzonego przez Radę Nadzorczą lub dozwolonego bez zgody Rady Nadzorczej));</w:t>
      </w:r>
    </w:p>
    <w:p w:rsidR="005E2273" w:rsidRPr="001741BD" w:rsidRDefault="005E2273" w:rsidP="005E2273">
      <w:pPr>
        <w:pStyle w:val="POLMain1"/>
      </w:pPr>
      <w:r w:rsidRPr="001741BD">
        <w:t>zbycie (w tym przeniesienie, obciążenie, udzielenie licencji itp.) przez Spółkę lub podmiot z Grupy całości lub zasadniczej części przedsiębiorstwa lub działalności Spółki lub podmiotu z Grupy, w tym przedsiębiorstwa lub jego zorganizowanej części (z wyłączeniem zbycia dokonywanego wewnątrz Grupy);</w:t>
      </w:r>
    </w:p>
    <w:p w:rsidR="005E2273" w:rsidRPr="001741BD" w:rsidRDefault="005E2273" w:rsidP="005E2273">
      <w:pPr>
        <w:pStyle w:val="POLMain1"/>
      </w:pPr>
      <w:r w:rsidRPr="001741BD">
        <w:t>wyrażanie zgody na zapoczątkowanie, dokonywanie ustaleń lub podjęcie jakichkolwiek działań mających na celu wyjście przez podmiot kontrolujący Spółkę z jego inwestycji w Spółkę lub notowanie jakichkolwiek akcji Spółki lub podmiotu z Grupy na giełdzie papierów wartościowych lub innym rynku obrotu;</w:t>
      </w:r>
    </w:p>
    <w:p w:rsidR="005E2273" w:rsidRPr="001741BD" w:rsidRDefault="005E2273" w:rsidP="005E2273">
      <w:pPr>
        <w:pStyle w:val="POLMain1"/>
        <w:tabs>
          <w:tab w:val="left" w:pos="8648"/>
        </w:tabs>
      </w:pPr>
      <w:r w:rsidRPr="001741BD">
        <w:t>rozwiązanie lub likwidacja podmiotu z Grupy (za wyjątkiem likwidacji dobrowolnej);</w:t>
      </w:r>
      <w:r>
        <w:tab/>
      </w:r>
    </w:p>
    <w:p w:rsidR="005E2273" w:rsidRPr="001741BD" w:rsidRDefault="005E2273" w:rsidP="005E2273">
      <w:pPr>
        <w:pStyle w:val="POLMain1"/>
      </w:pPr>
      <w:r w:rsidRPr="001741BD">
        <w:t>przekształcenie, połączenie lub podział (wydzielenie) podmiotu z Grupy, za wyjątkiem transakcji wewnątrzgrupowych;</w:t>
      </w:r>
    </w:p>
    <w:p w:rsidR="005E2273" w:rsidRPr="001741BD" w:rsidRDefault="005E2273" w:rsidP="005E2273">
      <w:pPr>
        <w:pStyle w:val="POLMain1"/>
      </w:pPr>
      <w:r w:rsidRPr="001741BD">
        <w:t>przystąpienie do wspólnego przedsięwzięcia (joint venture), współpracy strategicznej (inaczej niż w toku zwykłej działalności), partnerstwa lub podobnej umowy przez Spółkę lub podmiot z Grupy;</w:t>
      </w:r>
    </w:p>
    <w:p w:rsidR="005E2273" w:rsidRPr="001741BD" w:rsidRDefault="005E2273" w:rsidP="005E2273">
      <w:pPr>
        <w:pStyle w:val="POLMain1"/>
      </w:pPr>
      <w:r w:rsidRPr="001741BD">
        <w:t>zawarcie umowy, zaciągniecie zobowiązania lub zawarcie porozumienia przez Spółkę lub podmiot z Grupy obejmującego zaciągniecie zobowiązania o wartości przekraczającej kwotę 10.000.000 PLN (z wyłączeniem transakcji wewnątrzgrupowych);</w:t>
      </w:r>
    </w:p>
    <w:p w:rsidR="005E2273" w:rsidRPr="001741BD" w:rsidRDefault="005E2273" w:rsidP="005E2273">
      <w:pPr>
        <w:pStyle w:val="POLMain1"/>
      </w:pPr>
      <w:r w:rsidRPr="001741BD">
        <w:t xml:space="preserve">dokonywanie darowizn przez Spółkę lub podmiot z Grupy, za wyjątkiem darowizn na cele charytatywne do łącznej wysokości 100.000 PLN w roku obrotowym, z zastrzeżeniem, że </w:t>
      </w:r>
      <w:r w:rsidRPr="001741BD">
        <w:lastRenderedPageBreak/>
        <w:t>każdorazowo takie darowizny są dokonywane zgodnie z „Polityką darowizn na cele charytatywne” przyjętą przez Spółkę lub podmioty z Grupy;</w:t>
      </w:r>
    </w:p>
    <w:p w:rsidR="005E2273" w:rsidRPr="001741BD" w:rsidRDefault="005E2273" w:rsidP="005E2273">
      <w:pPr>
        <w:pStyle w:val="POLMain1"/>
      </w:pPr>
      <w:r w:rsidRPr="001741BD">
        <w:t>nabywanie wszelkich istotnych praw własności intelektualnej przez Spółkę lub podmiot z Grupy oraz rozporządzanie, ustanawianie obciążeń lub innych praw na rzecz osób trzecich lub udzielanie licencji na korzystanie z jakichkolwiek istotnych praw własności intelektualnej Spółki lub podmiotów z Grupy (za wyjątkiem transakcji wewnątrzgrupowych);</w:t>
      </w:r>
    </w:p>
    <w:p w:rsidR="005E2273" w:rsidRPr="001741BD" w:rsidRDefault="005E2273" w:rsidP="005E2273">
      <w:pPr>
        <w:pStyle w:val="POLMain1"/>
      </w:pPr>
      <w:r w:rsidRPr="001741BD">
        <w:t>uznawanie przez Spółkę lub podmiot z Grupy roszczenia o rekompensatę lub odszkodowanie, którego łączna wartość przekracza 5.000.000 PLN;</w:t>
      </w:r>
    </w:p>
    <w:p w:rsidR="005E2273" w:rsidRPr="001741BD" w:rsidRDefault="005E2273" w:rsidP="005E2273">
      <w:pPr>
        <w:pStyle w:val="POLMain1"/>
      </w:pPr>
      <w:r w:rsidRPr="001741BD">
        <w:t>zawieranie, zmienianie warunków lub rozwiązywanie umowy o pracę z jakimkolwiek pracownikiem Spółki lub podmiotu z Grupy, którego łączne wynagrodzenie w skali roku (z uwzględnieniem wszelkich kwot wypłacanych na podstawie umów o świadczenie usług, premii motywacyjnych, świadczeń i dodatków) przekracza lub można oczekiwać, że przekroczy 1.000.000 PLN rocznie;</w:t>
      </w:r>
    </w:p>
    <w:p w:rsidR="005E2273" w:rsidRPr="001741BD" w:rsidRDefault="005E2273" w:rsidP="005E2273">
      <w:pPr>
        <w:pStyle w:val="POLMain1"/>
      </w:pPr>
      <w:r w:rsidRPr="001741BD">
        <w:t>zawieranie, przedłużanie lub zmienianie umów lub porozumień ze związkami zawodowymi działającymi w Spółce lub podmiocie z Grupy, za wyjątkiem działań, których podjęcie jest konieczne celem zapewnienia ciągłości działalności grupy kapitałowej Spółki w razie strajku, groźby strajku lub jakiegokolwiek zbiorowego działania pracowników Spółki lub podmiotu z Grupy;</w:t>
      </w:r>
    </w:p>
    <w:p w:rsidR="005E2273" w:rsidRPr="001741BD" w:rsidRDefault="005E2273" w:rsidP="005E2273">
      <w:pPr>
        <w:pStyle w:val="POLMain1"/>
      </w:pPr>
      <w:r w:rsidRPr="001741BD">
        <w:t>inicjowanie lub przeprowadzanie programu zwolnień grupowych w Spółce lub podmiocie z Grupy;</w:t>
      </w:r>
    </w:p>
    <w:p w:rsidR="005E2273" w:rsidRPr="001741BD" w:rsidRDefault="005E2273" w:rsidP="005E2273">
      <w:pPr>
        <w:pStyle w:val="POLMain1"/>
        <w:tabs>
          <w:tab w:val="left" w:pos="6741"/>
        </w:tabs>
      </w:pPr>
      <w:r w:rsidRPr="001741BD">
        <w:t xml:space="preserve">nabywanie przez Spółkę akcji </w:t>
      </w:r>
      <w:r>
        <w:t>własnych w celu ich umorzenia;</w:t>
      </w:r>
      <w:r>
        <w:tab/>
      </w:r>
    </w:p>
    <w:p w:rsidR="005E2273" w:rsidRPr="001741BD" w:rsidRDefault="005E2273" w:rsidP="005E2273">
      <w:pPr>
        <w:pStyle w:val="POLMain1"/>
      </w:pPr>
      <w:r w:rsidRPr="001741BD">
        <w:t>zawieranie przez Spółkę lub podmiot z Grupy transakcji, umowy lub porozumienia z jakimkolwiek organem administracji państwowej, który należy interpretować jako jakikolwiek organ władz ponadnarodowych, krajowych lub lokalnych, jakąkolwiek jego jednostkę organizacyjną, instytucję administracyjną, komisję lub inny organ oraz wszelkie organy quasi-rządowe lub prywatne wykonujące jakąkolwiek funkcję nadzoru, administracji państwowej lub quasi-administracyjną;</w:t>
      </w:r>
    </w:p>
    <w:p w:rsidR="005E2273" w:rsidRPr="001741BD" w:rsidRDefault="005E2273" w:rsidP="005E2273">
      <w:pPr>
        <w:pStyle w:val="POLMain1"/>
      </w:pPr>
      <w:r w:rsidRPr="001741BD">
        <w:t>wyrażanie zgody na wytoczenie, wniesienie, przystąpienie, zawarcie ugody, cofnięcie lub unieważnienie powództwa, postępowania arbitrażowego lub podobnego postępowania spornego oraz zawarcie ugody w sprawie dotyczącej Spółki lub podmiotu z Grupy, w której stroną przeciwną jest jakikolwiek organ administracji państwowej (innej niż w związku z prawem użytkowania wieczystego) lub o wartości sporu (łącznie z wszelkimi innymi powództwami, postępowaniami arbitrażowymi lub podobnymi postępowaniami spornymi w tym samym przedmiocie) przekraczającej 5.000.000 PLN;</w:t>
      </w:r>
    </w:p>
    <w:p w:rsidR="005E2273" w:rsidRPr="001741BD" w:rsidRDefault="005E2273" w:rsidP="005E2273">
      <w:pPr>
        <w:pStyle w:val="POLMain1"/>
      </w:pPr>
      <w:r w:rsidRPr="001741BD">
        <w:t xml:space="preserve">sprzedaż przez Spółkę lub podmiot z Grupy, dzierżawa lub wynajęcie jednemu podmiotowi, w ramach jednej lub kilku transakcji, powierzchni w której wartość lokalu stanowiącego </w:t>
      </w:r>
      <w:r w:rsidRPr="001741BD">
        <w:lastRenderedPageBreak/>
        <w:t>przedmiot sprzedaży, dzierżawy lub wynajmu wynosi więcej niż 10.000.000 PLN (z wyłączeniem transakcji wewnątrzgrupowych);</w:t>
      </w:r>
    </w:p>
    <w:p w:rsidR="005E2273" w:rsidRPr="001741BD" w:rsidRDefault="005E2273" w:rsidP="005E2273">
      <w:pPr>
        <w:pStyle w:val="POLMain1"/>
      </w:pPr>
      <w:r w:rsidRPr="001741BD">
        <w:t>zawarcie umowy lub porozumienia w celu wykonania lub podjęcia się wykonania jakichkolwiek działań wymienionych w powyższych punktach niniejszego §17.2; oraz</w:t>
      </w:r>
    </w:p>
    <w:p w:rsidR="005E2273" w:rsidRPr="001741BD" w:rsidRDefault="005E2273" w:rsidP="005E2273">
      <w:pPr>
        <w:pStyle w:val="POLBodyText"/>
      </w:pPr>
      <w:r w:rsidRPr="002B2F40">
        <w:rPr>
          <w:rFonts w:eastAsiaTheme="minorEastAsia"/>
        </w:rPr>
        <w:t>w celu wykonania powyższych czynności Rada Nadzorcza może badać wszystkie dokumenty, żądać od Zarządu i pracowników Spółki sprawozdań i wyjaśnień oraz doko</w:t>
      </w:r>
      <w:r>
        <w:rPr>
          <w:rFonts w:eastAsiaTheme="minorEastAsia"/>
        </w:rPr>
        <w:t>nywać rewizji majątku Spółki.</w:t>
      </w:r>
      <w:bookmarkEnd w:id="2"/>
      <w:r>
        <w:rPr>
          <w:rFonts w:eastAsiaTheme="minorEastAsia"/>
        </w:rPr>
        <w:t>”</w:t>
      </w:r>
    </w:p>
    <w:p w:rsidR="005E2273" w:rsidRDefault="005E2273"/>
    <w:sectPr w:rsidR="005E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12D7"/>
    <w:multiLevelType w:val="multilevel"/>
    <w:tmpl w:val="D4C29FD4"/>
    <w:name w:val="GT"/>
    <w:lvl w:ilvl="0">
      <w:start w:val="1"/>
      <w:numFmt w:val="upperRoman"/>
      <w:pStyle w:val="GTHeading1"/>
      <w:lvlText w:val="%1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THeading2"/>
      <w:suff w:val="nothing"/>
      <w:lvlText w:val="§%2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THeading3"/>
      <w:lvlText w:val="%3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GTHeading4"/>
      <w:isLgl/>
      <w:lvlText w:val="%3.%4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GTHeading5"/>
      <w:lvlText w:val="(%5)"/>
      <w:lvlJc w:val="left"/>
      <w:pPr>
        <w:tabs>
          <w:tab w:val="num" w:pos="0"/>
        </w:tabs>
        <w:ind w:left="14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GTHeading6"/>
      <w:lvlText w:val="(%6)"/>
      <w:lvlJc w:val="left"/>
      <w:pPr>
        <w:tabs>
          <w:tab w:val="num" w:pos="0"/>
        </w:tabs>
        <w:ind w:left="212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GTHeading7"/>
      <w:lvlText w:val="(%7)"/>
      <w:lvlJc w:val="left"/>
      <w:pPr>
        <w:tabs>
          <w:tab w:val="num" w:pos="0"/>
        </w:tabs>
        <w:ind w:left="282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GTHeading8"/>
      <w:lvlText w:val="(%8)"/>
      <w:lvlJc w:val="left"/>
      <w:pPr>
        <w:tabs>
          <w:tab w:val="num" w:pos="0"/>
        </w:tabs>
        <w:ind w:left="354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GTHeading9"/>
      <w:lvlText w:val=""/>
      <w:lvlJc w:val="left"/>
      <w:pPr>
        <w:tabs>
          <w:tab w:val="num" w:pos="0"/>
        </w:tabs>
        <w:ind w:left="4380" w:hanging="7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A8A74DB"/>
    <w:multiLevelType w:val="multilevel"/>
    <w:tmpl w:val="B7385C90"/>
    <w:name w:val="POL Main"/>
    <w:lvl w:ilvl="0">
      <w:start w:val="1"/>
      <w:numFmt w:val="decimal"/>
      <w:pStyle w:val="POLMain1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OLMain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OLMain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pStyle w:val="POLMain4"/>
      <w:lvlText w:val="%4)"/>
      <w:lvlJc w:val="left"/>
      <w:pPr>
        <w:ind w:left="1559" w:hanging="708"/>
      </w:pPr>
      <w:rPr>
        <w:rFonts w:hint="default"/>
      </w:rPr>
    </w:lvl>
    <w:lvl w:ilvl="4">
      <w:start w:val="1"/>
      <w:numFmt w:val="lowerRoman"/>
      <w:pStyle w:val="POLMain5"/>
      <w:lvlText w:val="(%5)"/>
      <w:lvlJc w:val="left"/>
      <w:pPr>
        <w:ind w:left="2268" w:hanging="709"/>
      </w:pPr>
      <w:rPr>
        <w:rFonts w:hint="default"/>
      </w:rPr>
    </w:lvl>
    <w:lvl w:ilvl="5">
      <w:start w:val="1"/>
      <w:numFmt w:val="decimal"/>
      <w:pStyle w:val="POLMain6"/>
      <w:lvlText w:val="(%6)"/>
      <w:lvlJc w:val="left"/>
      <w:pPr>
        <w:ind w:left="2977" w:hanging="709"/>
      </w:pPr>
      <w:rPr>
        <w:rFonts w:hint="default"/>
      </w:rPr>
    </w:lvl>
    <w:lvl w:ilvl="6">
      <w:start w:val="1"/>
      <w:numFmt w:val="lowerLetter"/>
      <w:pStyle w:val="POLMain7"/>
      <w:lvlText w:val="%7)"/>
      <w:lvlJc w:val="left"/>
      <w:pPr>
        <w:ind w:left="3686" w:hanging="709"/>
      </w:pPr>
      <w:rPr>
        <w:rFonts w:hint="default"/>
      </w:rPr>
    </w:lvl>
    <w:lvl w:ilvl="7">
      <w:start w:val="1"/>
      <w:numFmt w:val="lowerRoman"/>
      <w:pStyle w:val="POLMain8"/>
      <w:lvlText w:val="%8)"/>
      <w:lvlJc w:val="left"/>
      <w:pPr>
        <w:ind w:left="4394" w:hanging="708"/>
      </w:pPr>
      <w:rPr>
        <w:rFonts w:hint="default"/>
      </w:rPr>
    </w:lvl>
    <w:lvl w:ilvl="8">
      <w:start w:val="1"/>
      <w:numFmt w:val="decimal"/>
      <w:pStyle w:val="POLMain9"/>
      <w:lvlText w:val="%9)"/>
      <w:lvlJc w:val="left"/>
      <w:pPr>
        <w:ind w:left="5103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73"/>
    <w:rsid w:val="005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4D0"/>
  <w15:chartTrackingRefBased/>
  <w15:docId w15:val="{515C9F55-24ED-4363-BB49-67B67EF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273"/>
    <w:pPr>
      <w:spacing w:after="0" w:line="360" w:lineRule="auto"/>
      <w:jc w:val="both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TBodyText">
    <w:name w:val="GT Body Text"/>
    <w:basedOn w:val="Normalny"/>
    <w:link w:val="GTBodyTextChar"/>
    <w:rsid w:val="005E2273"/>
  </w:style>
  <w:style w:type="character" w:customStyle="1" w:styleId="GTBodyTextChar">
    <w:name w:val="GT Body Text Char"/>
    <w:basedOn w:val="Domylnaczcionkaakapitu"/>
    <w:link w:val="GTBodyText"/>
    <w:rsid w:val="005E2273"/>
    <w:rPr>
      <w:rFonts w:ascii="Times New Roman" w:hAnsi="Times New Roman"/>
      <w:szCs w:val="24"/>
    </w:rPr>
  </w:style>
  <w:style w:type="paragraph" w:customStyle="1" w:styleId="GTHeading1">
    <w:name w:val="GT Heading 1"/>
    <w:basedOn w:val="Normalny"/>
    <w:next w:val="Normalny"/>
    <w:rsid w:val="005E2273"/>
    <w:pPr>
      <w:keepNext/>
      <w:keepLines/>
      <w:numPr>
        <w:numId w:val="1"/>
      </w:numPr>
      <w:tabs>
        <w:tab w:val="clear" w:pos="0"/>
      </w:tabs>
      <w:outlineLvl w:val="0"/>
    </w:pPr>
    <w:rPr>
      <w:b/>
      <w:caps/>
    </w:rPr>
  </w:style>
  <w:style w:type="paragraph" w:customStyle="1" w:styleId="GTHeading2">
    <w:name w:val="GT Heading 2"/>
    <w:basedOn w:val="Normalny"/>
    <w:next w:val="Normalny"/>
    <w:rsid w:val="005E2273"/>
    <w:pPr>
      <w:keepNext/>
      <w:keepLines/>
      <w:numPr>
        <w:ilvl w:val="1"/>
        <w:numId w:val="1"/>
      </w:numPr>
      <w:tabs>
        <w:tab w:val="clear" w:pos="0"/>
      </w:tabs>
      <w:jc w:val="center"/>
      <w:outlineLvl w:val="1"/>
    </w:pPr>
    <w:rPr>
      <w:b/>
      <w:caps/>
    </w:rPr>
  </w:style>
  <w:style w:type="paragraph" w:customStyle="1" w:styleId="GTHeading3">
    <w:name w:val="GT Heading 3"/>
    <w:basedOn w:val="Normalny"/>
    <w:next w:val="Normalny"/>
    <w:rsid w:val="005E2273"/>
    <w:pPr>
      <w:numPr>
        <w:ilvl w:val="2"/>
        <w:numId w:val="1"/>
      </w:numPr>
      <w:tabs>
        <w:tab w:val="clear" w:pos="0"/>
      </w:tabs>
      <w:outlineLvl w:val="2"/>
    </w:pPr>
  </w:style>
  <w:style w:type="paragraph" w:customStyle="1" w:styleId="GTHeading4">
    <w:name w:val="GT Heading 4"/>
    <w:basedOn w:val="Normalny"/>
    <w:next w:val="Normalny"/>
    <w:rsid w:val="005E2273"/>
    <w:pPr>
      <w:numPr>
        <w:ilvl w:val="3"/>
        <w:numId w:val="1"/>
      </w:numPr>
      <w:tabs>
        <w:tab w:val="clear" w:pos="0"/>
      </w:tabs>
      <w:outlineLvl w:val="3"/>
    </w:pPr>
  </w:style>
  <w:style w:type="paragraph" w:customStyle="1" w:styleId="GTHeading5">
    <w:name w:val="GT Heading 5"/>
    <w:basedOn w:val="Normalny"/>
    <w:next w:val="Normalny"/>
    <w:link w:val="GTHeading5Char"/>
    <w:rsid w:val="005E2273"/>
    <w:pPr>
      <w:numPr>
        <w:ilvl w:val="4"/>
        <w:numId w:val="1"/>
      </w:numPr>
      <w:tabs>
        <w:tab w:val="clear" w:pos="0"/>
      </w:tabs>
      <w:outlineLvl w:val="4"/>
    </w:pPr>
  </w:style>
  <w:style w:type="character" w:customStyle="1" w:styleId="GTHeading5Char">
    <w:name w:val="GT Heading 5 Char"/>
    <w:basedOn w:val="Domylnaczcionkaakapitu"/>
    <w:link w:val="GTHeading5"/>
    <w:rsid w:val="005E2273"/>
    <w:rPr>
      <w:rFonts w:ascii="Times New Roman" w:hAnsi="Times New Roman"/>
      <w:szCs w:val="24"/>
    </w:rPr>
  </w:style>
  <w:style w:type="paragraph" w:customStyle="1" w:styleId="GTHeading6">
    <w:name w:val="GT Heading 6"/>
    <w:basedOn w:val="Normalny"/>
    <w:next w:val="Normalny"/>
    <w:rsid w:val="005E2273"/>
    <w:pPr>
      <w:numPr>
        <w:ilvl w:val="5"/>
        <w:numId w:val="1"/>
      </w:numPr>
      <w:tabs>
        <w:tab w:val="clear" w:pos="0"/>
      </w:tabs>
      <w:outlineLvl w:val="5"/>
    </w:pPr>
  </w:style>
  <w:style w:type="paragraph" w:customStyle="1" w:styleId="GTHeading7">
    <w:name w:val="GT Heading 7"/>
    <w:basedOn w:val="Normalny"/>
    <w:next w:val="Normalny"/>
    <w:rsid w:val="005E2273"/>
    <w:pPr>
      <w:numPr>
        <w:ilvl w:val="6"/>
        <w:numId w:val="1"/>
      </w:numPr>
      <w:tabs>
        <w:tab w:val="clear" w:pos="0"/>
      </w:tabs>
      <w:outlineLvl w:val="6"/>
    </w:pPr>
  </w:style>
  <w:style w:type="paragraph" w:customStyle="1" w:styleId="GTHeading8">
    <w:name w:val="GT Heading 8"/>
    <w:basedOn w:val="Normalny"/>
    <w:next w:val="Normalny"/>
    <w:rsid w:val="005E2273"/>
    <w:pPr>
      <w:numPr>
        <w:ilvl w:val="7"/>
        <w:numId w:val="1"/>
      </w:numPr>
      <w:tabs>
        <w:tab w:val="clear" w:pos="0"/>
      </w:tabs>
      <w:outlineLvl w:val="7"/>
    </w:pPr>
  </w:style>
  <w:style w:type="paragraph" w:customStyle="1" w:styleId="GTHeading9">
    <w:name w:val="GT Heading 9"/>
    <w:basedOn w:val="Normalny"/>
    <w:next w:val="Normalny"/>
    <w:rsid w:val="005E2273"/>
    <w:pPr>
      <w:numPr>
        <w:ilvl w:val="8"/>
        <w:numId w:val="1"/>
      </w:numPr>
      <w:tabs>
        <w:tab w:val="clear" w:pos="0"/>
      </w:tabs>
      <w:outlineLvl w:val="8"/>
    </w:pPr>
  </w:style>
  <w:style w:type="paragraph" w:customStyle="1" w:styleId="POLMain1">
    <w:name w:val="POL Main 1"/>
    <w:basedOn w:val="Normalny"/>
    <w:next w:val="Normalny"/>
    <w:link w:val="POLMain1Char"/>
    <w:rsid w:val="005E2273"/>
    <w:pPr>
      <w:numPr>
        <w:numId w:val="2"/>
      </w:numPr>
      <w:tabs>
        <w:tab w:val="right" w:leader="hyphen" w:pos="9072"/>
      </w:tabs>
      <w:ind w:hanging="567"/>
      <w:outlineLvl w:val="0"/>
    </w:pPr>
  </w:style>
  <w:style w:type="paragraph" w:customStyle="1" w:styleId="POLMain2">
    <w:name w:val="POL Main 2"/>
    <w:basedOn w:val="Normalny"/>
    <w:next w:val="Normalny"/>
    <w:rsid w:val="005E2273"/>
    <w:pPr>
      <w:numPr>
        <w:ilvl w:val="1"/>
        <w:numId w:val="2"/>
      </w:numPr>
      <w:outlineLvl w:val="1"/>
    </w:pPr>
  </w:style>
  <w:style w:type="paragraph" w:customStyle="1" w:styleId="POLMain3">
    <w:name w:val="POL Main 3"/>
    <w:basedOn w:val="Normalny"/>
    <w:next w:val="Normalny"/>
    <w:rsid w:val="005E2273"/>
    <w:pPr>
      <w:numPr>
        <w:ilvl w:val="2"/>
        <w:numId w:val="2"/>
      </w:numPr>
      <w:outlineLvl w:val="2"/>
    </w:pPr>
  </w:style>
  <w:style w:type="paragraph" w:customStyle="1" w:styleId="POLMain4">
    <w:name w:val="POL Main 4"/>
    <w:basedOn w:val="Normalny"/>
    <w:next w:val="Normalny"/>
    <w:rsid w:val="005E2273"/>
    <w:pPr>
      <w:numPr>
        <w:ilvl w:val="3"/>
        <w:numId w:val="2"/>
      </w:numPr>
      <w:tabs>
        <w:tab w:val="right" w:leader="hyphen" w:pos="9072"/>
      </w:tabs>
      <w:ind w:left="1560" w:hanging="709"/>
      <w:outlineLvl w:val="3"/>
    </w:pPr>
  </w:style>
  <w:style w:type="paragraph" w:customStyle="1" w:styleId="POLMain5">
    <w:name w:val="POL Main 5"/>
    <w:basedOn w:val="Normalny"/>
    <w:next w:val="Normalny"/>
    <w:rsid w:val="005E2273"/>
    <w:pPr>
      <w:numPr>
        <w:ilvl w:val="4"/>
        <w:numId w:val="2"/>
      </w:numPr>
      <w:outlineLvl w:val="4"/>
    </w:pPr>
  </w:style>
  <w:style w:type="paragraph" w:customStyle="1" w:styleId="POLMain6">
    <w:name w:val="POL Main 6"/>
    <w:basedOn w:val="Normalny"/>
    <w:next w:val="Normalny"/>
    <w:rsid w:val="005E2273"/>
    <w:pPr>
      <w:numPr>
        <w:ilvl w:val="5"/>
        <w:numId w:val="2"/>
      </w:numPr>
      <w:outlineLvl w:val="5"/>
    </w:pPr>
  </w:style>
  <w:style w:type="paragraph" w:customStyle="1" w:styleId="POLMain7">
    <w:name w:val="POL Main 7"/>
    <w:basedOn w:val="Normalny"/>
    <w:next w:val="Normalny"/>
    <w:rsid w:val="005E2273"/>
    <w:pPr>
      <w:numPr>
        <w:ilvl w:val="6"/>
        <w:numId w:val="2"/>
      </w:numPr>
      <w:outlineLvl w:val="6"/>
    </w:pPr>
  </w:style>
  <w:style w:type="paragraph" w:customStyle="1" w:styleId="POLMain8">
    <w:name w:val="POL Main 8"/>
    <w:basedOn w:val="Normalny"/>
    <w:next w:val="Normalny"/>
    <w:rsid w:val="005E2273"/>
    <w:pPr>
      <w:numPr>
        <w:ilvl w:val="7"/>
        <w:numId w:val="2"/>
      </w:numPr>
      <w:outlineLvl w:val="7"/>
    </w:pPr>
  </w:style>
  <w:style w:type="paragraph" w:customStyle="1" w:styleId="POLMain9">
    <w:name w:val="POL Main 9"/>
    <w:basedOn w:val="Normalny"/>
    <w:next w:val="Normalny"/>
    <w:rsid w:val="005E2273"/>
    <w:pPr>
      <w:numPr>
        <w:ilvl w:val="8"/>
        <w:numId w:val="2"/>
      </w:numPr>
      <w:outlineLvl w:val="8"/>
    </w:pPr>
  </w:style>
  <w:style w:type="character" w:customStyle="1" w:styleId="POLMain1Char">
    <w:name w:val="POL Main 1 Char"/>
    <w:link w:val="POLMain1"/>
    <w:rsid w:val="005E2273"/>
    <w:rPr>
      <w:rFonts w:ascii="Times New Roman" w:hAnsi="Times New Roman"/>
      <w:szCs w:val="24"/>
    </w:rPr>
  </w:style>
  <w:style w:type="paragraph" w:customStyle="1" w:styleId="POLBodyText">
    <w:name w:val="POL Body Text"/>
    <w:basedOn w:val="Normalny"/>
    <w:link w:val="POLBodyTextChar"/>
    <w:rsid w:val="005E2273"/>
    <w:pPr>
      <w:tabs>
        <w:tab w:val="right" w:leader="hyphen" w:pos="9072"/>
      </w:tabs>
    </w:pPr>
    <w:rPr>
      <w:rFonts w:eastAsia="Times New Roman" w:cs="Times New Roman"/>
      <w:szCs w:val="22"/>
      <w:lang w:eastAsia="pl-PL"/>
    </w:rPr>
  </w:style>
  <w:style w:type="character" w:customStyle="1" w:styleId="POLBodyTextChar">
    <w:name w:val="POL Body Text Char"/>
    <w:link w:val="POLBodyText"/>
    <w:rsid w:val="005E227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3525</Words>
  <Characters>21152</Characters>
  <Application>Microsoft Office Word</Application>
  <DocSecurity>0</DocSecurity>
  <Lines>176</Lines>
  <Paragraphs>49</Paragraphs>
  <ScaleCrop>false</ScaleCrop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Palaszewska</dc:creator>
  <cp:keywords/>
  <dc:description/>
  <cp:lastModifiedBy>Lidia Palaszewska</cp:lastModifiedBy>
  <cp:revision>1</cp:revision>
  <dcterms:created xsi:type="dcterms:W3CDTF">2018-10-18T08:17:00Z</dcterms:created>
  <dcterms:modified xsi:type="dcterms:W3CDTF">2018-10-18T08:19:00Z</dcterms:modified>
</cp:coreProperties>
</file>