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BE" w:rsidRPr="00794C12" w:rsidRDefault="00C06EBE" w:rsidP="00C06EBE">
      <w:pPr>
        <w:jc w:val="both"/>
        <w:rPr>
          <w:rFonts w:asciiTheme="majorHAnsi" w:hAnsiTheme="majorHAnsi"/>
          <w:sz w:val="24"/>
          <w:szCs w:val="24"/>
        </w:rPr>
      </w:pPr>
      <w:r w:rsidRPr="00794C12">
        <w:rPr>
          <w:rFonts w:asciiTheme="majorHAnsi" w:hAnsiTheme="majorHAnsi"/>
          <w:b/>
          <w:noProof/>
          <w:color w:val="ADAFB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F502FE" wp14:editId="44808C0F">
                <wp:simplePos x="0" y="0"/>
                <wp:positionH relativeFrom="column">
                  <wp:posOffset>21590</wp:posOffset>
                </wp:positionH>
                <wp:positionV relativeFrom="paragraph">
                  <wp:posOffset>80645</wp:posOffset>
                </wp:positionV>
                <wp:extent cx="2095500" cy="4572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EBE" w:rsidRDefault="00C06EBE" w:rsidP="00C06EBE">
                            <w:pPr>
                              <w:rPr>
                                <w:rFonts w:ascii="Arial" w:hAnsi="Arial" w:cs="Arial"/>
                                <w:color w:val="ADAFB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INFORMACJA PRA</w:t>
                            </w:r>
                            <w:r w:rsidRPr="00C66D2A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SOWA</w:t>
                            </w:r>
                            <w:r w:rsidRPr="00C66D2A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br/>
                            </w:r>
                            <w:r w:rsidR="008C7A7F">
                              <w:rPr>
                                <w:rFonts w:ascii="Arial" w:hAnsi="Arial" w:cs="Arial"/>
                                <w:color w:val="ADAFB2"/>
                              </w:rPr>
                              <w:t>28.02.2019</w:t>
                            </w:r>
                          </w:p>
                          <w:p w:rsidR="00FF1EAD" w:rsidRPr="00D6725B" w:rsidRDefault="00FF1EAD" w:rsidP="00C06EBE">
                            <w:pPr>
                              <w:rPr>
                                <w:rFonts w:ascii="Arial" w:hAnsi="Arial" w:cs="Arial"/>
                                <w:color w:val="ADAFB2"/>
                              </w:rPr>
                            </w:pPr>
                          </w:p>
                          <w:p w:rsidR="00C06EBE" w:rsidRPr="00C66D2A" w:rsidRDefault="00C06EBE" w:rsidP="00C06EBE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502FE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.7pt;margin-top:6.35pt;width:16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" filled="f" stroked="f">
                <v:textbox inset="0,0,0,0">
                  <w:txbxContent>
                    <w:p w:rsidR="00C06EBE" w:rsidRDefault="00C06EBE" w:rsidP="00C06EBE">
                      <w:pPr>
                        <w:rPr>
                          <w:rFonts w:ascii="Arial" w:hAnsi="Arial" w:cs="Arial"/>
                          <w:color w:val="ADAFB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DAFB2"/>
                        </w:rPr>
                        <w:t>INFORMACJA PRA</w:t>
                      </w:r>
                      <w:r w:rsidRPr="00C66D2A">
                        <w:rPr>
                          <w:rFonts w:ascii="Arial" w:hAnsi="Arial" w:cs="Arial"/>
                          <w:b/>
                          <w:color w:val="ADAFB2"/>
                        </w:rPr>
                        <w:t>SOWA</w:t>
                      </w:r>
                      <w:r w:rsidRPr="00C66D2A">
                        <w:rPr>
                          <w:rFonts w:ascii="Arial" w:hAnsi="Arial" w:cs="Arial"/>
                          <w:b/>
                          <w:color w:val="ADAFB2"/>
                        </w:rPr>
                        <w:br/>
                      </w:r>
                      <w:r w:rsidR="008C7A7F">
                        <w:rPr>
                          <w:rFonts w:ascii="Arial" w:hAnsi="Arial" w:cs="Arial"/>
                          <w:color w:val="ADAFB2"/>
                        </w:rPr>
                        <w:t>28.02.2019</w:t>
                      </w:r>
                    </w:p>
                    <w:p w:rsidR="00FF1EAD" w:rsidRPr="00D6725B" w:rsidRDefault="00FF1EAD" w:rsidP="00C06EBE">
                      <w:pPr>
                        <w:rPr>
                          <w:rFonts w:ascii="Arial" w:hAnsi="Arial" w:cs="Arial"/>
                          <w:color w:val="ADAFB2"/>
                        </w:rPr>
                      </w:pPr>
                    </w:p>
                    <w:p w:rsidR="00C06EBE" w:rsidRPr="00C66D2A" w:rsidRDefault="00C06EBE" w:rsidP="00C06EBE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0A1657" w:rsidRDefault="00C06EBE" w:rsidP="00561FFC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94C12">
        <w:rPr>
          <w:rFonts w:asciiTheme="majorHAnsi" w:hAnsiTheme="majorHAnsi"/>
          <w:b/>
          <w:noProof/>
          <w:color w:val="ADAFB2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28A07B9" wp14:editId="545709BD">
            <wp:simplePos x="0" y="0"/>
            <wp:positionH relativeFrom="column">
              <wp:posOffset>-2018030</wp:posOffset>
            </wp:positionH>
            <wp:positionV relativeFrom="paragraph">
              <wp:posOffset>-450850</wp:posOffset>
            </wp:positionV>
            <wp:extent cx="1070610" cy="1024255"/>
            <wp:effectExtent l="0" t="0" r="0" b="4445"/>
            <wp:wrapNone/>
            <wp:docPr id="11" name="Obraz 11" descr="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FFC" w:rsidRPr="000A1657" w:rsidRDefault="00561FFC" w:rsidP="00561FFC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C7A7F" w:rsidRPr="008C7A7F" w:rsidRDefault="008C7A7F" w:rsidP="008C7A7F">
      <w:pPr>
        <w:tabs>
          <w:tab w:val="left" w:pos="8460"/>
        </w:tabs>
        <w:spacing w:after="0" w:line="240" w:lineRule="auto"/>
        <w:ind w:right="-56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8C7A7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Komunikat w sprawie szacunkowego wykonania budżetu państwa</w:t>
      </w:r>
    </w:p>
    <w:p w:rsidR="008C7A7F" w:rsidRPr="008C7A7F" w:rsidRDefault="008C7A7F" w:rsidP="008C7A7F">
      <w:pPr>
        <w:tabs>
          <w:tab w:val="left" w:pos="8460"/>
        </w:tabs>
        <w:spacing w:after="0" w:line="240" w:lineRule="auto"/>
        <w:ind w:right="-56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8C7A7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po styczniu 2019 r.</w:t>
      </w:r>
    </w:p>
    <w:p w:rsidR="008C7A7F" w:rsidRPr="008C7A7F" w:rsidRDefault="008C7A7F" w:rsidP="008C7A7F">
      <w:pPr>
        <w:tabs>
          <w:tab w:val="left" w:pos="8460"/>
        </w:tabs>
        <w:spacing w:after="0" w:line="240" w:lineRule="auto"/>
        <w:ind w:right="-56"/>
        <w:jc w:val="center"/>
        <w:rPr>
          <w:rFonts w:ascii="Cambria" w:eastAsia="Times New Roman" w:hAnsi="Cambria" w:cs="Arial"/>
          <w:b/>
          <w:bCs/>
          <w:color w:val="0070C0"/>
          <w:sz w:val="24"/>
          <w:szCs w:val="24"/>
          <w:lang w:eastAsia="pl-PL"/>
        </w:rPr>
      </w:pPr>
    </w:p>
    <w:p w:rsidR="008C7A7F" w:rsidRPr="008C7A7F" w:rsidRDefault="008C7A7F" w:rsidP="008C7A7F">
      <w:pPr>
        <w:tabs>
          <w:tab w:val="left" w:pos="2880"/>
          <w:tab w:val="left" w:pos="10260"/>
        </w:tabs>
        <w:spacing w:before="120" w:after="240" w:line="240" w:lineRule="auto"/>
        <w:ind w:left="720" w:right="-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C7A7F">
        <w:rPr>
          <w:rFonts w:ascii="Cambria" w:eastAsia="Times New Roman" w:hAnsi="Cambria" w:cs="Arial"/>
          <w:b/>
          <w:sz w:val="24"/>
          <w:szCs w:val="24"/>
          <w:lang w:eastAsia="pl-PL"/>
        </w:rPr>
        <w:t>Szacunkowe wykonanie budżetu państwa po styczniu 2019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 </w:t>
      </w:r>
      <w:r w:rsidRPr="008C7A7F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r. </w:t>
      </w:r>
      <w:r w:rsidRPr="008C7A7F">
        <w:rPr>
          <w:rFonts w:ascii="Cambria" w:eastAsia="Times New Roman" w:hAnsi="Cambria" w:cs="Arial"/>
          <w:sz w:val="24"/>
          <w:szCs w:val="24"/>
          <w:lang w:eastAsia="pl-PL"/>
        </w:rPr>
        <w:t xml:space="preserve">w stosunku do ustawy budżetowej na 2019 r. wyniosło: </w:t>
      </w:r>
    </w:p>
    <w:tbl>
      <w:tblPr>
        <w:tblW w:w="6304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1805"/>
        <w:gridCol w:w="314"/>
        <w:gridCol w:w="1178"/>
        <w:gridCol w:w="1088"/>
        <w:gridCol w:w="469"/>
        <w:gridCol w:w="865"/>
        <w:gridCol w:w="585"/>
      </w:tblGrid>
      <w:tr w:rsidR="008C7A7F" w:rsidRPr="008C7A7F" w:rsidTr="005B51C4">
        <w:trPr>
          <w:trHeight w:hRule="exact" w:val="397"/>
          <w:jc w:val="center"/>
        </w:trPr>
        <w:tc>
          <w:tcPr>
            <w:tcW w:w="18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left="-134" w:right="-236" w:firstLine="674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7A7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3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57" w:firstLine="540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57" w:firstLine="296"/>
              <w:jc w:val="right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7A7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38,7</w:t>
            </w:r>
          </w:p>
        </w:tc>
        <w:tc>
          <w:tcPr>
            <w:tcW w:w="10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57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7A7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mld zł,</w:t>
            </w:r>
          </w:p>
        </w:tc>
        <w:tc>
          <w:tcPr>
            <w:tcW w:w="4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57" w:firstLine="29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7A7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tj.</w:t>
            </w:r>
          </w:p>
        </w:tc>
        <w:tc>
          <w:tcPr>
            <w:tcW w:w="8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46" w:firstLine="33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7A7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10,0</w:t>
            </w:r>
          </w:p>
        </w:tc>
        <w:tc>
          <w:tcPr>
            <w:tcW w:w="5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57" w:hanging="62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7A7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%</w:t>
            </w:r>
          </w:p>
        </w:tc>
      </w:tr>
      <w:tr w:rsidR="008C7A7F" w:rsidRPr="008C7A7F" w:rsidTr="005B51C4">
        <w:trPr>
          <w:trHeight w:hRule="exact" w:val="397"/>
          <w:jc w:val="center"/>
        </w:trPr>
        <w:tc>
          <w:tcPr>
            <w:tcW w:w="18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57" w:firstLine="540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7A7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3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57" w:firstLine="540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57" w:firstLine="296"/>
              <w:jc w:val="right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7A7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32,1</w:t>
            </w:r>
          </w:p>
        </w:tc>
        <w:tc>
          <w:tcPr>
            <w:tcW w:w="10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57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7A7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mld zł,</w:t>
            </w:r>
          </w:p>
        </w:tc>
        <w:tc>
          <w:tcPr>
            <w:tcW w:w="4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57" w:firstLine="29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7A7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tj.</w:t>
            </w:r>
          </w:p>
        </w:tc>
        <w:tc>
          <w:tcPr>
            <w:tcW w:w="8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57" w:firstLine="33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7A7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 7,7</w:t>
            </w:r>
          </w:p>
        </w:tc>
        <w:tc>
          <w:tcPr>
            <w:tcW w:w="5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57" w:hanging="62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7A7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%</w:t>
            </w:r>
          </w:p>
        </w:tc>
      </w:tr>
      <w:tr w:rsidR="008C7A7F" w:rsidRPr="008C7A7F" w:rsidTr="005B51C4">
        <w:trPr>
          <w:trHeight w:hRule="exact" w:val="397"/>
          <w:jc w:val="center"/>
        </w:trPr>
        <w:tc>
          <w:tcPr>
            <w:tcW w:w="18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57" w:firstLine="540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7A7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nadwyżka</w:t>
            </w:r>
          </w:p>
        </w:tc>
        <w:tc>
          <w:tcPr>
            <w:tcW w:w="3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57" w:firstLine="540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57"/>
              <w:jc w:val="right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7A7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6,6</w:t>
            </w:r>
          </w:p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57"/>
              <w:jc w:val="right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57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7A7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mld zł</w:t>
            </w:r>
          </w:p>
        </w:tc>
        <w:tc>
          <w:tcPr>
            <w:tcW w:w="4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57" w:firstLine="29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57" w:firstLine="33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7A7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5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C7A7F" w:rsidRPr="008C7A7F" w:rsidRDefault="008C7A7F" w:rsidP="008C7A7F">
            <w:pPr>
              <w:tabs>
                <w:tab w:val="left" w:pos="8460"/>
              </w:tabs>
              <w:spacing w:after="0"/>
              <w:ind w:right="-57" w:hanging="62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</w:tbl>
    <w:p w:rsidR="008C7A7F" w:rsidRPr="008C7A7F" w:rsidRDefault="008C7A7F" w:rsidP="008C7A7F">
      <w:pPr>
        <w:tabs>
          <w:tab w:val="left" w:pos="2880"/>
          <w:tab w:val="left" w:pos="10260"/>
        </w:tabs>
        <w:spacing w:before="120" w:after="240" w:line="240" w:lineRule="auto"/>
        <w:ind w:right="-57" w:firstLine="284"/>
        <w:jc w:val="center"/>
        <w:rPr>
          <w:rFonts w:ascii="Cambria" w:eastAsia="Cambria" w:hAnsi="Cambria" w:cs="Arial"/>
          <w:bCs/>
          <w:color w:val="0070C0"/>
          <w:sz w:val="24"/>
        </w:rPr>
      </w:pPr>
      <w:r w:rsidRPr="008C7A7F">
        <w:rPr>
          <w:rFonts w:ascii="Cambria" w:eastAsia="Times New Roman" w:hAnsi="Cambria" w:cs="Arial"/>
          <w:noProof/>
          <w:sz w:val="28"/>
          <w:szCs w:val="24"/>
          <w:lang w:eastAsia="pl-PL"/>
        </w:rPr>
        <w:drawing>
          <wp:inline distT="0" distB="0" distL="0" distR="0" wp14:anchorId="624035CA" wp14:editId="545C6D55">
            <wp:extent cx="4476750" cy="40628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5568" cy="407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A7F" w:rsidRDefault="008C7A7F" w:rsidP="008C7A7F">
      <w:pPr>
        <w:autoSpaceDE w:val="0"/>
        <w:autoSpaceDN w:val="0"/>
        <w:adjustRightInd w:val="0"/>
        <w:spacing w:before="120" w:after="120" w:line="240" w:lineRule="auto"/>
        <w:ind w:left="357"/>
        <w:contextualSpacing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8C7A7F">
        <w:rPr>
          <w:rFonts w:ascii="Cambria" w:eastAsia="Times New Roman" w:hAnsi="Cambria" w:cs="Arial"/>
          <w:b/>
          <w:sz w:val="24"/>
          <w:szCs w:val="24"/>
          <w:lang w:eastAsia="pl-PL"/>
        </w:rPr>
        <w:t>Dochody budżetu państwa po</w:t>
      </w:r>
      <w:r w:rsidRPr="008C7A7F">
        <w:rPr>
          <w:rFonts w:ascii="Cambria" w:eastAsia="Cambria" w:hAnsi="Cambria" w:cs="Times New Roman"/>
          <w:b/>
          <w:sz w:val="24"/>
          <w:szCs w:val="24"/>
        </w:rPr>
        <w:t xml:space="preserve"> styczniu</w:t>
      </w:r>
      <w:r w:rsidRPr="008C7A7F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2019 r.</w:t>
      </w:r>
    </w:p>
    <w:p w:rsidR="008C7A7F" w:rsidRPr="008C7A7F" w:rsidRDefault="008C7A7F" w:rsidP="008C7A7F">
      <w:pPr>
        <w:autoSpaceDE w:val="0"/>
        <w:autoSpaceDN w:val="0"/>
        <w:adjustRightInd w:val="0"/>
        <w:spacing w:before="120" w:after="120" w:line="240" w:lineRule="auto"/>
        <w:ind w:left="357"/>
        <w:contextualSpacing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8C7A7F" w:rsidRPr="008C7A7F" w:rsidRDefault="008C7A7F" w:rsidP="008C7A7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mbria" w:hAnsi="Cambria" w:cs="Arial"/>
          <w:bCs/>
          <w:sz w:val="24"/>
        </w:rPr>
      </w:pPr>
      <w:r w:rsidRPr="008C7A7F">
        <w:rPr>
          <w:rFonts w:ascii="Cambria" w:eastAsia="Cambria" w:hAnsi="Cambria" w:cs="Arial"/>
          <w:bCs/>
          <w:sz w:val="24"/>
        </w:rPr>
        <w:t>Po styczniu  2019 r. dochody budżetu państwa były wyższe o 3,5 mld zł w porównaniu z tym samym okresem roku ubiegłego. Dochody podatkowe budżetu państwa były wyższe w stosunku do stycznia 2018 r. o ok. 7,9%, tj. ok. 2,6 mld zł.</w:t>
      </w:r>
    </w:p>
    <w:p w:rsidR="008C7A7F" w:rsidRPr="008C7A7F" w:rsidRDefault="008C7A7F" w:rsidP="008C7A7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mbria" w:hAnsi="Cambria" w:cs="Arial"/>
          <w:bCs/>
          <w:sz w:val="24"/>
        </w:rPr>
      </w:pPr>
    </w:p>
    <w:p w:rsidR="008C7A7F" w:rsidRPr="008C7A7F" w:rsidRDefault="008C7A7F" w:rsidP="008C7A7F">
      <w:pPr>
        <w:spacing w:after="0" w:line="240" w:lineRule="auto"/>
        <w:jc w:val="both"/>
        <w:rPr>
          <w:rFonts w:ascii="Cambria" w:eastAsia="Cambria" w:hAnsi="Cambria" w:cs="Arial"/>
          <w:bCs/>
          <w:sz w:val="24"/>
        </w:rPr>
      </w:pPr>
      <w:r w:rsidRPr="008C7A7F">
        <w:rPr>
          <w:rFonts w:ascii="Cambria" w:eastAsia="Cambria" w:hAnsi="Cambria" w:cs="Arial"/>
          <w:bCs/>
          <w:sz w:val="24"/>
        </w:rPr>
        <w:t>W stosunku do analogicznego okresu roku ubiegłego:</w:t>
      </w:r>
    </w:p>
    <w:p w:rsidR="008C7A7F" w:rsidRDefault="008C7A7F" w:rsidP="008C7A7F">
      <w:pPr>
        <w:pStyle w:val="Akapitzlist"/>
        <w:numPr>
          <w:ilvl w:val="0"/>
          <w:numId w:val="12"/>
        </w:numPr>
        <w:jc w:val="both"/>
        <w:rPr>
          <w:rFonts w:ascii="Cambria" w:eastAsia="Cambria" w:hAnsi="Cambria" w:cs="Arial"/>
          <w:bCs/>
        </w:rPr>
      </w:pPr>
      <w:r w:rsidRPr="008C7A7F">
        <w:rPr>
          <w:rFonts w:ascii="Cambria" w:eastAsia="Cambria" w:hAnsi="Cambria" w:cs="Arial"/>
          <w:bCs/>
        </w:rPr>
        <w:lastRenderedPageBreak/>
        <w:t>dochody z podatku VAT były wyższe o 12,6 % r/r (tj. ok. 2,3</w:t>
      </w:r>
      <w:r>
        <w:rPr>
          <w:rFonts w:ascii="Cambria" w:eastAsia="Cambria" w:hAnsi="Cambria" w:cs="Arial"/>
          <w:bCs/>
        </w:rPr>
        <w:t xml:space="preserve"> mld </w:t>
      </w:r>
      <w:r w:rsidRPr="008C7A7F">
        <w:rPr>
          <w:rFonts w:ascii="Cambria" w:eastAsia="Cambria" w:hAnsi="Cambria" w:cs="Arial"/>
          <w:bCs/>
        </w:rPr>
        <w:t xml:space="preserve">zł), </w:t>
      </w:r>
    </w:p>
    <w:p w:rsidR="008C7A7F" w:rsidRDefault="008C7A7F" w:rsidP="008C7A7F">
      <w:pPr>
        <w:pStyle w:val="Akapitzlist"/>
        <w:numPr>
          <w:ilvl w:val="0"/>
          <w:numId w:val="12"/>
        </w:numPr>
        <w:jc w:val="both"/>
        <w:rPr>
          <w:rFonts w:ascii="Cambria" w:eastAsia="Cambria" w:hAnsi="Cambria" w:cs="Arial"/>
          <w:bCs/>
        </w:rPr>
      </w:pPr>
      <w:r w:rsidRPr="008C7A7F">
        <w:rPr>
          <w:rFonts w:ascii="Cambria" w:eastAsia="Cambria" w:hAnsi="Cambria" w:cs="Arial"/>
          <w:bCs/>
        </w:rPr>
        <w:t>dochody z podatku akcyzowego i podatku od gier były niższe</w:t>
      </w:r>
      <w:r>
        <w:rPr>
          <w:rFonts w:ascii="Cambria" w:eastAsia="Cambria" w:hAnsi="Cambria" w:cs="Arial"/>
          <w:bCs/>
        </w:rPr>
        <w:t xml:space="preserve"> o </w:t>
      </w:r>
      <w:r w:rsidRPr="008C7A7F">
        <w:rPr>
          <w:rFonts w:ascii="Cambria" w:eastAsia="Cambria" w:hAnsi="Cambria" w:cs="Arial"/>
          <w:bCs/>
        </w:rPr>
        <w:t>10,3% r/r (tj. ok. 0,6 mld zł),</w:t>
      </w:r>
    </w:p>
    <w:p w:rsidR="008C7A7F" w:rsidRDefault="008C7A7F" w:rsidP="008C7A7F">
      <w:pPr>
        <w:pStyle w:val="Akapitzlist"/>
        <w:numPr>
          <w:ilvl w:val="0"/>
          <w:numId w:val="12"/>
        </w:numPr>
        <w:jc w:val="both"/>
        <w:rPr>
          <w:rFonts w:ascii="Cambria" w:eastAsia="Cambria" w:hAnsi="Cambria" w:cs="Arial"/>
          <w:bCs/>
        </w:rPr>
      </w:pPr>
      <w:r w:rsidRPr="008C7A7F">
        <w:rPr>
          <w:rFonts w:ascii="Cambria" w:eastAsia="Cambria" w:hAnsi="Cambria" w:cs="Arial"/>
          <w:bCs/>
        </w:rPr>
        <w:t>dochody z podatku PIT były wyższe o 15,4% r/r (tj. ok. 0,9 mld zł),</w:t>
      </w:r>
    </w:p>
    <w:p w:rsidR="008C7A7F" w:rsidRDefault="008C7A7F" w:rsidP="008C7A7F">
      <w:pPr>
        <w:pStyle w:val="Akapitzlist"/>
        <w:numPr>
          <w:ilvl w:val="0"/>
          <w:numId w:val="12"/>
        </w:numPr>
        <w:jc w:val="both"/>
        <w:rPr>
          <w:rFonts w:ascii="Cambria" w:eastAsia="Cambria" w:hAnsi="Cambria" w:cs="Arial"/>
          <w:bCs/>
        </w:rPr>
      </w:pPr>
      <w:r w:rsidRPr="008C7A7F">
        <w:rPr>
          <w:rFonts w:ascii="Cambria" w:eastAsia="Cambria" w:hAnsi="Cambria" w:cs="Arial"/>
          <w:bCs/>
        </w:rPr>
        <w:t>dochody z podatku CIT były wyższe o 2,8% r/r (tj. ok. 0,1 mld zł),</w:t>
      </w:r>
    </w:p>
    <w:p w:rsidR="008C7A7F" w:rsidRPr="008C7A7F" w:rsidRDefault="008C7A7F" w:rsidP="008C7A7F">
      <w:pPr>
        <w:pStyle w:val="Akapitzlist"/>
        <w:numPr>
          <w:ilvl w:val="0"/>
          <w:numId w:val="12"/>
        </w:numPr>
        <w:jc w:val="both"/>
        <w:rPr>
          <w:rFonts w:ascii="Cambria" w:eastAsia="Cambria" w:hAnsi="Cambria" w:cs="Arial"/>
          <w:bCs/>
        </w:rPr>
      </w:pPr>
      <w:r w:rsidRPr="008C7A7F">
        <w:rPr>
          <w:rFonts w:ascii="Cambria" w:eastAsia="Cambria" w:hAnsi="Cambria" w:cs="Arial"/>
          <w:bCs/>
        </w:rPr>
        <w:t>dochody z tytułu podatku od niektórych instytucji finansowych były wyższe o 4,7% r/r.</w:t>
      </w:r>
    </w:p>
    <w:p w:rsidR="008C7A7F" w:rsidRPr="008C7A7F" w:rsidRDefault="008C7A7F" w:rsidP="008C7A7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mbria" w:hAnsi="Cambria" w:cs="Arial"/>
          <w:bCs/>
          <w:color w:val="FF0000"/>
          <w:sz w:val="24"/>
        </w:rPr>
      </w:pPr>
    </w:p>
    <w:p w:rsidR="008C7A7F" w:rsidRPr="008C7A7F" w:rsidRDefault="008C7A7F" w:rsidP="008C7A7F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Cambria" w:hAnsi="Cambria" w:cs="Arial"/>
          <w:bCs/>
          <w:sz w:val="24"/>
          <w:szCs w:val="24"/>
        </w:rPr>
      </w:pPr>
      <w:r w:rsidRPr="008C7A7F">
        <w:rPr>
          <w:rFonts w:ascii="Cambria" w:eastAsia="Cambria" w:hAnsi="Cambria" w:cs="Arial"/>
          <w:bCs/>
          <w:sz w:val="24"/>
          <w:szCs w:val="24"/>
        </w:rPr>
        <w:t>Po styczniu 2019 r. wykonanie dochodów niepodatkowych wyniosło ok. 2,5 mld zł i było wyższe o ok. 0,9 mld zł (tj. 55,7%) w stosunku do wykonania po styczniu 2018</w:t>
      </w:r>
      <w:r>
        <w:rPr>
          <w:rFonts w:ascii="Cambria" w:eastAsia="Cambria" w:hAnsi="Cambria" w:cs="Arial"/>
          <w:bCs/>
          <w:sz w:val="24"/>
          <w:szCs w:val="24"/>
        </w:rPr>
        <w:t xml:space="preserve"> r.</w:t>
      </w:r>
      <w:bookmarkStart w:id="0" w:name="_GoBack"/>
      <w:bookmarkEnd w:id="0"/>
    </w:p>
    <w:p w:rsidR="008C7A7F" w:rsidRPr="008C7A7F" w:rsidRDefault="008C7A7F" w:rsidP="008C7A7F">
      <w:pPr>
        <w:tabs>
          <w:tab w:val="right" w:pos="7920"/>
          <w:tab w:val="left" w:pos="8460"/>
        </w:tabs>
        <w:spacing w:before="240" w:after="120" w:line="240" w:lineRule="auto"/>
        <w:ind w:left="357" w:right="-57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8C7A7F">
        <w:rPr>
          <w:rFonts w:ascii="Cambria" w:eastAsia="Times New Roman" w:hAnsi="Cambria" w:cs="Arial"/>
          <w:b/>
          <w:sz w:val="24"/>
          <w:szCs w:val="24"/>
          <w:lang w:eastAsia="pl-PL"/>
        </w:rPr>
        <w:t>Wydatki budżetu państwa po styczniu 2019 r.</w:t>
      </w:r>
    </w:p>
    <w:p w:rsidR="008C7A7F" w:rsidRPr="008C7A7F" w:rsidRDefault="008C7A7F" w:rsidP="008C7A7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mbria" w:hAnsi="Cambria" w:cs="Arial"/>
          <w:bCs/>
          <w:sz w:val="24"/>
          <w:szCs w:val="24"/>
        </w:rPr>
      </w:pPr>
      <w:r w:rsidRPr="008C7A7F">
        <w:rPr>
          <w:rFonts w:ascii="Cambria" w:eastAsia="Cambria" w:hAnsi="Cambria" w:cs="Arial"/>
          <w:bCs/>
          <w:sz w:val="24"/>
          <w:szCs w:val="24"/>
        </w:rPr>
        <w:t>Wykonanie wydatków budżetu państwa po pierwszym miesiącu 2019 r. wyniosło 32,1 mld zł, tj. 7,7% planu. W stosunku do roku 2018 (26,6 mld zł) przekazano więcej o 5,5 mld zł, tj. 20,7%, głównie w zakresie rozliczenia z budżetem ogólnym UE (więcej o 1,6 mld zł) oraz w ramach dotacji przekazanej dla Funduszu Ubezpieczeń Społecznych (więcej</w:t>
      </w:r>
      <w:r>
        <w:rPr>
          <w:rFonts w:ascii="Cambria" w:eastAsia="Cambria" w:hAnsi="Cambria" w:cs="Arial"/>
          <w:bCs/>
          <w:sz w:val="24"/>
          <w:szCs w:val="24"/>
        </w:rPr>
        <w:t xml:space="preserve"> o </w:t>
      </w:r>
      <w:r w:rsidRPr="008C7A7F">
        <w:rPr>
          <w:rFonts w:ascii="Cambria" w:eastAsia="Cambria" w:hAnsi="Cambria" w:cs="Arial"/>
          <w:bCs/>
          <w:sz w:val="24"/>
          <w:szCs w:val="24"/>
        </w:rPr>
        <w:t>1,5 mld zł).</w:t>
      </w:r>
    </w:p>
    <w:p w:rsidR="00C06EBE" w:rsidRPr="008C7A7F" w:rsidRDefault="00C06EBE" w:rsidP="00C06EBE">
      <w:pPr>
        <w:jc w:val="center"/>
        <w:rPr>
          <w:rFonts w:ascii="Cambria" w:hAnsi="Cambria"/>
          <w:b/>
          <w:bCs/>
          <w:color w:val="000000" w:themeColor="text1"/>
          <w:sz w:val="24"/>
        </w:rPr>
      </w:pPr>
    </w:p>
    <w:sectPr w:rsidR="00C06EBE" w:rsidRPr="008C7A7F" w:rsidSect="00370A68">
      <w:headerReference w:type="default" r:id="rId10"/>
      <w:footerReference w:type="even" r:id="rId11"/>
      <w:footerReference w:type="default" r:id="rId12"/>
      <w:pgSz w:w="11907" w:h="16839" w:code="9"/>
      <w:pgMar w:top="1418" w:right="992" w:bottom="1418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F0" w:rsidRDefault="00CC02F0">
      <w:pPr>
        <w:spacing w:after="0" w:line="240" w:lineRule="auto"/>
      </w:pPr>
      <w:r>
        <w:separator/>
      </w:r>
    </w:p>
  </w:endnote>
  <w:endnote w:type="continuationSeparator" w:id="0">
    <w:p w:rsidR="00CC02F0" w:rsidRDefault="00CC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68" w:rsidRDefault="00C06EBE" w:rsidP="00370A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0A68" w:rsidRDefault="00CC02F0" w:rsidP="00370A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68" w:rsidRDefault="00C06EBE" w:rsidP="00370A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7A7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70A68" w:rsidRDefault="00CC02F0" w:rsidP="00370A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F0" w:rsidRDefault="00CC02F0">
      <w:pPr>
        <w:spacing w:after="0" w:line="240" w:lineRule="auto"/>
      </w:pPr>
      <w:r>
        <w:separator/>
      </w:r>
    </w:p>
  </w:footnote>
  <w:footnote w:type="continuationSeparator" w:id="0">
    <w:p w:rsidR="00CC02F0" w:rsidRDefault="00CC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68" w:rsidRDefault="00C06EB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49E22" wp14:editId="74F366F3">
              <wp:simplePos x="0" y="0"/>
              <wp:positionH relativeFrom="column">
                <wp:posOffset>-460375</wp:posOffset>
              </wp:positionH>
              <wp:positionV relativeFrom="paragraph">
                <wp:posOffset>-10795</wp:posOffset>
              </wp:positionV>
              <wp:extent cx="635" cy="9342755"/>
              <wp:effectExtent l="13335" t="10795" r="5080" b="952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A9C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36.25pt;margin-top:-.85pt;width:.05pt;height:735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" strokecolor="#7f7f7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DD2"/>
    <w:multiLevelType w:val="hybridMultilevel"/>
    <w:tmpl w:val="81D8B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3CF0"/>
    <w:multiLevelType w:val="hybridMultilevel"/>
    <w:tmpl w:val="198ECD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943A7"/>
    <w:multiLevelType w:val="hybridMultilevel"/>
    <w:tmpl w:val="236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17308"/>
    <w:multiLevelType w:val="hybridMultilevel"/>
    <w:tmpl w:val="875C4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FEF"/>
    <w:multiLevelType w:val="hybridMultilevel"/>
    <w:tmpl w:val="49385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7269D"/>
    <w:multiLevelType w:val="hybridMultilevel"/>
    <w:tmpl w:val="3C1AF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1E35A2"/>
    <w:multiLevelType w:val="multilevel"/>
    <w:tmpl w:val="AB2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0B285E"/>
    <w:multiLevelType w:val="hybridMultilevel"/>
    <w:tmpl w:val="A3A8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C39AE"/>
    <w:multiLevelType w:val="hybridMultilevel"/>
    <w:tmpl w:val="2A66F3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9A3AC3"/>
    <w:multiLevelType w:val="hybridMultilevel"/>
    <w:tmpl w:val="F7DEA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1175DC"/>
    <w:multiLevelType w:val="hybridMultilevel"/>
    <w:tmpl w:val="F30E2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70320"/>
    <w:multiLevelType w:val="hybridMultilevel"/>
    <w:tmpl w:val="7B4ECFBE"/>
    <w:lvl w:ilvl="0" w:tplc="C9A2D18C">
      <w:numFmt w:val="bullet"/>
      <w:lvlText w:val="•"/>
      <w:lvlJc w:val="left"/>
      <w:pPr>
        <w:ind w:left="1080" w:hanging="720"/>
      </w:pPr>
      <w:rPr>
        <w:rFonts w:ascii="Cambria" w:eastAsia="Cambria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BE"/>
    <w:rsid w:val="00004DB8"/>
    <w:rsid w:val="000A1657"/>
    <w:rsid w:val="001A41A2"/>
    <w:rsid w:val="002C4B47"/>
    <w:rsid w:val="002F6E4A"/>
    <w:rsid w:val="004450A7"/>
    <w:rsid w:val="004671DF"/>
    <w:rsid w:val="00561FFC"/>
    <w:rsid w:val="00773BDC"/>
    <w:rsid w:val="00794C12"/>
    <w:rsid w:val="008C7A7F"/>
    <w:rsid w:val="009666E3"/>
    <w:rsid w:val="00976686"/>
    <w:rsid w:val="00A10ABA"/>
    <w:rsid w:val="00C000E0"/>
    <w:rsid w:val="00C06EBE"/>
    <w:rsid w:val="00CC02F0"/>
    <w:rsid w:val="00F766F0"/>
    <w:rsid w:val="00FF1EAD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496C-2C22-4DD6-A4E1-C76B8B68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EBE"/>
  </w:style>
  <w:style w:type="paragraph" w:styleId="Nagwek1">
    <w:name w:val="heading 1"/>
    <w:basedOn w:val="Normalny"/>
    <w:link w:val="Nagwek1Znak"/>
    <w:qFormat/>
    <w:rsid w:val="00C06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E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semiHidden/>
    <w:unhideWhenUsed/>
    <w:rsid w:val="00C06EBE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C06E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semiHidden/>
    <w:unhideWhenUsed/>
    <w:rsid w:val="00C06EBE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C06EBE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C06EBE"/>
  </w:style>
  <w:style w:type="paragraph" w:styleId="NormalnyWeb">
    <w:name w:val="Normal (Web)"/>
    <w:basedOn w:val="Normalny"/>
    <w:uiPriority w:val="99"/>
    <w:unhideWhenUsed/>
    <w:rsid w:val="00C06E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6EB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BC51-A2E1-4311-8370-BBAC5CDC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 Aleksandra</dc:creator>
  <cp:lastModifiedBy>Mazur Krystian</cp:lastModifiedBy>
  <cp:revision>2</cp:revision>
  <cp:lastPrinted>2018-05-15T10:30:00Z</cp:lastPrinted>
  <dcterms:created xsi:type="dcterms:W3CDTF">2019-02-28T14:22:00Z</dcterms:created>
  <dcterms:modified xsi:type="dcterms:W3CDTF">2019-02-28T14:22:00Z</dcterms:modified>
</cp:coreProperties>
</file>