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D5" w:rsidRPr="00F665D5" w:rsidRDefault="00D43CF0" w:rsidP="00F665D5">
      <w:pPr>
        <w:pStyle w:val="Tytu"/>
        <w:pBdr>
          <w:bottom w:val="none" w:sz="0" w:space="0" w:color="auto"/>
        </w:pBdr>
        <w:rPr>
          <w:rFonts w:eastAsia="Calibri"/>
          <w:lang w:eastAsia="en-US"/>
        </w:rPr>
      </w:pPr>
      <w:r w:rsidRPr="00D43CF0">
        <w:t>Informacja o stanie realizacji Regionalnych Programów Operacyjnych na lata 2014-2020</w:t>
      </w:r>
    </w:p>
    <w:p w:rsidR="00851E5D" w:rsidRPr="00CA558E" w:rsidRDefault="00D43CF0" w:rsidP="00F665D5">
      <w:pPr>
        <w:rPr>
          <w:rFonts w:eastAsia="Calibri"/>
          <w:lang w:eastAsia="en-US"/>
        </w:rPr>
      </w:pPr>
      <w:r>
        <w:rPr>
          <w:rFonts w:eastAsia="Calibri"/>
          <w:sz w:val="24"/>
          <w:lang w:eastAsia="en-US"/>
        </w:rPr>
        <w:t xml:space="preserve">Informacja prasowa, </w:t>
      </w:r>
      <w:r w:rsidR="00F9712E">
        <w:rPr>
          <w:rFonts w:eastAsia="Calibri"/>
          <w:sz w:val="24"/>
          <w:lang w:eastAsia="en-US"/>
        </w:rPr>
        <w:t>23 maj</w:t>
      </w:r>
      <w:r w:rsidR="006E2C0C">
        <w:rPr>
          <w:rFonts w:eastAsia="Calibri"/>
          <w:sz w:val="24"/>
          <w:lang w:eastAsia="en-US"/>
        </w:rPr>
        <w:t>a</w:t>
      </w:r>
      <w:r w:rsidR="00F9712E">
        <w:rPr>
          <w:rFonts w:eastAsia="Calibri"/>
          <w:sz w:val="24"/>
          <w:lang w:eastAsia="en-US"/>
        </w:rPr>
        <w:t xml:space="preserve"> 2019</w:t>
      </w:r>
      <w:r w:rsidR="00851E5D" w:rsidRPr="00CA558E">
        <w:rPr>
          <w:rFonts w:eastAsia="Calibri"/>
          <w:lang w:eastAsia="en-US"/>
        </w:rPr>
        <w:t xml:space="preserve"> r.</w:t>
      </w:r>
    </w:p>
    <w:p w:rsidR="00F665D5" w:rsidRPr="00F673C0" w:rsidRDefault="00D43CF0" w:rsidP="00DC59A2">
      <w:pPr>
        <w:jc w:val="left"/>
        <w:rPr>
          <w:rFonts w:eastAsia="Calibri"/>
          <w:b/>
        </w:rPr>
      </w:pPr>
      <w:r w:rsidRPr="00C63564">
        <w:rPr>
          <w:rFonts w:eastAsia="Calibri"/>
          <w:b/>
        </w:rPr>
        <w:t xml:space="preserve">Do </w:t>
      </w:r>
      <w:r w:rsidR="006E2C0C" w:rsidRPr="00C63564">
        <w:rPr>
          <w:rFonts w:eastAsia="Calibri"/>
          <w:b/>
        </w:rPr>
        <w:t>19 maja</w:t>
      </w:r>
      <w:r w:rsidRPr="00C63564">
        <w:rPr>
          <w:rFonts w:eastAsia="Calibri"/>
          <w:b/>
        </w:rPr>
        <w:t xml:space="preserve"> 201</w:t>
      </w:r>
      <w:r w:rsidR="00F673C0" w:rsidRPr="00C63564">
        <w:rPr>
          <w:rFonts w:eastAsia="Calibri"/>
          <w:b/>
        </w:rPr>
        <w:t>9</w:t>
      </w:r>
      <w:r w:rsidR="006E2C0C" w:rsidRPr="00C63564">
        <w:rPr>
          <w:rFonts w:eastAsia="Calibri"/>
          <w:b/>
        </w:rPr>
        <w:t xml:space="preserve"> r</w:t>
      </w:r>
      <w:r w:rsidRPr="00C63564">
        <w:rPr>
          <w:rFonts w:eastAsia="Calibri"/>
          <w:b/>
        </w:rPr>
        <w:t xml:space="preserve">. </w:t>
      </w:r>
      <w:r w:rsidR="004C70C3" w:rsidRPr="00C63564">
        <w:rPr>
          <w:rFonts w:eastAsia="Calibri"/>
          <w:b/>
        </w:rPr>
        <w:t>wartość wniosków o płatność złożonych przez beneficjentów w realizowanych  proj</w:t>
      </w:r>
      <w:r w:rsidR="007E7157" w:rsidRPr="00C63564">
        <w:rPr>
          <w:rFonts w:eastAsia="Calibri"/>
          <w:b/>
        </w:rPr>
        <w:t>e</w:t>
      </w:r>
      <w:r w:rsidR="004C70C3" w:rsidRPr="00C63564">
        <w:rPr>
          <w:rFonts w:eastAsia="Calibri"/>
          <w:b/>
        </w:rPr>
        <w:t>ktach wyniosła</w:t>
      </w:r>
      <w:r w:rsidR="007E7157" w:rsidRPr="00C63564">
        <w:rPr>
          <w:rFonts w:eastAsia="Calibri"/>
          <w:b/>
        </w:rPr>
        <w:t xml:space="preserve"> 35,1 mld złotych</w:t>
      </w:r>
      <w:r w:rsidR="00F673C0" w:rsidRPr="00C63564">
        <w:rPr>
          <w:rFonts w:eastAsia="Calibri"/>
          <w:b/>
        </w:rPr>
        <w:t xml:space="preserve">, </w:t>
      </w:r>
      <w:r w:rsidR="00F673C0" w:rsidRPr="00C63564">
        <w:rPr>
          <w:b/>
        </w:rPr>
        <w:t>co daje średnie wykorzystanie alokacji na poziomie 26,1</w:t>
      </w:r>
      <w:r w:rsidR="00DC59A2" w:rsidRPr="00C63564">
        <w:rPr>
          <w:b/>
        </w:rPr>
        <w:t xml:space="preserve"> procent</w:t>
      </w:r>
      <w:r w:rsidRPr="00C63564">
        <w:rPr>
          <w:rFonts w:eastAsia="Calibri"/>
          <w:b/>
        </w:rPr>
        <w:t xml:space="preserve">. </w:t>
      </w:r>
      <w:r w:rsidR="00F673C0" w:rsidRPr="00C63564">
        <w:rPr>
          <w:rFonts w:eastAsia="Calibri"/>
          <w:b/>
        </w:rPr>
        <w:t xml:space="preserve">Odsetek </w:t>
      </w:r>
      <w:r w:rsidR="00F673C0">
        <w:rPr>
          <w:rFonts w:eastAsia="Calibri"/>
          <w:b/>
        </w:rPr>
        <w:t xml:space="preserve">złożonych wniosków o płatność jest wysoki, ale pomiędzy województwami występują dysproporcje. </w:t>
      </w:r>
    </w:p>
    <w:p w:rsidR="006E2C0C" w:rsidRDefault="00F673C0" w:rsidP="00F665D5">
      <w:pPr>
        <w:jc w:val="left"/>
        <w:rPr>
          <w:rFonts w:eastAsia="Calibri"/>
          <w:b/>
          <w:lang w:eastAsia="en-US"/>
        </w:rPr>
      </w:pPr>
      <w:r>
        <w:rPr>
          <w:rFonts w:eastAsia="Calibri"/>
          <w:b/>
          <w:noProof/>
        </w:rPr>
        <w:drawing>
          <wp:inline distT="0" distB="0" distL="0" distR="0" wp14:anchorId="1277C58A">
            <wp:extent cx="6339974" cy="2867025"/>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9974" cy="2867025"/>
                    </a:xfrm>
                    <a:prstGeom prst="rect">
                      <a:avLst/>
                    </a:prstGeom>
                    <a:noFill/>
                  </pic:spPr>
                </pic:pic>
              </a:graphicData>
            </a:graphic>
          </wp:inline>
        </w:drawing>
      </w:r>
    </w:p>
    <w:p w:rsidR="00190468" w:rsidRPr="00190468" w:rsidRDefault="00190468" w:rsidP="00190468">
      <w:pPr>
        <w:jc w:val="center"/>
        <w:rPr>
          <w:rFonts w:eastAsia="Calibri"/>
          <w:b/>
          <w:sz w:val="24"/>
          <w:lang w:eastAsia="en-US"/>
        </w:rPr>
      </w:pPr>
      <w:r w:rsidRPr="00190468">
        <w:rPr>
          <w:rFonts w:eastAsia="Calibri"/>
          <w:b/>
          <w:sz w:val="24"/>
          <w:lang w:eastAsia="en-US"/>
        </w:rPr>
        <w:t>Wkład UE w złożonych wnioskach o płatność w 16 RPO jako % alokacji wg programów</w:t>
      </w:r>
    </w:p>
    <w:p w:rsidR="00DC59A2" w:rsidRPr="00C63564" w:rsidRDefault="00F673C0" w:rsidP="00F665D5">
      <w:pPr>
        <w:jc w:val="left"/>
        <w:rPr>
          <w:rFonts w:eastAsia="Calibri"/>
          <w:lang w:eastAsia="en-US"/>
        </w:rPr>
      </w:pPr>
      <w:r w:rsidRPr="00C63564">
        <w:rPr>
          <w:rFonts w:eastAsia="Calibri"/>
          <w:lang w:eastAsia="en-US"/>
        </w:rPr>
        <w:t xml:space="preserve">- </w:t>
      </w:r>
      <w:r w:rsidR="008D6EBA" w:rsidRPr="00C63564">
        <w:t>W grupie medalowej, czyli tych regionów, które osiągnęły najwyższy poziom płatności w stosunku do alokacji, możemy wymienić województwo opolskie (38,2%), podkarpackie (34,7%) oraz dolnośląskie(31,6%). Stawkę zamyka kujawsko-pomorskie z wynikiem 18,7</w:t>
      </w:r>
      <w:r w:rsidR="00DA43BF">
        <w:t xml:space="preserve"> </w:t>
      </w:r>
      <w:bookmarkStart w:id="0" w:name="_GoBack"/>
      <w:bookmarkEnd w:id="0"/>
      <w:r w:rsidR="008D6EBA" w:rsidRPr="00C63564">
        <w:t xml:space="preserve">procent poziomu płatności w stosunku do alokacji - wylicza wiceminister inwestycji i rozwoju Adam </w:t>
      </w:r>
      <w:proofErr w:type="spellStart"/>
      <w:r w:rsidR="008D6EBA" w:rsidRPr="00C63564">
        <w:t>Hamryszczak</w:t>
      </w:r>
      <w:proofErr w:type="spellEnd"/>
      <w:r w:rsidR="008D6EBA" w:rsidRPr="00C63564">
        <w:t xml:space="preserve">. </w:t>
      </w:r>
    </w:p>
    <w:p w:rsidR="00D32CB5" w:rsidRPr="00F665D5" w:rsidRDefault="00D32CB5" w:rsidP="00D32CB5">
      <w:pPr>
        <w:pStyle w:val="Nagwek1"/>
        <w:pBdr>
          <w:bottom w:val="single" w:sz="4" w:space="1" w:color="auto"/>
        </w:pBdr>
        <w:jc w:val="left"/>
        <w:rPr>
          <w:rFonts w:eastAsiaTheme="minorHAnsi"/>
          <w:lang w:eastAsia="en-US"/>
        </w:rPr>
      </w:pPr>
      <w:r>
        <w:rPr>
          <w:rFonts w:eastAsiaTheme="minorHAnsi"/>
          <w:lang w:eastAsia="en-US"/>
        </w:rPr>
        <w:t>Wnioski o płatność -</w:t>
      </w:r>
      <w:r w:rsidRPr="00D43CF0">
        <w:rPr>
          <w:rFonts w:eastAsiaTheme="minorHAnsi"/>
          <w:lang w:eastAsia="en-US"/>
        </w:rPr>
        <w:t xml:space="preserve"> jak to wygląda </w:t>
      </w:r>
      <w:r>
        <w:rPr>
          <w:rFonts w:eastAsiaTheme="minorHAnsi"/>
          <w:lang w:eastAsia="en-US"/>
        </w:rPr>
        <w:t>tematycznie</w:t>
      </w:r>
    </w:p>
    <w:p w:rsidR="003D7BFB" w:rsidRPr="003D7BFB" w:rsidRDefault="003D7BFB" w:rsidP="003D7BFB">
      <w:pPr>
        <w:jc w:val="left"/>
        <w:rPr>
          <w:rFonts w:eastAsia="Calibri"/>
          <w:lang w:eastAsia="en-US"/>
        </w:rPr>
      </w:pPr>
      <w:r w:rsidRPr="003D7BFB">
        <w:rPr>
          <w:rFonts w:eastAsia="Calibri"/>
          <w:lang w:eastAsia="en-US"/>
        </w:rPr>
        <w:t xml:space="preserve">Analiza poziomu płatności w poszczególnych obszarach wsparcia wskazuje na dwie, dość wyraźne grupy skuteczności w wydatkowaniu. W pierwszej grupie obszarów, gdzie wydatki sięgają od 30 do 32 procent dostępnej alokacji, znalazły się nakłady na: zatrudnienie, wsparcie rozwoju MŚP, edukację oraz rozwój infrastruktury transportu. </w:t>
      </w:r>
    </w:p>
    <w:p w:rsidR="003D7BFB" w:rsidRPr="003D7BFB" w:rsidRDefault="003D7BFB" w:rsidP="003D7BFB">
      <w:pPr>
        <w:jc w:val="left"/>
        <w:rPr>
          <w:rFonts w:eastAsia="Calibri"/>
          <w:lang w:eastAsia="en-US"/>
        </w:rPr>
      </w:pPr>
      <w:r w:rsidRPr="003D7BFB">
        <w:rPr>
          <w:rFonts w:eastAsia="Calibri"/>
          <w:lang w:eastAsia="en-US"/>
        </w:rPr>
        <w:t>W drugiej grupie, gdzie wydatkowanie kształtuje się od 19 do 26 procent dostępnej alokacji, mamy projekty związane z cyfryzacją i ochroną środowiska.</w:t>
      </w:r>
    </w:p>
    <w:p w:rsidR="003D7BFB" w:rsidRPr="003D7BFB" w:rsidRDefault="003D7BFB" w:rsidP="003D7BFB">
      <w:pPr>
        <w:jc w:val="left"/>
        <w:rPr>
          <w:rFonts w:eastAsia="Calibri"/>
          <w:lang w:eastAsia="en-US"/>
        </w:rPr>
      </w:pPr>
      <w:r w:rsidRPr="003D7BFB">
        <w:rPr>
          <w:rFonts w:eastAsia="Calibri"/>
          <w:lang w:eastAsia="en-US"/>
        </w:rPr>
        <w:lastRenderedPageBreak/>
        <w:t>- Warto podkreślić, że w drugiej grupie znalazł się tu cel tematyczny - gospodarka niskoemisyjna - niezwykle istotny pod względem wielkości alokacji. Obszar ten jest naszym priorytetem w kontekście zagrożeń klimatycznych – dodaje wiceminister.</w:t>
      </w:r>
    </w:p>
    <w:p w:rsidR="003D7BFB" w:rsidRPr="003D7BFB" w:rsidRDefault="003D7BFB" w:rsidP="003D7BFB">
      <w:pPr>
        <w:jc w:val="left"/>
        <w:rPr>
          <w:rFonts w:eastAsia="Calibri"/>
          <w:lang w:eastAsia="en-US"/>
        </w:rPr>
      </w:pPr>
      <w:r w:rsidRPr="003D7BFB">
        <w:rPr>
          <w:rFonts w:eastAsia="Calibri"/>
          <w:lang w:eastAsia="en-US"/>
        </w:rPr>
        <w:t>Ostatnim obszarem, charakteryzującym się zdecydowanie najniższym poziomem wydatkowania, jest wzmacnianie badań naukowych, rozwoju technologicznego i  innowacji.</w:t>
      </w:r>
    </w:p>
    <w:p w:rsidR="00D32CB5" w:rsidRDefault="003D7BFB" w:rsidP="003D7BFB">
      <w:pPr>
        <w:jc w:val="left"/>
        <w:rPr>
          <w:rFonts w:eastAsia="Calibri"/>
          <w:lang w:eastAsia="en-US"/>
        </w:rPr>
      </w:pPr>
      <w:r w:rsidRPr="003D7BFB">
        <w:rPr>
          <w:rFonts w:eastAsia="Calibri"/>
          <w:lang w:eastAsia="en-US"/>
        </w:rPr>
        <w:t>Możliwe do wsparcia projekty z tego obszaru (tworzenie lub rozwój zaplecza B+R, działalność</w:t>
      </w:r>
      <w:r>
        <w:rPr>
          <w:rFonts w:eastAsia="Calibri"/>
          <w:lang w:eastAsia="en-US"/>
        </w:rPr>
        <w:t xml:space="preserve"> </w:t>
      </w:r>
      <w:r w:rsidRPr="003D7BFB">
        <w:rPr>
          <w:rFonts w:eastAsia="Calibri"/>
          <w:lang w:eastAsia="en-US"/>
        </w:rPr>
        <w:t>innowacyjna przedsiębiorstw, wsparcie infrastruktury badawczej w jednostkach naukowych, wsparcie prac B+R w przedsiębiorstwach) nie zawsze znajdują odzwierciedlenie w realnych możliwościach i zasobach poszczególnych województw</w:t>
      </w:r>
    </w:p>
    <w:p w:rsidR="00D32CB5" w:rsidRDefault="000D0D56" w:rsidP="00D32CB5">
      <w:pPr>
        <w:jc w:val="left"/>
        <w:rPr>
          <w:rFonts w:eastAsia="Calibri"/>
          <w:lang w:eastAsia="en-US"/>
        </w:rPr>
      </w:pPr>
      <w:r>
        <w:rPr>
          <w:noProof/>
        </w:rPr>
        <w:drawing>
          <wp:inline distT="0" distB="0" distL="0" distR="0" wp14:anchorId="245AC1B3" wp14:editId="48C5B902">
            <wp:extent cx="6105525" cy="2676807"/>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0468" w:rsidRPr="00190468" w:rsidRDefault="00190468" w:rsidP="00190468">
      <w:pPr>
        <w:jc w:val="center"/>
        <w:rPr>
          <w:rFonts w:eastAsia="Calibri"/>
          <w:b/>
          <w:sz w:val="24"/>
          <w:lang w:eastAsia="en-US"/>
        </w:rPr>
      </w:pPr>
      <w:r w:rsidRPr="00190468">
        <w:rPr>
          <w:rFonts w:eastAsia="Calibri"/>
          <w:b/>
          <w:sz w:val="24"/>
          <w:lang w:eastAsia="en-US"/>
        </w:rPr>
        <w:t>Wkład UE w złożonych wnioskach o płatność w 16 RPO jako % alokacji w podziale na główne obszary (tzw. cele tematyczne)</w:t>
      </w:r>
    </w:p>
    <w:p w:rsidR="00F665D5" w:rsidRPr="00F665D5" w:rsidRDefault="00F63F81" w:rsidP="00D43CF0">
      <w:pPr>
        <w:pStyle w:val="Nagwek1"/>
        <w:pBdr>
          <w:bottom w:val="single" w:sz="4" w:space="1" w:color="auto"/>
        </w:pBdr>
        <w:jc w:val="left"/>
        <w:rPr>
          <w:rFonts w:eastAsiaTheme="minorHAnsi"/>
          <w:lang w:eastAsia="en-US"/>
        </w:rPr>
      </w:pPr>
      <w:r>
        <w:rPr>
          <w:rFonts w:eastAsiaTheme="minorHAnsi"/>
          <w:lang w:eastAsia="en-US"/>
        </w:rPr>
        <w:t>C</w:t>
      </w:r>
      <w:r w:rsidR="00D43CF0" w:rsidRPr="00D43CF0">
        <w:rPr>
          <w:rFonts w:eastAsiaTheme="minorHAnsi"/>
          <w:lang w:eastAsia="en-US"/>
        </w:rPr>
        <w:t xml:space="preserve">ertyfikacja wydatków </w:t>
      </w:r>
      <w:r>
        <w:rPr>
          <w:rFonts w:eastAsiaTheme="minorHAnsi"/>
          <w:lang w:eastAsia="en-US"/>
        </w:rPr>
        <w:t>i z</w:t>
      </w:r>
      <w:r w:rsidRPr="00D43CF0">
        <w:rPr>
          <w:rFonts w:eastAsiaTheme="minorHAnsi"/>
          <w:lang w:eastAsia="en-US"/>
        </w:rPr>
        <w:t xml:space="preserve">asada n+3 </w:t>
      </w:r>
      <w:r w:rsidR="00D43CF0" w:rsidRPr="00D43CF0">
        <w:rPr>
          <w:rFonts w:eastAsiaTheme="minorHAnsi"/>
          <w:lang w:eastAsia="en-US"/>
        </w:rPr>
        <w:t>– czym są i jak to wygląda w województwach</w:t>
      </w:r>
    </w:p>
    <w:p w:rsidR="00C63564" w:rsidRPr="00C63564" w:rsidRDefault="00C63564" w:rsidP="00C63564">
      <w:pPr>
        <w:jc w:val="left"/>
        <w:rPr>
          <w:rFonts w:eastAsiaTheme="minorHAnsi" w:cstheme="minorHAnsi"/>
          <w:szCs w:val="28"/>
          <w:lang w:eastAsia="en-US"/>
        </w:rPr>
      </w:pPr>
      <w:r w:rsidRPr="00C63564">
        <w:rPr>
          <w:rFonts w:eastAsiaTheme="minorHAnsi" w:cstheme="minorHAnsi"/>
          <w:szCs w:val="28"/>
          <w:lang w:eastAsia="en-US"/>
        </w:rPr>
        <w:t xml:space="preserve">Certyfikacja wydatków to nic innego jak jeden z etapów rozliczania z Komisją Europejską zainwestowanych funduszy europejskich. Do Komisji Europejskiej wysyłane są wtedy poświadczenia wydatków. Na ich podstawie Komisja Europejska refunduje Polsce wydatki na inwestycje unijne. </w:t>
      </w:r>
    </w:p>
    <w:p w:rsidR="00C63564" w:rsidRPr="00C63564" w:rsidRDefault="00C63564" w:rsidP="00C63564">
      <w:pPr>
        <w:jc w:val="left"/>
        <w:rPr>
          <w:rFonts w:eastAsiaTheme="minorHAnsi" w:cstheme="minorHAnsi"/>
          <w:szCs w:val="28"/>
          <w:lang w:eastAsia="en-US"/>
        </w:rPr>
      </w:pPr>
      <w:r w:rsidRPr="00C63564">
        <w:rPr>
          <w:rFonts w:eastAsiaTheme="minorHAnsi" w:cstheme="minorHAnsi"/>
          <w:szCs w:val="28"/>
          <w:lang w:eastAsia="en-US"/>
        </w:rPr>
        <w:t>- Do 19 maja 2019 r. Instytucje Certyfikujące wszystkie Regionalne Programy Operacyjne przekazały do Komisji Europejskiej wnioski na łączną kwotę 8,1 mld euro wkładu UE, co stanowi 26 procent alokacji – mówi wiceminister.</w:t>
      </w:r>
    </w:p>
    <w:p w:rsidR="00C63564" w:rsidRPr="00C63564" w:rsidRDefault="00C63564" w:rsidP="00C63564">
      <w:pPr>
        <w:jc w:val="left"/>
        <w:rPr>
          <w:rFonts w:eastAsiaTheme="minorHAnsi" w:cstheme="minorHAnsi"/>
          <w:szCs w:val="28"/>
          <w:lang w:eastAsia="en-US"/>
        </w:rPr>
      </w:pPr>
      <w:r w:rsidRPr="00C63564">
        <w:rPr>
          <w:rFonts w:eastAsiaTheme="minorHAnsi" w:cstheme="minorHAnsi"/>
          <w:szCs w:val="28"/>
          <w:lang w:eastAsia="en-US"/>
        </w:rPr>
        <w:lastRenderedPageBreak/>
        <w:t xml:space="preserve">W każdym programie wskazano minimalne kwoty wydatkowania na dany rok (rok n). Kwoty te należy certyfikować do KE najpóźniej w ciągu trzech kolejnych lat. Stąd zasada n+3. </w:t>
      </w:r>
    </w:p>
    <w:p w:rsidR="00C63564" w:rsidRPr="00C63564" w:rsidRDefault="00C63564" w:rsidP="00C63564">
      <w:pPr>
        <w:jc w:val="left"/>
        <w:rPr>
          <w:rFonts w:eastAsiaTheme="minorHAnsi" w:cstheme="minorHAnsi"/>
          <w:szCs w:val="28"/>
          <w:lang w:eastAsia="en-US"/>
        </w:rPr>
      </w:pPr>
      <w:r w:rsidRPr="00C63564">
        <w:rPr>
          <w:rFonts w:eastAsiaTheme="minorHAnsi" w:cstheme="minorHAnsi"/>
          <w:szCs w:val="28"/>
          <w:lang w:eastAsia="en-US"/>
        </w:rPr>
        <w:t xml:space="preserve">- Jeśli instytucja zarządzająca danym programem nie zgłosi wydatków Komisji Europejskiej w terminie, istnieje realne ryzyko utraty środków. Jednak obecnie na poziomie regionalnym takiego ryzyka nie identyfikujemy ” – wyjaśnia wiceminister inwestycji i rozwoju Adam </w:t>
      </w:r>
      <w:proofErr w:type="spellStart"/>
      <w:r w:rsidRPr="00C63564">
        <w:rPr>
          <w:rFonts w:eastAsiaTheme="minorHAnsi" w:cstheme="minorHAnsi"/>
          <w:szCs w:val="28"/>
          <w:lang w:eastAsia="en-US"/>
        </w:rPr>
        <w:t>Hamryszczak</w:t>
      </w:r>
      <w:proofErr w:type="spellEnd"/>
      <w:r w:rsidRPr="00C63564">
        <w:rPr>
          <w:rFonts w:eastAsiaTheme="minorHAnsi" w:cstheme="minorHAnsi"/>
          <w:szCs w:val="28"/>
          <w:lang w:eastAsia="en-US"/>
        </w:rPr>
        <w:t xml:space="preserve">. </w:t>
      </w:r>
    </w:p>
    <w:p w:rsidR="00C63564" w:rsidRDefault="00C63564" w:rsidP="00C63564">
      <w:pPr>
        <w:jc w:val="left"/>
        <w:rPr>
          <w:rFonts w:eastAsiaTheme="minorHAnsi" w:cstheme="minorHAnsi"/>
          <w:szCs w:val="28"/>
          <w:lang w:eastAsia="en-US"/>
        </w:rPr>
      </w:pPr>
      <w:r w:rsidRPr="00C63564">
        <w:rPr>
          <w:rFonts w:eastAsiaTheme="minorHAnsi" w:cstheme="minorHAnsi"/>
          <w:szCs w:val="28"/>
          <w:lang w:eastAsia="en-US"/>
        </w:rPr>
        <w:t>Dla 16 Regionalnych Programów Operacyjnych (zarządzanych przez województwa) cel n+3 na 2019 r. wynosi 26,2 procent alokacji dla województwa mazowieckiego oraz 23,9procent dla pozostałych województw.</w:t>
      </w:r>
    </w:p>
    <w:p w:rsidR="00C63564" w:rsidRPr="00F665D5" w:rsidRDefault="00C63564" w:rsidP="00C63564">
      <w:pPr>
        <w:pStyle w:val="Nagwek1"/>
        <w:pBdr>
          <w:bottom w:val="single" w:sz="4" w:space="1" w:color="auto"/>
        </w:pBdr>
        <w:jc w:val="left"/>
        <w:rPr>
          <w:rFonts w:eastAsiaTheme="minorHAnsi"/>
          <w:lang w:eastAsia="en-US"/>
        </w:rPr>
      </w:pPr>
      <w:r w:rsidRPr="00C63564">
        <w:rPr>
          <w:rFonts w:eastAsiaTheme="minorHAnsi"/>
          <w:lang w:eastAsia="en-US"/>
        </w:rPr>
        <w:t>Aktualna realizacja celu n+3 na 2019 r.</w:t>
      </w:r>
    </w:p>
    <w:p w:rsidR="00C63564" w:rsidRDefault="00C63564" w:rsidP="00C63564">
      <w:pPr>
        <w:jc w:val="left"/>
        <w:rPr>
          <w:rFonts w:eastAsiaTheme="minorHAnsi" w:cstheme="minorHAnsi"/>
          <w:szCs w:val="28"/>
          <w:lang w:eastAsia="en-US"/>
        </w:rPr>
      </w:pPr>
      <w:r>
        <w:rPr>
          <w:rFonts w:eastAsiaTheme="minorHAnsi" w:cstheme="minorHAnsi"/>
          <w:szCs w:val="28"/>
          <w:lang w:eastAsia="en-US"/>
        </w:rPr>
        <w:t>Dziewięć</w:t>
      </w:r>
      <w:r w:rsidRPr="00F63F81">
        <w:rPr>
          <w:rFonts w:eastAsiaTheme="minorHAnsi" w:cstheme="minorHAnsi"/>
          <w:szCs w:val="28"/>
          <w:lang w:eastAsia="en-US"/>
        </w:rPr>
        <w:t xml:space="preserve"> województw zrealizowało już cel n+3 na 2019 r.</w:t>
      </w:r>
      <w:r>
        <w:rPr>
          <w:rFonts w:eastAsiaTheme="minorHAnsi" w:cstheme="minorHAnsi"/>
          <w:szCs w:val="28"/>
          <w:lang w:eastAsia="en-US"/>
        </w:rPr>
        <w:t xml:space="preserve"> P</w:t>
      </w:r>
      <w:r w:rsidRPr="00F63F81">
        <w:rPr>
          <w:rFonts w:eastAsiaTheme="minorHAnsi" w:cstheme="minorHAnsi"/>
          <w:szCs w:val="28"/>
          <w:lang w:eastAsia="en-US"/>
        </w:rPr>
        <w:t>ozostałe regiony zrealizowały od 81</w:t>
      </w:r>
      <w:r>
        <w:rPr>
          <w:rFonts w:eastAsiaTheme="minorHAnsi" w:cstheme="minorHAnsi"/>
          <w:szCs w:val="28"/>
          <w:lang w:eastAsia="en-US"/>
        </w:rPr>
        <w:t xml:space="preserve"> procent</w:t>
      </w:r>
      <w:r w:rsidRPr="00F63F81">
        <w:rPr>
          <w:rFonts w:eastAsiaTheme="minorHAnsi" w:cstheme="minorHAnsi"/>
          <w:szCs w:val="28"/>
          <w:lang w:eastAsia="en-US"/>
        </w:rPr>
        <w:t xml:space="preserve"> celu n+3 na 2019 r. (kujawsko-pomorskie) do 98</w:t>
      </w:r>
      <w:r>
        <w:rPr>
          <w:rFonts w:eastAsiaTheme="minorHAnsi" w:cstheme="minorHAnsi"/>
          <w:szCs w:val="28"/>
          <w:lang w:eastAsia="en-US"/>
        </w:rPr>
        <w:t xml:space="preserve"> procent</w:t>
      </w:r>
      <w:r w:rsidRPr="00F63F81">
        <w:rPr>
          <w:rFonts w:eastAsiaTheme="minorHAnsi" w:cstheme="minorHAnsi"/>
          <w:szCs w:val="28"/>
          <w:lang w:eastAsia="en-US"/>
        </w:rPr>
        <w:t xml:space="preserve"> (lubuskie)</w:t>
      </w:r>
      <w:r>
        <w:rPr>
          <w:rFonts w:eastAsiaTheme="minorHAnsi" w:cstheme="minorHAnsi"/>
          <w:szCs w:val="28"/>
          <w:lang w:eastAsia="en-US"/>
        </w:rPr>
        <w:t>. Ł</w:t>
      </w:r>
      <w:r w:rsidRPr="00F63F81">
        <w:rPr>
          <w:rFonts w:eastAsiaTheme="minorHAnsi" w:cstheme="minorHAnsi"/>
          <w:szCs w:val="28"/>
          <w:lang w:eastAsia="en-US"/>
        </w:rPr>
        <w:t>ączna kwota pozostająca do realizacji celu n+3 w 7 RPO to 305,9 mln euro</w:t>
      </w:r>
      <w:r>
        <w:rPr>
          <w:rFonts w:eastAsiaTheme="minorHAnsi" w:cstheme="minorHAnsi"/>
          <w:szCs w:val="28"/>
          <w:lang w:eastAsia="en-US"/>
        </w:rPr>
        <w:t>.</w:t>
      </w:r>
    </w:p>
    <w:p w:rsidR="00F63F81" w:rsidRDefault="00F63F81" w:rsidP="00C63564">
      <w:pPr>
        <w:jc w:val="left"/>
        <w:rPr>
          <w:rFonts w:eastAsiaTheme="minorHAnsi" w:cstheme="minorHAnsi"/>
          <w:szCs w:val="28"/>
          <w:lang w:eastAsia="en-US"/>
        </w:rPr>
      </w:pPr>
      <w:r>
        <w:rPr>
          <w:rFonts w:eastAsiaTheme="minorHAnsi" w:cstheme="minorHAnsi"/>
          <w:noProof/>
          <w:szCs w:val="28"/>
        </w:rPr>
        <w:drawing>
          <wp:inline distT="0" distB="0" distL="0" distR="0" wp14:anchorId="5A607B22" wp14:editId="4260B87E">
            <wp:extent cx="6115050" cy="2152015"/>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152015"/>
                    </a:xfrm>
                    <a:prstGeom prst="rect">
                      <a:avLst/>
                    </a:prstGeom>
                    <a:noFill/>
                  </pic:spPr>
                </pic:pic>
              </a:graphicData>
            </a:graphic>
          </wp:inline>
        </w:drawing>
      </w:r>
    </w:p>
    <w:p w:rsidR="00F63F81" w:rsidRPr="00190468" w:rsidRDefault="00F63F81" w:rsidP="00F63F81">
      <w:pPr>
        <w:jc w:val="center"/>
        <w:rPr>
          <w:rFonts w:eastAsiaTheme="minorHAnsi" w:cstheme="minorHAnsi"/>
          <w:b/>
          <w:sz w:val="24"/>
          <w:lang w:eastAsia="en-US"/>
        </w:rPr>
      </w:pPr>
      <w:r w:rsidRPr="00190468">
        <w:rPr>
          <w:rFonts w:eastAsiaTheme="minorHAnsi" w:cstheme="minorHAnsi"/>
          <w:b/>
          <w:sz w:val="24"/>
          <w:lang w:eastAsia="en-US"/>
        </w:rPr>
        <w:t>Aktualna realizacja celu n+3 na 2019 r.</w:t>
      </w:r>
    </w:p>
    <w:p w:rsidR="00F63F81" w:rsidRDefault="00F63F81" w:rsidP="00F63F81">
      <w:pPr>
        <w:jc w:val="left"/>
        <w:rPr>
          <w:rFonts w:eastAsiaTheme="minorHAnsi" w:cstheme="minorHAnsi"/>
          <w:szCs w:val="28"/>
          <w:lang w:eastAsia="en-US"/>
        </w:rPr>
      </w:pPr>
    </w:p>
    <w:p w:rsidR="00F665D5" w:rsidRPr="00F665D5" w:rsidRDefault="00F63F81" w:rsidP="00F665D5">
      <w:pPr>
        <w:pStyle w:val="Nagwek1"/>
        <w:pBdr>
          <w:bottom w:val="single" w:sz="4" w:space="1" w:color="auto"/>
        </w:pBdr>
        <w:rPr>
          <w:rFonts w:eastAsiaTheme="minorHAnsi"/>
          <w:lang w:eastAsia="en-US"/>
        </w:rPr>
      </w:pPr>
      <w:r>
        <w:rPr>
          <w:rFonts w:eastAsiaTheme="minorHAnsi"/>
          <w:lang w:eastAsia="en-US"/>
        </w:rPr>
        <w:lastRenderedPageBreak/>
        <w:t>Realizacja celu Rady Ministrów</w:t>
      </w:r>
    </w:p>
    <w:p w:rsidR="00190468" w:rsidRDefault="006154C6" w:rsidP="00D43CF0">
      <w:pPr>
        <w:jc w:val="left"/>
      </w:pPr>
      <w:r>
        <w:rPr>
          <w:noProof/>
        </w:rPr>
        <w:drawing>
          <wp:inline distT="0" distB="0" distL="0" distR="0" wp14:anchorId="0B348FFE" wp14:editId="7A84B4A6">
            <wp:extent cx="6172200" cy="217276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2172768"/>
                    </a:xfrm>
                    <a:prstGeom prst="rect">
                      <a:avLst/>
                    </a:prstGeom>
                    <a:noFill/>
                    <a:ln>
                      <a:noFill/>
                    </a:ln>
                  </pic:spPr>
                </pic:pic>
              </a:graphicData>
            </a:graphic>
          </wp:inline>
        </w:drawing>
      </w:r>
      <w:r w:rsidR="00190468" w:rsidRPr="00190468">
        <w:t xml:space="preserve"> </w:t>
      </w:r>
    </w:p>
    <w:p w:rsidR="00F63F81" w:rsidRPr="00190468" w:rsidRDefault="00190468" w:rsidP="00190468">
      <w:pPr>
        <w:jc w:val="center"/>
        <w:rPr>
          <w:rFonts w:eastAsiaTheme="minorHAnsi" w:cstheme="minorHAnsi"/>
          <w:b/>
          <w:color w:val="000000" w:themeColor="text1"/>
          <w:sz w:val="24"/>
          <w:lang w:eastAsia="en-US"/>
        </w:rPr>
      </w:pPr>
      <w:r w:rsidRPr="00190468">
        <w:rPr>
          <w:rFonts w:eastAsiaTheme="minorHAnsi" w:cstheme="minorHAnsi"/>
          <w:b/>
          <w:color w:val="000000" w:themeColor="text1"/>
          <w:sz w:val="24"/>
          <w:lang w:eastAsia="en-US"/>
        </w:rPr>
        <w:t>Aktualna realizacja celu RM na 2019 r.</w:t>
      </w:r>
    </w:p>
    <w:p w:rsidR="00D248CF" w:rsidRDefault="00C63564" w:rsidP="00C63564">
      <w:pPr>
        <w:jc w:val="left"/>
        <w:rPr>
          <w:rFonts w:eastAsiaTheme="minorHAnsi" w:cstheme="minorHAnsi"/>
          <w:color w:val="000000" w:themeColor="text1"/>
          <w:szCs w:val="28"/>
          <w:lang w:eastAsia="en-US"/>
        </w:rPr>
      </w:pPr>
      <w:r w:rsidRPr="00C63564">
        <w:rPr>
          <w:rFonts w:eastAsiaTheme="minorHAnsi" w:cstheme="minorHAnsi"/>
          <w:color w:val="000000" w:themeColor="text1"/>
          <w:szCs w:val="28"/>
          <w:lang w:eastAsia="en-US"/>
        </w:rPr>
        <w:t>Cel certyfikacji wyznaczony w Planie Rady Ministrów na 2019 r. to łącznie 24,8 mld złotych wydatków kwalifikowalnych. Od początku tego roku regiony przekazały do KE deklaracje wydatków na łączną kwotę 7,7 mld złotych, co stanowi 31 procent celu.</w:t>
      </w:r>
    </w:p>
    <w:sectPr w:rsidR="00D248CF" w:rsidSect="009500AA">
      <w:headerReference w:type="default" r:id="rId13"/>
      <w:footerReference w:type="even" r:id="rId14"/>
      <w:footerReference w:type="default" r:id="rId15"/>
      <w:pgSz w:w="11906" w:h="16838"/>
      <w:pgMar w:top="284" w:right="707" w:bottom="284" w:left="907" w:header="357"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33" w:rsidRDefault="003B6433">
      <w:r>
        <w:separator/>
      </w:r>
    </w:p>
  </w:endnote>
  <w:endnote w:type="continuationSeparator" w:id="0">
    <w:p w:rsidR="003B6433" w:rsidRDefault="003B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69" w:rsidRDefault="00D86769" w:rsidP="008520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6769" w:rsidRDefault="00D86769" w:rsidP="00233E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69" w:rsidRDefault="00D86769" w:rsidP="008520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43BF">
      <w:rPr>
        <w:rStyle w:val="Numerstrony"/>
        <w:noProof/>
      </w:rPr>
      <w:t>1</w:t>
    </w:r>
    <w:r>
      <w:rPr>
        <w:rStyle w:val="Numerstrony"/>
      </w:rPr>
      <w:fldChar w:fldCharType="end"/>
    </w:r>
  </w:p>
  <w:p w:rsidR="00CA6B4B" w:rsidRPr="00DC3780" w:rsidRDefault="00CA6B4B" w:rsidP="003C0606">
    <w:pPr>
      <w:pStyle w:val="Stopka"/>
      <w:pBdr>
        <w:top w:val="single" w:sz="4" w:space="1" w:color="auto"/>
      </w:pBdr>
      <w:tabs>
        <w:tab w:val="clear" w:pos="4536"/>
        <w:tab w:val="clear" w:pos="9072"/>
      </w:tabs>
      <w:spacing w:before="0" w:beforeAutospacing="0" w:after="0" w:afterAutospacing="0"/>
      <w:jc w:val="center"/>
      <w:rPr>
        <w:rFonts w:ascii="Garamond" w:hAnsi="Garamond"/>
        <w:sz w:val="18"/>
        <w:szCs w:val="18"/>
      </w:rPr>
    </w:pPr>
    <w:r w:rsidRPr="00DC3780">
      <w:rPr>
        <w:rFonts w:ascii="Garamond" w:hAnsi="Garamond"/>
        <w:sz w:val="18"/>
        <w:szCs w:val="18"/>
      </w:rPr>
      <w:t xml:space="preserve">Ministerstwo </w:t>
    </w:r>
    <w:r w:rsidR="009500AA">
      <w:rPr>
        <w:rFonts w:ascii="Garamond" w:hAnsi="Garamond"/>
        <w:sz w:val="18"/>
        <w:szCs w:val="18"/>
      </w:rPr>
      <w:t>Inwestycji i Rozwoju</w:t>
    </w:r>
  </w:p>
  <w:p w:rsidR="00D86769" w:rsidRPr="00DC3780" w:rsidRDefault="0069713C" w:rsidP="003C0606">
    <w:pPr>
      <w:pStyle w:val="Stopka"/>
      <w:pBdr>
        <w:top w:val="single" w:sz="4" w:space="1" w:color="auto"/>
      </w:pBdr>
      <w:tabs>
        <w:tab w:val="clear" w:pos="4536"/>
        <w:tab w:val="clear" w:pos="9072"/>
      </w:tabs>
      <w:spacing w:before="0" w:beforeAutospacing="0" w:after="0" w:afterAutospacing="0"/>
      <w:jc w:val="center"/>
      <w:rPr>
        <w:rFonts w:ascii="Garamond" w:hAnsi="Garamond"/>
        <w:sz w:val="18"/>
        <w:szCs w:val="18"/>
      </w:rPr>
    </w:pPr>
    <w:r>
      <w:rPr>
        <w:rFonts w:ascii="Garamond" w:hAnsi="Garamond"/>
        <w:sz w:val="18"/>
        <w:szCs w:val="18"/>
      </w:rPr>
      <w:t>Biuro</w:t>
    </w:r>
    <w:r w:rsidR="00384F2A">
      <w:rPr>
        <w:rFonts w:ascii="Garamond" w:hAnsi="Garamond"/>
        <w:sz w:val="18"/>
        <w:szCs w:val="18"/>
      </w:rPr>
      <w:t xml:space="preserve"> Komunikacji</w:t>
    </w:r>
  </w:p>
  <w:p w:rsidR="00D86769" w:rsidRPr="00857A77" w:rsidRDefault="0069713C" w:rsidP="003C0606">
    <w:pPr>
      <w:pStyle w:val="Stopka"/>
      <w:tabs>
        <w:tab w:val="clear" w:pos="4536"/>
        <w:tab w:val="center" w:pos="2340"/>
      </w:tabs>
      <w:spacing w:before="0" w:beforeAutospacing="0" w:after="0" w:afterAutospacing="0"/>
      <w:jc w:val="center"/>
      <w:rPr>
        <w:rFonts w:ascii="Garamond" w:hAnsi="Garamond"/>
        <w:sz w:val="18"/>
        <w:szCs w:val="18"/>
        <w:lang w:val="de-DE"/>
      </w:rPr>
    </w:pPr>
    <w:r>
      <w:rPr>
        <w:rFonts w:ascii="Garamond" w:hAnsi="Garamond"/>
        <w:sz w:val="18"/>
        <w:szCs w:val="18"/>
        <w:lang w:val="de-DE"/>
      </w:rPr>
      <w:t>tel.: 22 273 85 11</w:t>
    </w:r>
  </w:p>
  <w:p w:rsidR="00D86769" w:rsidRPr="00A50C75" w:rsidRDefault="00D86769" w:rsidP="003C0606">
    <w:pPr>
      <w:pStyle w:val="Stopka"/>
      <w:tabs>
        <w:tab w:val="clear" w:pos="4536"/>
        <w:tab w:val="center" w:pos="2340"/>
      </w:tabs>
      <w:spacing w:before="0" w:beforeAutospacing="0" w:after="0" w:afterAutospacing="0"/>
      <w:jc w:val="center"/>
      <w:rPr>
        <w:color w:val="0066CC"/>
        <w:lang w:val="de-DE"/>
      </w:rPr>
    </w:pPr>
    <w:proofErr w:type="spellStart"/>
    <w:r w:rsidRPr="00645F81">
      <w:rPr>
        <w:rFonts w:ascii="Garamond" w:hAnsi="Garamond"/>
        <w:sz w:val="18"/>
        <w:szCs w:val="18"/>
        <w:lang w:val="de-DE"/>
      </w:rPr>
      <w:t>e-mail</w:t>
    </w:r>
    <w:proofErr w:type="spellEnd"/>
    <w:r w:rsidRPr="00645F81">
      <w:rPr>
        <w:rFonts w:ascii="Garamond" w:hAnsi="Garamond"/>
        <w:sz w:val="18"/>
        <w:szCs w:val="18"/>
        <w:lang w:val="de-DE"/>
      </w:rPr>
      <w:t>:</w:t>
    </w:r>
    <w:r w:rsidRPr="0075022D">
      <w:rPr>
        <w:rFonts w:ascii="Garamond" w:hAnsi="Garamond"/>
        <w:color w:val="3366FF"/>
        <w:sz w:val="18"/>
        <w:szCs w:val="18"/>
        <w:lang w:val="de-DE"/>
      </w:rPr>
      <w:t xml:space="preserve"> </w:t>
    </w:r>
    <w:hyperlink r:id="rId1" w:history="1">
      <w:r w:rsidR="00F9712E" w:rsidRPr="00951540">
        <w:rPr>
          <w:rStyle w:val="Hipercze"/>
          <w:rFonts w:ascii="Garamond" w:hAnsi="Garamond"/>
          <w:sz w:val="18"/>
          <w:szCs w:val="18"/>
          <w:lang w:val="de-DE"/>
        </w:rPr>
        <w:t>media@miir.gov.pl</w:t>
      </w:r>
    </w:hyperlink>
    <w:r w:rsidR="00CA6B4B">
      <w:rPr>
        <w:rFonts w:ascii="Garamond" w:hAnsi="Garamond"/>
        <w:color w:val="0066CC"/>
        <w:sz w:val="18"/>
        <w:szCs w:val="18"/>
        <w:lang w:val="de-DE"/>
      </w:rPr>
      <w:t xml:space="preserve">, </w:t>
    </w:r>
    <w:hyperlink r:id="rId2" w:history="1">
      <w:r w:rsidR="009500AA" w:rsidRPr="00AA37CE">
        <w:rPr>
          <w:rStyle w:val="Hipercze"/>
          <w:rFonts w:ascii="Garamond" w:hAnsi="Garamond"/>
          <w:sz w:val="18"/>
          <w:szCs w:val="18"/>
          <w:lang w:val="de-DE"/>
        </w:rPr>
        <w:t>www.miir.gov.pl</w:t>
      </w:r>
    </w:hyperlink>
    <w:r w:rsidRPr="00A50C75">
      <w:rPr>
        <w:rFonts w:ascii="Garamond" w:hAnsi="Garamond"/>
        <w:color w:val="0066CC"/>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33" w:rsidRDefault="003B6433">
      <w:r>
        <w:separator/>
      </w:r>
    </w:p>
  </w:footnote>
  <w:footnote w:type="continuationSeparator" w:id="0">
    <w:p w:rsidR="003B6433" w:rsidRDefault="003B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13" w:rsidRDefault="00857A77" w:rsidP="00E420E6">
    <w:pPr>
      <w:pStyle w:val="Nagwek"/>
      <w:tabs>
        <w:tab w:val="clear" w:pos="4536"/>
        <w:tab w:val="clear" w:pos="9072"/>
        <w:tab w:val="left" w:pos="8115"/>
      </w:tabs>
      <w:jc w:val="left"/>
    </w:pPr>
    <w:r>
      <w:rPr>
        <w:noProof/>
      </w:rPr>
      <w:drawing>
        <wp:inline distT="0" distB="0" distL="0" distR="0" wp14:anchorId="0FE63B46" wp14:editId="0E7C9F9C">
          <wp:extent cx="1503985" cy="514350"/>
          <wp:effectExtent l="0" t="0" r="1270" b="0"/>
          <wp:docPr id="8" name="Obraz 8" descr="Po prawej stronie orła o czarnych konturach napis &quot;Ministerstwo Inwestycji i Rozwoju. " title="Logo Ministerstwa Inwestycji i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wel_Nowak\AppData\Local\Temp\notesBAAA25\MIR_regular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98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8.25pt" o:bullet="t">
        <v:imagedata r:id="rId1" o:title="BD14515_"/>
      </v:shape>
    </w:pict>
  </w:numPicBullet>
  <w:numPicBullet w:numPicBulletId="1">
    <w:pict>
      <v:shape id="_x0000_i1030" type="#_x0000_t75" style="width:8.25pt;height:8.25pt" o:bullet="t">
        <v:imagedata r:id="rId2" o:title="BD10268_"/>
      </v:shape>
    </w:pict>
  </w:numPicBullet>
  <w:numPicBullet w:numPicBulletId="2">
    <w:pict>
      <v:shape id="_x0000_i1031" type="#_x0000_t75" style="width:8.25pt;height:8.25pt" o:bullet="t">
        <v:imagedata r:id="rId3" o:title="BD14754_"/>
      </v:shape>
    </w:pict>
  </w:numPicBullet>
  <w:abstractNum w:abstractNumId="0">
    <w:nsid w:val="FFFFFF82"/>
    <w:multiLevelType w:val="singleLevel"/>
    <w:tmpl w:val="61603C1C"/>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C4023CE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15"/>
    <w:multiLevelType w:val="multilevel"/>
    <w:tmpl w:val="00000015"/>
    <w:name w:val="WW8Num21"/>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20"/>
    <w:multiLevelType w:val="singleLevel"/>
    <w:tmpl w:val="00000020"/>
    <w:name w:val="WW8Num32"/>
    <w:lvl w:ilvl="0">
      <w:start w:val="1"/>
      <w:numFmt w:val="bullet"/>
      <w:lvlText w:val=""/>
      <w:lvlJc w:val="left"/>
      <w:pPr>
        <w:tabs>
          <w:tab w:val="num" w:pos="0"/>
        </w:tabs>
        <w:ind w:left="720" w:hanging="360"/>
      </w:pPr>
      <w:rPr>
        <w:rFonts w:ascii="Symbol" w:hAnsi="Symbol" w:cs="Wingdings"/>
        <w:spacing w:val="4"/>
        <w:sz w:val="20"/>
        <w:szCs w:val="20"/>
      </w:rPr>
    </w:lvl>
  </w:abstractNum>
  <w:abstractNum w:abstractNumId="4">
    <w:nsid w:val="00000030"/>
    <w:multiLevelType w:val="singleLevel"/>
    <w:tmpl w:val="00000030"/>
    <w:name w:val="WW8Num48"/>
    <w:lvl w:ilvl="0">
      <w:start w:val="1"/>
      <w:numFmt w:val="bullet"/>
      <w:lvlText w:val="-"/>
      <w:lvlJc w:val="left"/>
      <w:pPr>
        <w:tabs>
          <w:tab w:val="num" w:pos="927"/>
        </w:tabs>
        <w:ind w:left="927" w:hanging="360"/>
      </w:pPr>
      <w:rPr>
        <w:rFonts w:ascii="Courier New" w:hAnsi="Courier New" w:cs="Courier New"/>
      </w:rPr>
    </w:lvl>
  </w:abstractNum>
  <w:abstractNum w:abstractNumId="5">
    <w:nsid w:val="05A23F88"/>
    <w:multiLevelType w:val="hybridMultilevel"/>
    <w:tmpl w:val="1F324820"/>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5D1366"/>
    <w:multiLevelType w:val="hybridMultilevel"/>
    <w:tmpl w:val="E5AC8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900DAB"/>
    <w:multiLevelType w:val="hybridMultilevel"/>
    <w:tmpl w:val="FA3C8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340B59"/>
    <w:multiLevelType w:val="hybridMultilevel"/>
    <w:tmpl w:val="0CB28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864D52"/>
    <w:multiLevelType w:val="hybridMultilevel"/>
    <w:tmpl w:val="1FB6E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5D2B44"/>
    <w:multiLevelType w:val="hybridMultilevel"/>
    <w:tmpl w:val="F7AE6C68"/>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C36536"/>
    <w:multiLevelType w:val="hybridMultilevel"/>
    <w:tmpl w:val="1E60A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9D027D"/>
    <w:multiLevelType w:val="hybridMultilevel"/>
    <w:tmpl w:val="748C7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E20CF2"/>
    <w:multiLevelType w:val="hybridMultilevel"/>
    <w:tmpl w:val="BDC028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166002"/>
    <w:multiLevelType w:val="hybridMultilevel"/>
    <w:tmpl w:val="6EE00824"/>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F2E34ED"/>
    <w:multiLevelType w:val="hybridMultilevel"/>
    <w:tmpl w:val="8AE850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0323A"/>
    <w:multiLevelType w:val="hybridMultilevel"/>
    <w:tmpl w:val="677C8E2A"/>
    <w:lvl w:ilvl="0" w:tplc="3DCC3F1E">
      <w:start w:val="1"/>
      <w:numFmt w:val="upperRoman"/>
      <w:pStyle w:val="naglowek1"/>
      <w:lvlText w:val="%1."/>
      <w:lvlJc w:val="left"/>
      <w:pPr>
        <w:tabs>
          <w:tab w:val="num" w:pos="360"/>
        </w:tabs>
        <w:ind w:left="360" w:hanging="360"/>
      </w:pPr>
      <w:rPr>
        <w:rFonts w:hint="default"/>
      </w:rPr>
    </w:lvl>
    <w:lvl w:ilvl="1" w:tplc="1258025C">
      <w:start w:val="1"/>
      <w:numFmt w:val="decimal"/>
      <w:pStyle w:val="naglowek3"/>
      <w:lvlText w:val="%2."/>
      <w:lvlJc w:val="left"/>
      <w:pPr>
        <w:tabs>
          <w:tab w:val="num" w:pos="360"/>
        </w:tabs>
        <w:ind w:left="360" w:hanging="360"/>
      </w:pPr>
      <w:rPr>
        <w:rFonts w:hint="default"/>
      </w:rPr>
    </w:lvl>
    <w:lvl w:ilvl="2" w:tplc="A1085240">
      <w:start w:val="1"/>
      <w:numFmt w:val="bullet"/>
      <w:lvlText w:val=""/>
      <w:lvlJc w:val="left"/>
      <w:pPr>
        <w:tabs>
          <w:tab w:val="num" w:pos="1980"/>
        </w:tabs>
        <w:ind w:left="1980" w:hanging="360"/>
      </w:pPr>
      <w:rPr>
        <w:rFonts w:ascii="Symbol" w:hAnsi="Symbol"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7477581A"/>
    <w:multiLevelType w:val="hybridMultilevel"/>
    <w:tmpl w:val="4650C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E346FA0"/>
    <w:multiLevelType w:val="hybridMultilevel"/>
    <w:tmpl w:val="1AA69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0"/>
  </w:num>
  <w:num w:numId="5">
    <w:abstractNumId w:val="5"/>
  </w:num>
  <w:num w:numId="6">
    <w:abstractNumId w:val="14"/>
  </w:num>
  <w:num w:numId="7">
    <w:abstractNumId w:val="12"/>
  </w:num>
  <w:num w:numId="8">
    <w:abstractNumId w:val="13"/>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9"/>
  </w:num>
  <w:num w:numId="14">
    <w:abstractNumId w:val="17"/>
  </w:num>
  <w:num w:numId="15">
    <w:abstractNumId w:val="18"/>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88"/>
    <w:rsid w:val="00001E20"/>
    <w:rsid w:val="00003CCD"/>
    <w:rsid w:val="00004982"/>
    <w:rsid w:val="000051D3"/>
    <w:rsid w:val="00006135"/>
    <w:rsid w:val="00006DE0"/>
    <w:rsid w:val="000070A4"/>
    <w:rsid w:val="00007525"/>
    <w:rsid w:val="00007B2C"/>
    <w:rsid w:val="00011A8B"/>
    <w:rsid w:val="00014A02"/>
    <w:rsid w:val="00014EDC"/>
    <w:rsid w:val="000165DA"/>
    <w:rsid w:val="00020FBC"/>
    <w:rsid w:val="00026AD6"/>
    <w:rsid w:val="00027656"/>
    <w:rsid w:val="0003246E"/>
    <w:rsid w:val="000344B2"/>
    <w:rsid w:val="000350E0"/>
    <w:rsid w:val="000356E7"/>
    <w:rsid w:val="000373AE"/>
    <w:rsid w:val="00040D8A"/>
    <w:rsid w:val="00050DB5"/>
    <w:rsid w:val="000512F4"/>
    <w:rsid w:val="000522B7"/>
    <w:rsid w:val="00055DB0"/>
    <w:rsid w:val="00056566"/>
    <w:rsid w:val="00060792"/>
    <w:rsid w:val="000611F7"/>
    <w:rsid w:val="0006156F"/>
    <w:rsid w:val="00061C97"/>
    <w:rsid w:val="0006395F"/>
    <w:rsid w:val="00064E25"/>
    <w:rsid w:val="00065E3E"/>
    <w:rsid w:val="00065E74"/>
    <w:rsid w:val="00066C53"/>
    <w:rsid w:val="00067D9F"/>
    <w:rsid w:val="00067FCA"/>
    <w:rsid w:val="00070694"/>
    <w:rsid w:val="00071DE6"/>
    <w:rsid w:val="00072D14"/>
    <w:rsid w:val="000734F2"/>
    <w:rsid w:val="000743C3"/>
    <w:rsid w:val="000758EF"/>
    <w:rsid w:val="00075A33"/>
    <w:rsid w:val="00076CA4"/>
    <w:rsid w:val="0007713E"/>
    <w:rsid w:val="00082171"/>
    <w:rsid w:val="00083722"/>
    <w:rsid w:val="00084593"/>
    <w:rsid w:val="00085563"/>
    <w:rsid w:val="000859C4"/>
    <w:rsid w:val="00085DFF"/>
    <w:rsid w:val="00086367"/>
    <w:rsid w:val="00086CCD"/>
    <w:rsid w:val="00087829"/>
    <w:rsid w:val="00087A75"/>
    <w:rsid w:val="00091858"/>
    <w:rsid w:val="00091DC9"/>
    <w:rsid w:val="000943F0"/>
    <w:rsid w:val="00095259"/>
    <w:rsid w:val="000960AC"/>
    <w:rsid w:val="000A006F"/>
    <w:rsid w:val="000A1806"/>
    <w:rsid w:val="000A37D3"/>
    <w:rsid w:val="000A5656"/>
    <w:rsid w:val="000A5E55"/>
    <w:rsid w:val="000B014E"/>
    <w:rsid w:val="000B1357"/>
    <w:rsid w:val="000B4478"/>
    <w:rsid w:val="000B4D45"/>
    <w:rsid w:val="000B5543"/>
    <w:rsid w:val="000B5DB9"/>
    <w:rsid w:val="000B5F24"/>
    <w:rsid w:val="000B668C"/>
    <w:rsid w:val="000B6A0E"/>
    <w:rsid w:val="000B7372"/>
    <w:rsid w:val="000B75BF"/>
    <w:rsid w:val="000C25E6"/>
    <w:rsid w:val="000C2702"/>
    <w:rsid w:val="000C448B"/>
    <w:rsid w:val="000C664E"/>
    <w:rsid w:val="000C6988"/>
    <w:rsid w:val="000C6E89"/>
    <w:rsid w:val="000C7026"/>
    <w:rsid w:val="000D0681"/>
    <w:rsid w:val="000D089B"/>
    <w:rsid w:val="000D0D56"/>
    <w:rsid w:val="000D259B"/>
    <w:rsid w:val="000D4E6F"/>
    <w:rsid w:val="000D5E18"/>
    <w:rsid w:val="000D5E70"/>
    <w:rsid w:val="000D62EB"/>
    <w:rsid w:val="000D6C57"/>
    <w:rsid w:val="000D7E4C"/>
    <w:rsid w:val="000E4010"/>
    <w:rsid w:val="000E4B29"/>
    <w:rsid w:val="000E5331"/>
    <w:rsid w:val="000E5820"/>
    <w:rsid w:val="000E75A7"/>
    <w:rsid w:val="000F39FE"/>
    <w:rsid w:val="000F4DEE"/>
    <w:rsid w:val="000F53B9"/>
    <w:rsid w:val="000F567A"/>
    <w:rsid w:val="000F7B3E"/>
    <w:rsid w:val="00100214"/>
    <w:rsid w:val="00101960"/>
    <w:rsid w:val="001022ED"/>
    <w:rsid w:val="0010232F"/>
    <w:rsid w:val="00103205"/>
    <w:rsid w:val="00105B17"/>
    <w:rsid w:val="00105FED"/>
    <w:rsid w:val="001122D0"/>
    <w:rsid w:val="00112DF8"/>
    <w:rsid w:val="00117326"/>
    <w:rsid w:val="00120B0D"/>
    <w:rsid w:val="0012159A"/>
    <w:rsid w:val="00121D10"/>
    <w:rsid w:val="00122459"/>
    <w:rsid w:val="00132510"/>
    <w:rsid w:val="00135193"/>
    <w:rsid w:val="00141620"/>
    <w:rsid w:val="00142770"/>
    <w:rsid w:val="001429B3"/>
    <w:rsid w:val="00144E21"/>
    <w:rsid w:val="00146123"/>
    <w:rsid w:val="00147D5C"/>
    <w:rsid w:val="0015189A"/>
    <w:rsid w:val="00151AE6"/>
    <w:rsid w:val="00153933"/>
    <w:rsid w:val="00154509"/>
    <w:rsid w:val="0015479F"/>
    <w:rsid w:val="0015501D"/>
    <w:rsid w:val="00155BC9"/>
    <w:rsid w:val="001637F9"/>
    <w:rsid w:val="00166A4F"/>
    <w:rsid w:val="001727F3"/>
    <w:rsid w:val="00173E27"/>
    <w:rsid w:val="0017560D"/>
    <w:rsid w:val="001776CF"/>
    <w:rsid w:val="0017770B"/>
    <w:rsid w:val="00180FE0"/>
    <w:rsid w:val="00180FFD"/>
    <w:rsid w:val="001818EB"/>
    <w:rsid w:val="001857AE"/>
    <w:rsid w:val="00187123"/>
    <w:rsid w:val="001876F7"/>
    <w:rsid w:val="00190468"/>
    <w:rsid w:val="00190838"/>
    <w:rsid w:val="00192EE5"/>
    <w:rsid w:val="001932D9"/>
    <w:rsid w:val="001946B9"/>
    <w:rsid w:val="00197CBC"/>
    <w:rsid w:val="001A004D"/>
    <w:rsid w:val="001A1A71"/>
    <w:rsid w:val="001A3342"/>
    <w:rsid w:val="001A66BC"/>
    <w:rsid w:val="001A6FE4"/>
    <w:rsid w:val="001B1014"/>
    <w:rsid w:val="001B1057"/>
    <w:rsid w:val="001B1762"/>
    <w:rsid w:val="001B1933"/>
    <w:rsid w:val="001B217B"/>
    <w:rsid w:val="001B244E"/>
    <w:rsid w:val="001B3374"/>
    <w:rsid w:val="001B78BB"/>
    <w:rsid w:val="001C00C8"/>
    <w:rsid w:val="001C1486"/>
    <w:rsid w:val="001C20F8"/>
    <w:rsid w:val="001C24DC"/>
    <w:rsid w:val="001C42C5"/>
    <w:rsid w:val="001D27EB"/>
    <w:rsid w:val="001D368F"/>
    <w:rsid w:val="001D37AE"/>
    <w:rsid w:val="001D6D71"/>
    <w:rsid w:val="001E2C95"/>
    <w:rsid w:val="001E2F4C"/>
    <w:rsid w:val="001E3C25"/>
    <w:rsid w:val="001E4EBD"/>
    <w:rsid w:val="001E5236"/>
    <w:rsid w:val="001E76D0"/>
    <w:rsid w:val="001E7E71"/>
    <w:rsid w:val="001F48D7"/>
    <w:rsid w:val="002004F8"/>
    <w:rsid w:val="002014DE"/>
    <w:rsid w:val="00201854"/>
    <w:rsid w:val="0020368C"/>
    <w:rsid w:val="00203A89"/>
    <w:rsid w:val="00203F5B"/>
    <w:rsid w:val="00207869"/>
    <w:rsid w:val="00211B4F"/>
    <w:rsid w:val="0021306C"/>
    <w:rsid w:val="00213E6F"/>
    <w:rsid w:val="00214618"/>
    <w:rsid w:val="00214CAD"/>
    <w:rsid w:val="00216E96"/>
    <w:rsid w:val="00221791"/>
    <w:rsid w:val="00222908"/>
    <w:rsid w:val="002229FB"/>
    <w:rsid w:val="00225464"/>
    <w:rsid w:val="00225A13"/>
    <w:rsid w:val="00226EA2"/>
    <w:rsid w:val="0022759A"/>
    <w:rsid w:val="00230D2B"/>
    <w:rsid w:val="00230DBD"/>
    <w:rsid w:val="00231257"/>
    <w:rsid w:val="00233E94"/>
    <w:rsid w:val="00233F69"/>
    <w:rsid w:val="00234243"/>
    <w:rsid w:val="00235072"/>
    <w:rsid w:val="00236D72"/>
    <w:rsid w:val="0024249B"/>
    <w:rsid w:val="00244264"/>
    <w:rsid w:val="00246D5A"/>
    <w:rsid w:val="0025137E"/>
    <w:rsid w:val="00251401"/>
    <w:rsid w:val="00254CA0"/>
    <w:rsid w:val="0025529C"/>
    <w:rsid w:val="0025728F"/>
    <w:rsid w:val="0025765D"/>
    <w:rsid w:val="0025770E"/>
    <w:rsid w:val="00261F25"/>
    <w:rsid w:val="00263CEF"/>
    <w:rsid w:val="00267EF9"/>
    <w:rsid w:val="002750BA"/>
    <w:rsid w:val="00276241"/>
    <w:rsid w:val="002764B1"/>
    <w:rsid w:val="00276993"/>
    <w:rsid w:val="00282FF3"/>
    <w:rsid w:val="00287A19"/>
    <w:rsid w:val="002916E2"/>
    <w:rsid w:val="002930A8"/>
    <w:rsid w:val="00293B36"/>
    <w:rsid w:val="00293EB0"/>
    <w:rsid w:val="00297B78"/>
    <w:rsid w:val="002A01C1"/>
    <w:rsid w:val="002A138B"/>
    <w:rsid w:val="002A1D6C"/>
    <w:rsid w:val="002A2ED5"/>
    <w:rsid w:val="002A41E9"/>
    <w:rsid w:val="002A6694"/>
    <w:rsid w:val="002A6D67"/>
    <w:rsid w:val="002A6EC0"/>
    <w:rsid w:val="002A7596"/>
    <w:rsid w:val="002A7BCB"/>
    <w:rsid w:val="002B116C"/>
    <w:rsid w:val="002B1B6F"/>
    <w:rsid w:val="002B44C0"/>
    <w:rsid w:val="002B4577"/>
    <w:rsid w:val="002C04BC"/>
    <w:rsid w:val="002C0618"/>
    <w:rsid w:val="002C18E4"/>
    <w:rsid w:val="002C2503"/>
    <w:rsid w:val="002C3345"/>
    <w:rsid w:val="002C5476"/>
    <w:rsid w:val="002C6557"/>
    <w:rsid w:val="002C7424"/>
    <w:rsid w:val="002D3AD5"/>
    <w:rsid w:val="002D47E0"/>
    <w:rsid w:val="002D5368"/>
    <w:rsid w:val="002E192F"/>
    <w:rsid w:val="002E20A8"/>
    <w:rsid w:val="002E242F"/>
    <w:rsid w:val="002E4967"/>
    <w:rsid w:val="002E6662"/>
    <w:rsid w:val="002E6A9C"/>
    <w:rsid w:val="002F052D"/>
    <w:rsid w:val="002F0B0B"/>
    <w:rsid w:val="002F1161"/>
    <w:rsid w:val="002F31C7"/>
    <w:rsid w:val="002F51F0"/>
    <w:rsid w:val="002F6235"/>
    <w:rsid w:val="0030005C"/>
    <w:rsid w:val="0030248D"/>
    <w:rsid w:val="00303244"/>
    <w:rsid w:val="003037B2"/>
    <w:rsid w:val="00304BBB"/>
    <w:rsid w:val="00304F19"/>
    <w:rsid w:val="0030574D"/>
    <w:rsid w:val="00305D24"/>
    <w:rsid w:val="003076E8"/>
    <w:rsid w:val="003106F2"/>
    <w:rsid w:val="00310790"/>
    <w:rsid w:val="00311B38"/>
    <w:rsid w:val="00313034"/>
    <w:rsid w:val="00315F14"/>
    <w:rsid w:val="00316AC4"/>
    <w:rsid w:val="00317FD7"/>
    <w:rsid w:val="0032117E"/>
    <w:rsid w:val="0033132B"/>
    <w:rsid w:val="003325CB"/>
    <w:rsid w:val="00336171"/>
    <w:rsid w:val="00347442"/>
    <w:rsid w:val="003500F7"/>
    <w:rsid w:val="00350AC2"/>
    <w:rsid w:val="00355C53"/>
    <w:rsid w:val="00356859"/>
    <w:rsid w:val="00360104"/>
    <w:rsid w:val="003604CF"/>
    <w:rsid w:val="003608D1"/>
    <w:rsid w:val="003616E9"/>
    <w:rsid w:val="00362A8E"/>
    <w:rsid w:val="0036417F"/>
    <w:rsid w:val="0037084A"/>
    <w:rsid w:val="00370BA1"/>
    <w:rsid w:val="0037148F"/>
    <w:rsid w:val="00371D02"/>
    <w:rsid w:val="00372C86"/>
    <w:rsid w:val="003732B2"/>
    <w:rsid w:val="0037348B"/>
    <w:rsid w:val="00373C6F"/>
    <w:rsid w:val="00374027"/>
    <w:rsid w:val="003743A3"/>
    <w:rsid w:val="0037643E"/>
    <w:rsid w:val="00377B6D"/>
    <w:rsid w:val="00380501"/>
    <w:rsid w:val="00380656"/>
    <w:rsid w:val="00382792"/>
    <w:rsid w:val="00384C5E"/>
    <w:rsid w:val="00384F2A"/>
    <w:rsid w:val="00386AC3"/>
    <w:rsid w:val="00386CF8"/>
    <w:rsid w:val="00386E65"/>
    <w:rsid w:val="0038754B"/>
    <w:rsid w:val="003901DC"/>
    <w:rsid w:val="0039584C"/>
    <w:rsid w:val="00395CA7"/>
    <w:rsid w:val="003A01E5"/>
    <w:rsid w:val="003A2E9A"/>
    <w:rsid w:val="003A3A0C"/>
    <w:rsid w:val="003A5CD9"/>
    <w:rsid w:val="003A6A4C"/>
    <w:rsid w:val="003A77CE"/>
    <w:rsid w:val="003B0D77"/>
    <w:rsid w:val="003B2DAB"/>
    <w:rsid w:val="003B6433"/>
    <w:rsid w:val="003B68A4"/>
    <w:rsid w:val="003C0606"/>
    <w:rsid w:val="003C0E6C"/>
    <w:rsid w:val="003C14EF"/>
    <w:rsid w:val="003C3C43"/>
    <w:rsid w:val="003C4576"/>
    <w:rsid w:val="003C616D"/>
    <w:rsid w:val="003C69B7"/>
    <w:rsid w:val="003C7191"/>
    <w:rsid w:val="003D022B"/>
    <w:rsid w:val="003D0BB2"/>
    <w:rsid w:val="003D11C2"/>
    <w:rsid w:val="003D17F9"/>
    <w:rsid w:val="003D593B"/>
    <w:rsid w:val="003D7BFB"/>
    <w:rsid w:val="003E3AA3"/>
    <w:rsid w:val="003E4047"/>
    <w:rsid w:val="003E6B4D"/>
    <w:rsid w:val="003F1539"/>
    <w:rsid w:val="003F1C1C"/>
    <w:rsid w:val="003F3FEE"/>
    <w:rsid w:val="003F4BB4"/>
    <w:rsid w:val="003F5310"/>
    <w:rsid w:val="004032D7"/>
    <w:rsid w:val="004052C7"/>
    <w:rsid w:val="00406C2B"/>
    <w:rsid w:val="00411046"/>
    <w:rsid w:val="00411BA1"/>
    <w:rsid w:val="00415168"/>
    <w:rsid w:val="00417F06"/>
    <w:rsid w:val="00421147"/>
    <w:rsid w:val="00421848"/>
    <w:rsid w:val="00421FA3"/>
    <w:rsid w:val="004223F6"/>
    <w:rsid w:val="00422D25"/>
    <w:rsid w:val="00423BA3"/>
    <w:rsid w:val="00425907"/>
    <w:rsid w:val="00426334"/>
    <w:rsid w:val="00430C41"/>
    <w:rsid w:val="0043397E"/>
    <w:rsid w:val="00437132"/>
    <w:rsid w:val="00437F18"/>
    <w:rsid w:val="004424E2"/>
    <w:rsid w:val="00444BBB"/>
    <w:rsid w:val="004513AE"/>
    <w:rsid w:val="00452F83"/>
    <w:rsid w:val="00453A4C"/>
    <w:rsid w:val="0045564F"/>
    <w:rsid w:val="004567FF"/>
    <w:rsid w:val="00457204"/>
    <w:rsid w:val="00461D9F"/>
    <w:rsid w:val="00466852"/>
    <w:rsid w:val="00467956"/>
    <w:rsid w:val="00467B8D"/>
    <w:rsid w:val="004720E9"/>
    <w:rsid w:val="00472E45"/>
    <w:rsid w:val="004751B4"/>
    <w:rsid w:val="00477AA3"/>
    <w:rsid w:val="00481464"/>
    <w:rsid w:val="00483405"/>
    <w:rsid w:val="00483BD2"/>
    <w:rsid w:val="00487777"/>
    <w:rsid w:val="00487A60"/>
    <w:rsid w:val="00490BAC"/>
    <w:rsid w:val="00491153"/>
    <w:rsid w:val="00494B49"/>
    <w:rsid w:val="0049631D"/>
    <w:rsid w:val="00496559"/>
    <w:rsid w:val="004A07E9"/>
    <w:rsid w:val="004A0F29"/>
    <w:rsid w:val="004A29F5"/>
    <w:rsid w:val="004A686A"/>
    <w:rsid w:val="004A790E"/>
    <w:rsid w:val="004A7B7E"/>
    <w:rsid w:val="004B1046"/>
    <w:rsid w:val="004B18E6"/>
    <w:rsid w:val="004B2475"/>
    <w:rsid w:val="004B2A5A"/>
    <w:rsid w:val="004B63FA"/>
    <w:rsid w:val="004B6ACB"/>
    <w:rsid w:val="004B7FE8"/>
    <w:rsid w:val="004C1C42"/>
    <w:rsid w:val="004C2DFD"/>
    <w:rsid w:val="004C61AF"/>
    <w:rsid w:val="004C70C3"/>
    <w:rsid w:val="004C7C09"/>
    <w:rsid w:val="004D1DFC"/>
    <w:rsid w:val="004D5C66"/>
    <w:rsid w:val="004D6264"/>
    <w:rsid w:val="004D75C6"/>
    <w:rsid w:val="004E3974"/>
    <w:rsid w:val="004E4417"/>
    <w:rsid w:val="004F0272"/>
    <w:rsid w:val="004F0AEE"/>
    <w:rsid w:val="004F1129"/>
    <w:rsid w:val="004F19FA"/>
    <w:rsid w:val="004F3885"/>
    <w:rsid w:val="004F3ADB"/>
    <w:rsid w:val="004F5024"/>
    <w:rsid w:val="004F5961"/>
    <w:rsid w:val="004F7630"/>
    <w:rsid w:val="00501DF2"/>
    <w:rsid w:val="005027A3"/>
    <w:rsid w:val="00505000"/>
    <w:rsid w:val="00505141"/>
    <w:rsid w:val="00505F2D"/>
    <w:rsid w:val="00506B0C"/>
    <w:rsid w:val="00507577"/>
    <w:rsid w:val="005125C3"/>
    <w:rsid w:val="005162E4"/>
    <w:rsid w:val="005222D0"/>
    <w:rsid w:val="00527367"/>
    <w:rsid w:val="00527541"/>
    <w:rsid w:val="005275DA"/>
    <w:rsid w:val="00527B54"/>
    <w:rsid w:val="00530EA0"/>
    <w:rsid w:val="00532CB4"/>
    <w:rsid w:val="0053387E"/>
    <w:rsid w:val="00535C20"/>
    <w:rsid w:val="005367C5"/>
    <w:rsid w:val="005379AF"/>
    <w:rsid w:val="00540BA2"/>
    <w:rsid w:val="00541F58"/>
    <w:rsid w:val="0054283B"/>
    <w:rsid w:val="00543D8C"/>
    <w:rsid w:val="00543FA6"/>
    <w:rsid w:val="005455C9"/>
    <w:rsid w:val="005457A9"/>
    <w:rsid w:val="005522DB"/>
    <w:rsid w:val="005532DC"/>
    <w:rsid w:val="005547C2"/>
    <w:rsid w:val="0055551D"/>
    <w:rsid w:val="00557B8D"/>
    <w:rsid w:val="00557E3F"/>
    <w:rsid w:val="00561AA3"/>
    <w:rsid w:val="00562604"/>
    <w:rsid w:val="005663F8"/>
    <w:rsid w:val="00567624"/>
    <w:rsid w:val="0057008B"/>
    <w:rsid w:val="00570D65"/>
    <w:rsid w:val="00571176"/>
    <w:rsid w:val="00571764"/>
    <w:rsid w:val="00572731"/>
    <w:rsid w:val="00572F69"/>
    <w:rsid w:val="005742D8"/>
    <w:rsid w:val="005742F0"/>
    <w:rsid w:val="00575C35"/>
    <w:rsid w:val="0057748E"/>
    <w:rsid w:val="00581E60"/>
    <w:rsid w:val="0058372D"/>
    <w:rsid w:val="0059081F"/>
    <w:rsid w:val="00591755"/>
    <w:rsid w:val="00592B78"/>
    <w:rsid w:val="0059344D"/>
    <w:rsid w:val="00594270"/>
    <w:rsid w:val="00596D72"/>
    <w:rsid w:val="00596EF2"/>
    <w:rsid w:val="00597E2E"/>
    <w:rsid w:val="005A1818"/>
    <w:rsid w:val="005A4400"/>
    <w:rsid w:val="005A4FBC"/>
    <w:rsid w:val="005A5016"/>
    <w:rsid w:val="005A5121"/>
    <w:rsid w:val="005A542D"/>
    <w:rsid w:val="005A71B3"/>
    <w:rsid w:val="005B08E9"/>
    <w:rsid w:val="005B0CC8"/>
    <w:rsid w:val="005B1F00"/>
    <w:rsid w:val="005B2320"/>
    <w:rsid w:val="005B3C3C"/>
    <w:rsid w:val="005B6D4E"/>
    <w:rsid w:val="005B7037"/>
    <w:rsid w:val="005C0C99"/>
    <w:rsid w:val="005C109F"/>
    <w:rsid w:val="005C34F8"/>
    <w:rsid w:val="005C4CE6"/>
    <w:rsid w:val="005C5C93"/>
    <w:rsid w:val="005C690A"/>
    <w:rsid w:val="005C7614"/>
    <w:rsid w:val="005D0B10"/>
    <w:rsid w:val="005D174F"/>
    <w:rsid w:val="005D2766"/>
    <w:rsid w:val="005D2F44"/>
    <w:rsid w:val="005D3FE9"/>
    <w:rsid w:val="005D5321"/>
    <w:rsid w:val="005D5AA8"/>
    <w:rsid w:val="005D5C1D"/>
    <w:rsid w:val="005D5D6B"/>
    <w:rsid w:val="005D5F16"/>
    <w:rsid w:val="005E178D"/>
    <w:rsid w:val="005E2917"/>
    <w:rsid w:val="005F29C6"/>
    <w:rsid w:val="005F2C85"/>
    <w:rsid w:val="005F3BF7"/>
    <w:rsid w:val="005F5C46"/>
    <w:rsid w:val="005F6862"/>
    <w:rsid w:val="005F692C"/>
    <w:rsid w:val="006005E1"/>
    <w:rsid w:val="00603497"/>
    <w:rsid w:val="00606187"/>
    <w:rsid w:val="00606233"/>
    <w:rsid w:val="00607433"/>
    <w:rsid w:val="006075A8"/>
    <w:rsid w:val="006133F9"/>
    <w:rsid w:val="006143F7"/>
    <w:rsid w:val="00614A8A"/>
    <w:rsid w:val="00614D93"/>
    <w:rsid w:val="006154C6"/>
    <w:rsid w:val="00615E2F"/>
    <w:rsid w:val="00616197"/>
    <w:rsid w:val="0061692C"/>
    <w:rsid w:val="00617EE7"/>
    <w:rsid w:val="00620102"/>
    <w:rsid w:val="00621EED"/>
    <w:rsid w:val="00621F80"/>
    <w:rsid w:val="0062332F"/>
    <w:rsid w:val="006236B5"/>
    <w:rsid w:val="0062408A"/>
    <w:rsid w:val="0062459B"/>
    <w:rsid w:val="006256B3"/>
    <w:rsid w:val="0063159F"/>
    <w:rsid w:val="00632C39"/>
    <w:rsid w:val="00634903"/>
    <w:rsid w:val="00635529"/>
    <w:rsid w:val="00636993"/>
    <w:rsid w:val="006369F5"/>
    <w:rsid w:val="00641393"/>
    <w:rsid w:val="00643C1D"/>
    <w:rsid w:val="006442A8"/>
    <w:rsid w:val="00645F81"/>
    <w:rsid w:val="006464DF"/>
    <w:rsid w:val="0064772C"/>
    <w:rsid w:val="00660FE6"/>
    <w:rsid w:val="006614AB"/>
    <w:rsid w:val="00664417"/>
    <w:rsid w:val="00664A7C"/>
    <w:rsid w:val="00664CB0"/>
    <w:rsid w:val="0067060A"/>
    <w:rsid w:val="0067139A"/>
    <w:rsid w:val="006718DE"/>
    <w:rsid w:val="00671A28"/>
    <w:rsid w:val="00672B39"/>
    <w:rsid w:val="006754B1"/>
    <w:rsid w:val="00677BC1"/>
    <w:rsid w:val="00677D65"/>
    <w:rsid w:val="0068136D"/>
    <w:rsid w:val="006855F9"/>
    <w:rsid w:val="00686634"/>
    <w:rsid w:val="00686C85"/>
    <w:rsid w:val="00687894"/>
    <w:rsid w:val="00690B46"/>
    <w:rsid w:val="00691495"/>
    <w:rsid w:val="00692C8D"/>
    <w:rsid w:val="006937A9"/>
    <w:rsid w:val="006937FF"/>
    <w:rsid w:val="00694076"/>
    <w:rsid w:val="0069713C"/>
    <w:rsid w:val="006971EB"/>
    <w:rsid w:val="00697332"/>
    <w:rsid w:val="0069753B"/>
    <w:rsid w:val="006A0C3F"/>
    <w:rsid w:val="006A1F00"/>
    <w:rsid w:val="006A4CE7"/>
    <w:rsid w:val="006A5BE3"/>
    <w:rsid w:val="006A77DA"/>
    <w:rsid w:val="006A7842"/>
    <w:rsid w:val="006B268C"/>
    <w:rsid w:val="006B3CFF"/>
    <w:rsid w:val="006B5C26"/>
    <w:rsid w:val="006C0202"/>
    <w:rsid w:val="006C4495"/>
    <w:rsid w:val="006C5424"/>
    <w:rsid w:val="006C72D1"/>
    <w:rsid w:val="006C7E5C"/>
    <w:rsid w:val="006D0781"/>
    <w:rsid w:val="006D36A4"/>
    <w:rsid w:val="006D3C5E"/>
    <w:rsid w:val="006D682A"/>
    <w:rsid w:val="006D6CE7"/>
    <w:rsid w:val="006E0D73"/>
    <w:rsid w:val="006E1B57"/>
    <w:rsid w:val="006E26C8"/>
    <w:rsid w:val="006E2C0C"/>
    <w:rsid w:val="006E3E1C"/>
    <w:rsid w:val="006E444B"/>
    <w:rsid w:val="006E5E94"/>
    <w:rsid w:val="00700547"/>
    <w:rsid w:val="00700821"/>
    <w:rsid w:val="007035B7"/>
    <w:rsid w:val="007041FA"/>
    <w:rsid w:val="007052C6"/>
    <w:rsid w:val="00712CB2"/>
    <w:rsid w:val="007170B8"/>
    <w:rsid w:val="007204C6"/>
    <w:rsid w:val="0072052C"/>
    <w:rsid w:val="0072291F"/>
    <w:rsid w:val="00722BA3"/>
    <w:rsid w:val="0072483E"/>
    <w:rsid w:val="0072628F"/>
    <w:rsid w:val="00731037"/>
    <w:rsid w:val="00733D65"/>
    <w:rsid w:val="00733DB8"/>
    <w:rsid w:val="00734B3A"/>
    <w:rsid w:val="007350F8"/>
    <w:rsid w:val="00740681"/>
    <w:rsid w:val="00743D2D"/>
    <w:rsid w:val="0075022D"/>
    <w:rsid w:val="0075098F"/>
    <w:rsid w:val="00751418"/>
    <w:rsid w:val="007518A0"/>
    <w:rsid w:val="007562CD"/>
    <w:rsid w:val="0075679B"/>
    <w:rsid w:val="0075722A"/>
    <w:rsid w:val="00760BBC"/>
    <w:rsid w:val="00764656"/>
    <w:rsid w:val="0076540C"/>
    <w:rsid w:val="00766DBF"/>
    <w:rsid w:val="00767333"/>
    <w:rsid w:val="00771D34"/>
    <w:rsid w:val="00774C73"/>
    <w:rsid w:val="007758E5"/>
    <w:rsid w:val="00775C7D"/>
    <w:rsid w:val="00776DCD"/>
    <w:rsid w:val="00776E2B"/>
    <w:rsid w:val="007810FB"/>
    <w:rsid w:val="00783F95"/>
    <w:rsid w:val="007848B0"/>
    <w:rsid w:val="00784EE2"/>
    <w:rsid w:val="00792412"/>
    <w:rsid w:val="00792B54"/>
    <w:rsid w:val="00792D06"/>
    <w:rsid w:val="00794862"/>
    <w:rsid w:val="00795347"/>
    <w:rsid w:val="00795A1F"/>
    <w:rsid w:val="00796405"/>
    <w:rsid w:val="007A05DA"/>
    <w:rsid w:val="007A1A33"/>
    <w:rsid w:val="007A6C2D"/>
    <w:rsid w:val="007A76D8"/>
    <w:rsid w:val="007A7C1B"/>
    <w:rsid w:val="007A7C86"/>
    <w:rsid w:val="007B0625"/>
    <w:rsid w:val="007B1359"/>
    <w:rsid w:val="007B2A0D"/>
    <w:rsid w:val="007B3EE3"/>
    <w:rsid w:val="007B4AC8"/>
    <w:rsid w:val="007B5CD0"/>
    <w:rsid w:val="007B5FFB"/>
    <w:rsid w:val="007B733A"/>
    <w:rsid w:val="007C04B3"/>
    <w:rsid w:val="007C09AE"/>
    <w:rsid w:val="007C28DC"/>
    <w:rsid w:val="007C30E0"/>
    <w:rsid w:val="007D0A2C"/>
    <w:rsid w:val="007D1212"/>
    <w:rsid w:val="007D179D"/>
    <w:rsid w:val="007D5795"/>
    <w:rsid w:val="007D5E31"/>
    <w:rsid w:val="007D66BC"/>
    <w:rsid w:val="007D676F"/>
    <w:rsid w:val="007D6C26"/>
    <w:rsid w:val="007E2203"/>
    <w:rsid w:val="007E28C5"/>
    <w:rsid w:val="007E2BE3"/>
    <w:rsid w:val="007E2F2E"/>
    <w:rsid w:val="007E359D"/>
    <w:rsid w:val="007E6293"/>
    <w:rsid w:val="007E667F"/>
    <w:rsid w:val="007E7157"/>
    <w:rsid w:val="007F0B7D"/>
    <w:rsid w:val="007F1105"/>
    <w:rsid w:val="007F2F7A"/>
    <w:rsid w:val="007F60E4"/>
    <w:rsid w:val="007F65A8"/>
    <w:rsid w:val="007F7947"/>
    <w:rsid w:val="00801D8E"/>
    <w:rsid w:val="00801F66"/>
    <w:rsid w:val="00802C5F"/>
    <w:rsid w:val="00803538"/>
    <w:rsid w:val="00804B09"/>
    <w:rsid w:val="00804DCD"/>
    <w:rsid w:val="00806A8C"/>
    <w:rsid w:val="00807688"/>
    <w:rsid w:val="00811E72"/>
    <w:rsid w:val="008132B0"/>
    <w:rsid w:val="008161A3"/>
    <w:rsid w:val="008171C0"/>
    <w:rsid w:val="008175B7"/>
    <w:rsid w:val="00820F4A"/>
    <w:rsid w:val="008222E1"/>
    <w:rsid w:val="008223D2"/>
    <w:rsid w:val="00822F4A"/>
    <w:rsid w:val="008235D1"/>
    <w:rsid w:val="00823C76"/>
    <w:rsid w:val="008246B9"/>
    <w:rsid w:val="00826F9E"/>
    <w:rsid w:val="008305DA"/>
    <w:rsid w:val="00831090"/>
    <w:rsid w:val="00831BC6"/>
    <w:rsid w:val="00832224"/>
    <w:rsid w:val="008325BE"/>
    <w:rsid w:val="00833140"/>
    <w:rsid w:val="00833A57"/>
    <w:rsid w:val="00833BC0"/>
    <w:rsid w:val="008347E5"/>
    <w:rsid w:val="00840636"/>
    <w:rsid w:val="0084239D"/>
    <w:rsid w:val="00844437"/>
    <w:rsid w:val="0084583D"/>
    <w:rsid w:val="008460F4"/>
    <w:rsid w:val="00847D28"/>
    <w:rsid w:val="00851175"/>
    <w:rsid w:val="00851C66"/>
    <w:rsid w:val="00851E5D"/>
    <w:rsid w:val="0085205A"/>
    <w:rsid w:val="008578FC"/>
    <w:rsid w:val="00857A77"/>
    <w:rsid w:val="00861E76"/>
    <w:rsid w:val="008621B4"/>
    <w:rsid w:val="00863347"/>
    <w:rsid w:val="0086414A"/>
    <w:rsid w:val="00864B47"/>
    <w:rsid w:val="00865555"/>
    <w:rsid w:val="00867823"/>
    <w:rsid w:val="00867AF6"/>
    <w:rsid w:val="00871EBE"/>
    <w:rsid w:val="00872D5A"/>
    <w:rsid w:val="00875A89"/>
    <w:rsid w:val="00876A47"/>
    <w:rsid w:val="00876E50"/>
    <w:rsid w:val="00880954"/>
    <w:rsid w:val="00883805"/>
    <w:rsid w:val="00884C05"/>
    <w:rsid w:val="00890A87"/>
    <w:rsid w:val="0089131D"/>
    <w:rsid w:val="0089529C"/>
    <w:rsid w:val="008978EC"/>
    <w:rsid w:val="00897E0D"/>
    <w:rsid w:val="008A1935"/>
    <w:rsid w:val="008A25A6"/>
    <w:rsid w:val="008A2C06"/>
    <w:rsid w:val="008A45C5"/>
    <w:rsid w:val="008A5331"/>
    <w:rsid w:val="008A5A40"/>
    <w:rsid w:val="008B0B14"/>
    <w:rsid w:val="008B298B"/>
    <w:rsid w:val="008B3E06"/>
    <w:rsid w:val="008B500A"/>
    <w:rsid w:val="008C0826"/>
    <w:rsid w:val="008C0F8A"/>
    <w:rsid w:val="008C12D9"/>
    <w:rsid w:val="008C3AED"/>
    <w:rsid w:val="008C4E80"/>
    <w:rsid w:val="008C72F6"/>
    <w:rsid w:val="008D3AEB"/>
    <w:rsid w:val="008D3C12"/>
    <w:rsid w:val="008D5788"/>
    <w:rsid w:val="008D6EBA"/>
    <w:rsid w:val="008D724C"/>
    <w:rsid w:val="008E13D1"/>
    <w:rsid w:val="008E1C95"/>
    <w:rsid w:val="008E4987"/>
    <w:rsid w:val="008E55EF"/>
    <w:rsid w:val="008E64F7"/>
    <w:rsid w:val="008F1470"/>
    <w:rsid w:val="008F14BD"/>
    <w:rsid w:val="008F20CA"/>
    <w:rsid w:val="008F224B"/>
    <w:rsid w:val="008F2FFB"/>
    <w:rsid w:val="008F32CB"/>
    <w:rsid w:val="008F34CA"/>
    <w:rsid w:val="008F4A74"/>
    <w:rsid w:val="008F4F4E"/>
    <w:rsid w:val="008F5BB3"/>
    <w:rsid w:val="008F7832"/>
    <w:rsid w:val="008F799C"/>
    <w:rsid w:val="008F7C30"/>
    <w:rsid w:val="00901840"/>
    <w:rsid w:val="00901D5A"/>
    <w:rsid w:val="009054F2"/>
    <w:rsid w:val="00911BA2"/>
    <w:rsid w:val="00912815"/>
    <w:rsid w:val="0091427B"/>
    <w:rsid w:val="00916DFF"/>
    <w:rsid w:val="00917220"/>
    <w:rsid w:val="00917484"/>
    <w:rsid w:val="009204AC"/>
    <w:rsid w:val="00920945"/>
    <w:rsid w:val="00921C05"/>
    <w:rsid w:val="009224EE"/>
    <w:rsid w:val="00922C44"/>
    <w:rsid w:val="00926C91"/>
    <w:rsid w:val="00926E6C"/>
    <w:rsid w:val="00926FE1"/>
    <w:rsid w:val="00930B3B"/>
    <w:rsid w:val="009330DC"/>
    <w:rsid w:val="00933249"/>
    <w:rsid w:val="00934F31"/>
    <w:rsid w:val="0093638C"/>
    <w:rsid w:val="00942525"/>
    <w:rsid w:val="009457AE"/>
    <w:rsid w:val="009478A2"/>
    <w:rsid w:val="009500AA"/>
    <w:rsid w:val="009508A9"/>
    <w:rsid w:val="00951409"/>
    <w:rsid w:val="009544F3"/>
    <w:rsid w:val="00955151"/>
    <w:rsid w:val="00956001"/>
    <w:rsid w:val="00963F0A"/>
    <w:rsid w:val="009652BF"/>
    <w:rsid w:val="00965CED"/>
    <w:rsid w:val="00966127"/>
    <w:rsid w:val="00967CE4"/>
    <w:rsid w:val="00972363"/>
    <w:rsid w:val="009732A0"/>
    <w:rsid w:val="00973FF9"/>
    <w:rsid w:val="00974E46"/>
    <w:rsid w:val="00975330"/>
    <w:rsid w:val="00975882"/>
    <w:rsid w:val="00976D44"/>
    <w:rsid w:val="00977F5E"/>
    <w:rsid w:val="009806DF"/>
    <w:rsid w:val="00981F46"/>
    <w:rsid w:val="0098286F"/>
    <w:rsid w:val="009847F3"/>
    <w:rsid w:val="00985902"/>
    <w:rsid w:val="00986836"/>
    <w:rsid w:val="009911C2"/>
    <w:rsid w:val="00995C82"/>
    <w:rsid w:val="009A03A6"/>
    <w:rsid w:val="009A0966"/>
    <w:rsid w:val="009A115F"/>
    <w:rsid w:val="009A1ECE"/>
    <w:rsid w:val="009A2086"/>
    <w:rsid w:val="009A2888"/>
    <w:rsid w:val="009A3A55"/>
    <w:rsid w:val="009A4EDE"/>
    <w:rsid w:val="009A70DA"/>
    <w:rsid w:val="009B130F"/>
    <w:rsid w:val="009B1859"/>
    <w:rsid w:val="009C0DC5"/>
    <w:rsid w:val="009C2BE6"/>
    <w:rsid w:val="009C2C17"/>
    <w:rsid w:val="009C33AB"/>
    <w:rsid w:val="009C44CB"/>
    <w:rsid w:val="009D1C6E"/>
    <w:rsid w:val="009D3374"/>
    <w:rsid w:val="009D4FEA"/>
    <w:rsid w:val="009D53E9"/>
    <w:rsid w:val="009D60BC"/>
    <w:rsid w:val="009D6337"/>
    <w:rsid w:val="009D69F0"/>
    <w:rsid w:val="009D7A59"/>
    <w:rsid w:val="009E264F"/>
    <w:rsid w:val="009E33DD"/>
    <w:rsid w:val="009E5175"/>
    <w:rsid w:val="009E576E"/>
    <w:rsid w:val="009E6C37"/>
    <w:rsid w:val="009E75B8"/>
    <w:rsid w:val="009F057C"/>
    <w:rsid w:val="009F084B"/>
    <w:rsid w:val="009F0C0F"/>
    <w:rsid w:val="009F2ABF"/>
    <w:rsid w:val="009F4F09"/>
    <w:rsid w:val="009F4F5C"/>
    <w:rsid w:val="009F70FE"/>
    <w:rsid w:val="009F7100"/>
    <w:rsid w:val="009F767D"/>
    <w:rsid w:val="00A00129"/>
    <w:rsid w:val="00A023CF"/>
    <w:rsid w:val="00A078A4"/>
    <w:rsid w:val="00A101BD"/>
    <w:rsid w:val="00A11E94"/>
    <w:rsid w:val="00A1236E"/>
    <w:rsid w:val="00A14802"/>
    <w:rsid w:val="00A179EF"/>
    <w:rsid w:val="00A17C12"/>
    <w:rsid w:val="00A20503"/>
    <w:rsid w:val="00A21FBB"/>
    <w:rsid w:val="00A22319"/>
    <w:rsid w:val="00A25BA2"/>
    <w:rsid w:val="00A2635F"/>
    <w:rsid w:val="00A30B03"/>
    <w:rsid w:val="00A30B54"/>
    <w:rsid w:val="00A310A5"/>
    <w:rsid w:val="00A4065E"/>
    <w:rsid w:val="00A41124"/>
    <w:rsid w:val="00A43316"/>
    <w:rsid w:val="00A43401"/>
    <w:rsid w:val="00A4763E"/>
    <w:rsid w:val="00A50C75"/>
    <w:rsid w:val="00A55041"/>
    <w:rsid w:val="00A63957"/>
    <w:rsid w:val="00A6508D"/>
    <w:rsid w:val="00A7060E"/>
    <w:rsid w:val="00A708A6"/>
    <w:rsid w:val="00A75B92"/>
    <w:rsid w:val="00A77A23"/>
    <w:rsid w:val="00A806C8"/>
    <w:rsid w:val="00A86EEF"/>
    <w:rsid w:val="00A90172"/>
    <w:rsid w:val="00A91209"/>
    <w:rsid w:val="00A91F17"/>
    <w:rsid w:val="00A9294E"/>
    <w:rsid w:val="00A92A7C"/>
    <w:rsid w:val="00A96F0F"/>
    <w:rsid w:val="00AA000D"/>
    <w:rsid w:val="00AA23EC"/>
    <w:rsid w:val="00AA33D7"/>
    <w:rsid w:val="00AA538E"/>
    <w:rsid w:val="00AB0753"/>
    <w:rsid w:val="00AC0EEC"/>
    <w:rsid w:val="00AC120D"/>
    <w:rsid w:val="00AC46E9"/>
    <w:rsid w:val="00AC487C"/>
    <w:rsid w:val="00AD054E"/>
    <w:rsid w:val="00AD7233"/>
    <w:rsid w:val="00AD7265"/>
    <w:rsid w:val="00AE01D3"/>
    <w:rsid w:val="00AE0CB3"/>
    <w:rsid w:val="00AE2F1F"/>
    <w:rsid w:val="00AE3EAF"/>
    <w:rsid w:val="00AE579A"/>
    <w:rsid w:val="00AE635A"/>
    <w:rsid w:val="00AF0332"/>
    <w:rsid w:val="00AF1921"/>
    <w:rsid w:val="00AF1B79"/>
    <w:rsid w:val="00AF2BBB"/>
    <w:rsid w:val="00AF46E9"/>
    <w:rsid w:val="00AF6B3C"/>
    <w:rsid w:val="00AF6FA8"/>
    <w:rsid w:val="00AF7F35"/>
    <w:rsid w:val="00B0025A"/>
    <w:rsid w:val="00B01065"/>
    <w:rsid w:val="00B0411E"/>
    <w:rsid w:val="00B04FEF"/>
    <w:rsid w:val="00B071E9"/>
    <w:rsid w:val="00B07DA4"/>
    <w:rsid w:val="00B1063C"/>
    <w:rsid w:val="00B11859"/>
    <w:rsid w:val="00B128FC"/>
    <w:rsid w:val="00B13461"/>
    <w:rsid w:val="00B13575"/>
    <w:rsid w:val="00B150E0"/>
    <w:rsid w:val="00B160B6"/>
    <w:rsid w:val="00B1736C"/>
    <w:rsid w:val="00B17BB1"/>
    <w:rsid w:val="00B17F12"/>
    <w:rsid w:val="00B2062C"/>
    <w:rsid w:val="00B22F7B"/>
    <w:rsid w:val="00B23DB9"/>
    <w:rsid w:val="00B300DB"/>
    <w:rsid w:val="00B34025"/>
    <w:rsid w:val="00B35A13"/>
    <w:rsid w:val="00B37F26"/>
    <w:rsid w:val="00B419FB"/>
    <w:rsid w:val="00B41FB8"/>
    <w:rsid w:val="00B442CA"/>
    <w:rsid w:val="00B4731C"/>
    <w:rsid w:val="00B4789C"/>
    <w:rsid w:val="00B51B54"/>
    <w:rsid w:val="00B524A4"/>
    <w:rsid w:val="00B5463E"/>
    <w:rsid w:val="00B54D77"/>
    <w:rsid w:val="00B55CC4"/>
    <w:rsid w:val="00B57CF2"/>
    <w:rsid w:val="00B60268"/>
    <w:rsid w:val="00B60377"/>
    <w:rsid w:val="00B60B6E"/>
    <w:rsid w:val="00B61D42"/>
    <w:rsid w:val="00B635B5"/>
    <w:rsid w:val="00B63824"/>
    <w:rsid w:val="00B640CF"/>
    <w:rsid w:val="00B708FB"/>
    <w:rsid w:val="00B724AE"/>
    <w:rsid w:val="00B76D56"/>
    <w:rsid w:val="00B81A87"/>
    <w:rsid w:val="00B86E05"/>
    <w:rsid w:val="00B916E6"/>
    <w:rsid w:val="00B920B6"/>
    <w:rsid w:val="00B93A74"/>
    <w:rsid w:val="00B969DE"/>
    <w:rsid w:val="00BA005B"/>
    <w:rsid w:val="00BA18E9"/>
    <w:rsid w:val="00BA18F9"/>
    <w:rsid w:val="00BA3FBE"/>
    <w:rsid w:val="00BA44B1"/>
    <w:rsid w:val="00BA4B07"/>
    <w:rsid w:val="00BA6D28"/>
    <w:rsid w:val="00BA6EBC"/>
    <w:rsid w:val="00BA7628"/>
    <w:rsid w:val="00BA795E"/>
    <w:rsid w:val="00BB118F"/>
    <w:rsid w:val="00BB2C5A"/>
    <w:rsid w:val="00BB3B12"/>
    <w:rsid w:val="00BB511B"/>
    <w:rsid w:val="00BB62F1"/>
    <w:rsid w:val="00BC02E9"/>
    <w:rsid w:val="00BC035D"/>
    <w:rsid w:val="00BC03EC"/>
    <w:rsid w:val="00BC6D9B"/>
    <w:rsid w:val="00BC7B8B"/>
    <w:rsid w:val="00BD05C6"/>
    <w:rsid w:val="00BD0CC8"/>
    <w:rsid w:val="00BD1961"/>
    <w:rsid w:val="00BD26D9"/>
    <w:rsid w:val="00BD30BD"/>
    <w:rsid w:val="00BD3632"/>
    <w:rsid w:val="00BD3C84"/>
    <w:rsid w:val="00BD4871"/>
    <w:rsid w:val="00BD4912"/>
    <w:rsid w:val="00BD6981"/>
    <w:rsid w:val="00BD7537"/>
    <w:rsid w:val="00BD7AF6"/>
    <w:rsid w:val="00BE0918"/>
    <w:rsid w:val="00BE0FFA"/>
    <w:rsid w:val="00BE1D07"/>
    <w:rsid w:val="00BE2E3A"/>
    <w:rsid w:val="00BE3722"/>
    <w:rsid w:val="00BE6082"/>
    <w:rsid w:val="00BE6C9E"/>
    <w:rsid w:val="00BF0170"/>
    <w:rsid w:val="00BF0D4D"/>
    <w:rsid w:val="00BF2FDC"/>
    <w:rsid w:val="00BF5FBA"/>
    <w:rsid w:val="00BF63C3"/>
    <w:rsid w:val="00BF79A8"/>
    <w:rsid w:val="00C01E96"/>
    <w:rsid w:val="00C02843"/>
    <w:rsid w:val="00C04191"/>
    <w:rsid w:val="00C07E95"/>
    <w:rsid w:val="00C10F2A"/>
    <w:rsid w:val="00C1768B"/>
    <w:rsid w:val="00C177A0"/>
    <w:rsid w:val="00C17CA1"/>
    <w:rsid w:val="00C17F9C"/>
    <w:rsid w:val="00C2142F"/>
    <w:rsid w:val="00C21A68"/>
    <w:rsid w:val="00C22A8F"/>
    <w:rsid w:val="00C25C59"/>
    <w:rsid w:val="00C2679C"/>
    <w:rsid w:val="00C2722D"/>
    <w:rsid w:val="00C27928"/>
    <w:rsid w:val="00C31B8A"/>
    <w:rsid w:val="00C31E6D"/>
    <w:rsid w:val="00C36077"/>
    <w:rsid w:val="00C37175"/>
    <w:rsid w:val="00C40925"/>
    <w:rsid w:val="00C42578"/>
    <w:rsid w:val="00C43C62"/>
    <w:rsid w:val="00C447B0"/>
    <w:rsid w:val="00C45EA3"/>
    <w:rsid w:val="00C46265"/>
    <w:rsid w:val="00C47596"/>
    <w:rsid w:val="00C51F54"/>
    <w:rsid w:val="00C5437F"/>
    <w:rsid w:val="00C57EB1"/>
    <w:rsid w:val="00C60649"/>
    <w:rsid w:val="00C61008"/>
    <w:rsid w:val="00C6124F"/>
    <w:rsid w:val="00C628AD"/>
    <w:rsid w:val="00C63564"/>
    <w:rsid w:val="00C64DC7"/>
    <w:rsid w:val="00C65076"/>
    <w:rsid w:val="00C6639B"/>
    <w:rsid w:val="00C716EE"/>
    <w:rsid w:val="00C71A54"/>
    <w:rsid w:val="00C73866"/>
    <w:rsid w:val="00C76DC3"/>
    <w:rsid w:val="00C777FC"/>
    <w:rsid w:val="00C80061"/>
    <w:rsid w:val="00C801BA"/>
    <w:rsid w:val="00C8022D"/>
    <w:rsid w:val="00C80870"/>
    <w:rsid w:val="00C80B0C"/>
    <w:rsid w:val="00C81E0D"/>
    <w:rsid w:val="00C82C45"/>
    <w:rsid w:val="00C8375F"/>
    <w:rsid w:val="00C86A86"/>
    <w:rsid w:val="00C903A4"/>
    <w:rsid w:val="00C93144"/>
    <w:rsid w:val="00C94A07"/>
    <w:rsid w:val="00C9583B"/>
    <w:rsid w:val="00C97122"/>
    <w:rsid w:val="00C97CFA"/>
    <w:rsid w:val="00CA0161"/>
    <w:rsid w:val="00CA01B5"/>
    <w:rsid w:val="00CA0BE7"/>
    <w:rsid w:val="00CA3204"/>
    <w:rsid w:val="00CA3F6B"/>
    <w:rsid w:val="00CA473C"/>
    <w:rsid w:val="00CA558E"/>
    <w:rsid w:val="00CA59CA"/>
    <w:rsid w:val="00CA6B4B"/>
    <w:rsid w:val="00CB47D4"/>
    <w:rsid w:val="00CB5E0B"/>
    <w:rsid w:val="00CB60F8"/>
    <w:rsid w:val="00CB7F42"/>
    <w:rsid w:val="00CC1B06"/>
    <w:rsid w:val="00CC1C1F"/>
    <w:rsid w:val="00CC3039"/>
    <w:rsid w:val="00CC585A"/>
    <w:rsid w:val="00CC5A69"/>
    <w:rsid w:val="00CC5ABE"/>
    <w:rsid w:val="00CC687F"/>
    <w:rsid w:val="00CD1DB1"/>
    <w:rsid w:val="00CD2AFC"/>
    <w:rsid w:val="00CD2B42"/>
    <w:rsid w:val="00CD30D3"/>
    <w:rsid w:val="00CD32DA"/>
    <w:rsid w:val="00CD373D"/>
    <w:rsid w:val="00CD3C34"/>
    <w:rsid w:val="00CD3DE0"/>
    <w:rsid w:val="00CD5B74"/>
    <w:rsid w:val="00CD7AF7"/>
    <w:rsid w:val="00CE279B"/>
    <w:rsid w:val="00CE4E20"/>
    <w:rsid w:val="00CE603E"/>
    <w:rsid w:val="00CE7CB5"/>
    <w:rsid w:val="00CF19D0"/>
    <w:rsid w:val="00CF3853"/>
    <w:rsid w:val="00CF436D"/>
    <w:rsid w:val="00CF6857"/>
    <w:rsid w:val="00D019AC"/>
    <w:rsid w:val="00D03D34"/>
    <w:rsid w:val="00D03D97"/>
    <w:rsid w:val="00D03DF0"/>
    <w:rsid w:val="00D052AC"/>
    <w:rsid w:val="00D0570F"/>
    <w:rsid w:val="00D06B13"/>
    <w:rsid w:val="00D075AA"/>
    <w:rsid w:val="00D117D2"/>
    <w:rsid w:val="00D12119"/>
    <w:rsid w:val="00D15A9B"/>
    <w:rsid w:val="00D17E60"/>
    <w:rsid w:val="00D21D94"/>
    <w:rsid w:val="00D21E7B"/>
    <w:rsid w:val="00D221A3"/>
    <w:rsid w:val="00D248CF"/>
    <w:rsid w:val="00D256FD"/>
    <w:rsid w:val="00D27D29"/>
    <w:rsid w:val="00D30867"/>
    <w:rsid w:val="00D31C80"/>
    <w:rsid w:val="00D324CB"/>
    <w:rsid w:val="00D32719"/>
    <w:rsid w:val="00D32CB5"/>
    <w:rsid w:val="00D3335B"/>
    <w:rsid w:val="00D33AE3"/>
    <w:rsid w:val="00D34B7A"/>
    <w:rsid w:val="00D36BAE"/>
    <w:rsid w:val="00D43011"/>
    <w:rsid w:val="00D43CF0"/>
    <w:rsid w:val="00D50CF5"/>
    <w:rsid w:val="00D518CD"/>
    <w:rsid w:val="00D51B5B"/>
    <w:rsid w:val="00D52A0A"/>
    <w:rsid w:val="00D5335A"/>
    <w:rsid w:val="00D53727"/>
    <w:rsid w:val="00D55D0D"/>
    <w:rsid w:val="00D565C5"/>
    <w:rsid w:val="00D57696"/>
    <w:rsid w:val="00D6393A"/>
    <w:rsid w:val="00D63B6E"/>
    <w:rsid w:val="00D65FE3"/>
    <w:rsid w:val="00D70EF8"/>
    <w:rsid w:val="00D7102D"/>
    <w:rsid w:val="00D756A8"/>
    <w:rsid w:val="00D76F1A"/>
    <w:rsid w:val="00D807E0"/>
    <w:rsid w:val="00D811D8"/>
    <w:rsid w:val="00D82D12"/>
    <w:rsid w:val="00D8356D"/>
    <w:rsid w:val="00D83E13"/>
    <w:rsid w:val="00D86769"/>
    <w:rsid w:val="00D96F7E"/>
    <w:rsid w:val="00D97F31"/>
    <w:rsid w:val="00DA060D"/>
    <w:rsid w:val="00DA142A"/>
    <w:rsid w:val="00DA2B48"/>
    <w:rsid w:val="00DA2BFB"/>
    <w:rsid w:val="00DA43BF"/>
    <w:rsid w:val="00DA515E"/>
    <w:rsid w:val="00DA5B83"/>
    <w:rsid w:val="00DA7878"/>
    <w:rsid w:val="00DB4D2F"/>
    <w:rsid w:val="00DB78DD"/>
    <w:rsid w:val="00DC3780"/>
    <w:rsid w:val="00DC59A2"/>
    <w:rsid w:val="00DD4036"/>
    <w:rsid w:val="00DD5C7C"/>
    <w:rsid w:val="00DE0437"/>
    <w:rsid w:val="00DE3E86"/>
    <w:rsid w:val="00DF2790"/>
    <w:rsid w:val="00DF4B0F"/>
    <w:rsid w:val="00DF4E85"/>
    <w:rsid w:val="00DF59CB"/>
    <w:rsid w:val="00E00852"/>
    <w:rsid w:val="00E00C15"/>
    <w:rsid w:val="00E03C35"/>
    <w:rsid w:val="00E04149"/>
    <w:rsid w:val="00E06605"/>
    <w:rsid w:val="00E12AD4"/>
    <w:rsid w:val="00E137F1"/>
    <w:rsid w:val="00E20F45"/>
    <w:rsid w:val="00E273AA"/>
    <w:rsid w:val="00E273B5"/>
    <w:rsid w:val="00E3122B"/>
    <w:rsid w:val="00E35ABB"/>
    <w:rsid w:val="00E36AF7"/>
    <w:rsid w:val="00E37247"/>
    <w:rsid w:val="00E3743D"/>
    <w:rsid w:val="00E37CC9"/>
    <w:rsid w:val="00E40A18"/>
    <w:rsid w:val="00E41F7E"/>
    <w:rsid w:val="00E420E6"/>
    <w:rsid w:val="00E42D2C"/>
    <w:rsid w:val="00E450C3"/>
    <w:rsid w:val="00E45EE0"/>
    <w:rsid w:val="00E46CA5"/>
    <w:rsid w:val="00E47F05"/>
    <w:rsid w:val="00E5256F"/>
    <w:rsid w:val="00E555A6"/>
    <w:rsid w:val="00E55FC9"/>
    <w:rsid w:val="00E601F6"/>
    <w:rsid w:val="00E627DF"/>
    <w:rsid w:val="00E62C34"/>
    <w:rsid w:val="00E62CF2"/>
    <w:rsid w:val="00E640DE"/>
    <w:rsid w:val="00E64640"/>
    <w:rsid w:val="00E670FC"/>
    <w:rsid w:val="00E67D12"/>
    <w:rsid w:val="00E67E9D"/>
    <w:rsid w:val="00E730A4"/>
    <w:rsid w:val="00E76F91"/>
    <w:rsid w:val="00E77587"/>
    <w:rsid w:val="00E806EA"/>
    <w:rsid w:val="00E83768"/>
    <w:rsid w:val="00E84618"/>
    <w:rsid w:val="00E84753"/>
    <w:rsid w:val="00E861A9"/>
    <w:rsid w:val="00E8688C"/>
    <w:rsid w:val="00E8696F"/>
    <w:rsid w:val="00E9456B"/>
    <w:rsid w:val="00E9646E"/>
    <w:rsid w:val="00EA1541"/>
    <w:rsid w:val="00EA39F8"/>
    <w:rsid w:val="00EA6937"/>
    <w:rsid w:val="00EA7F6C"/>
    <w:rsid w:val="00EB1872"/>
    <w:rsid w:val="00EB1C83"/>
    <w:rsid w:val="00EB5684"/>
    <w:rsid w:val="00EC02FD"/>
    <w:rsid w:val="00EC0890"/>
    <w:rsid w:val="00EC10CF"/>
    <w:rsid w:val="00EC2440"/>
    <w:rsid w:val="00EC4C2F"/>
    <w:rsid w:val="00EC78E2"/>
    <w:rsid w:val="00ED0AF0"/>
    <w:rsid w:val="00ED0C5A"/>
    <w:rsid w:val="00ED2703"/>
    <w:rsid w:val="00ED3216"/>
    <w:rsid w:val="00ED59F3"/>
    <w:rsid w:val="00ED61A5"/>
    <w:rsid w:val="00EE19E4"/>
    <w:rsid w:val="00EE5A73"/>
    <w:rsid w:val="00EE676D"/>
    <w:rsid w:val="00EE7C5E"/>
    <w:rsid w:val="00EF0220"/>
    <w:rsid w:val="00EF0747"/>
    <w:rsid w:val="00EF1597"/>
    <w:rsid w:val="00EF3891"/>
    <w:rsid w:val="00EF3FF7"/>
    <w:rsid w:val="00EF402C"/>
    <w:rsid w:val="00EF51B5"/>
    <w:rsid w:val="00EF7AEE"/>
    <w:rsid w:val="00F00557"/>
    <w:rsid w:val="00F01CD3"/>
    <w:rsid w:val="00F0239F"/>
    <w:rsid w:val="00F0494B"/>
    <w:rsid w:val="00F04E47"/>
    <w:rsid w:val="00F07569"/>
    <w:rsid w:val="00F124CB"/>
    <w:rsid w:val="00F12644"/>
    <w:rsid w:val="00F13F82"/>
    <w:rsid w:val="00F14F22"/>
    <w:rsid w:val="00F15248"/>
    <w:rsid w:val="00F15F0E"/>
    <w:rsid w:val="00F16DA3"/>
    <w:rsid w:val="00F21E80"/>
    <w:rsid w:val="00F22424"/>
    <w:rsid w:val="00F22D03"/>
    <w:rsid w:val="00F22EE6"/>
    <w:rsid w:val="00F23231"/>
    <w:rsid w:val="00F2550A"/>
    <w:rsid w:val="00F255AE"/>
    <w:rsid w:val="00F27916"/>
    <w:rsid w:val="00F30160"/>
    <w:rsid w:val="00F30F4E"/>
    <w:rsid w:val="00F3103B"/>
    <w:rsid w:val="00F31B4F"/>
    <w:rsid w:val="00F3220D"/>
    <w:rsid w:val="00F336A9"/>
    <w:rsid w:val="00F338D8"/>
    <w:rsid w:val="00F34ECE"/>
    <w:rsid w:val="00F35757"/>
    <w:rsid w:val="00F36F33"/>
    <w:rsid w:val="00F3736A"/>
    <w:rsid w:val="00F40465"/>
    <w:rsid w:val="00F42825"/>
    <w:rsid w:val="00F42955"/>
    <w:rsid w:val="00F42D44"/>
    <w:rsid w:val="00F43B11"/>
    <w:rsid w:val="00F44D8B"/>
    <w:rsid w:val="00F4598F"/>
    <w:rsid w:val="00F52207"/>
    <w:rsid w:val="00F54D05"/>
    <w:rsid w:val="00F55DB9"/>
    <w:rsid w:val="00F6146B"/>
    <w:rsid w:val="00F61BD7"/>
    <w:rsid w:val="00F62579"/>
    <w:rsid w:val="00F63F81"/>
    <w:rsid w:val="00F65525"/>
    <w:rsid w:val="00F665D5"/>
    <w:rsid w:val="00F67369"/>
    <w:rsid w:val="00F673C0"/>
    <w:rsid w:val="00F710A6"/>
    <w:rsid w:val="00F7651D"/>
    <w:rsid w:val="00F8771E"/>
    <w:rsid w:val="00F91F18"/>
    <w:rsid w:val="00F929F6"/>
    <w:rsid w:val="00F92EE3"/>
    <w:rsid w:val="00F93F6E"/>
    <w:rsid w:val="00F96B2B"/>
    <w:rsid w:val="00F9712E"/>
    <w:rsid w:val="00FA0720"/>
    <w:rsid w:val="00FA27A3"/>
    <w:rsid w:val="00FA5E3E"/>
    <w:rsid w:val="00FA61F9"/>
    <w:rsid w:val="00FA7276"/>
    <w:rsid w:val="00FA7FEE"/>
    <w:rsid w:val="00FB253B"/>
    <w:rsid w:val="00FB2B85"/>
    <w:rsid w:val="00FB5511"/>
    <w:rsid w:val="00FC2597"/>
    <w:rsid w:val="00FC3EF7"/>
    <w:rsid w:val="00FC4C41"/>
    <w:rsid w:val="00FC5ADC"/>
    <w:rsid w:val="00FC6943"/>
    <w:rsid w:val="00FD0108"/>
    <w:rsid w:val="00FD1C18"/>
    <w:rsid w:val="00FD26A9"/>
    <w:rsid w:val="00FD48FD"/>
    <w:rsid w:val="00FD5501"/>
    <w:rsid w:val="00FD5C18"/>
    <w:rsid w:val="00FD7213"/>
    <w:rsid w:val="00FD7AEC"/>
    <w:rsid w:val="00FE0052"/>
    <w:rsid w:val="00FE534B"/>
    <w:rsid w:val="00FE635A"/>
    <w:rsid w:val="00FF075F"/>
    <w:rsid w:val="00FF6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65D5"/>
    <w:pPr>
      <w:spacing w:before="100" w:beforeAutospacing="1" w:after="100" w:afterAutospacing="1"/>
      <w:jc w:val="both"/>
    </w:pPr>
    <w:rPr>
      <w:rFonts w:asciiTheme="minorHAnsi" w:hAnsiTheme="minorHAnsi"/>
      <w:sz w:val="28"/>
      <w:szCs w:val="24"/>
    </w:rPr>
  </w:style>
  <w:style w:type="paragraph" w:styleId="Nagwek1">
    <w:name w:val="heading 1"/>
    <w:basedOn w:val="Normalny"/>
    <w:next w:val="Normalny"/>
    <w:link w:val="Nagwek1Znak"/>
    <w:qFormat/>
    <w:rsid w:val="00F665D5"/>
    <w:pPr>
      <w:keepNext/>
      <w:outlineLvl w:val="0"/>
    </w:pPr>
    <w:rPr>
      <w:rFonts w:ascii="Calibri" w:hAnsi="Calibri" w:cs="Arial"/>
      <w:b/>
      <w:bCs/>
      <w:color w:val="002060"/>
      <w:kern w:val="32"/>
      <w:sz w:val="32"/>
      <w:szCs w:val="32"/>
    </w:rPr>
  </w:style>
  <w:style w:type="paragraph" w:styleId="Nagwek2">
    <w:name w:val="heading 2"/>
    <w:basedOn w:val="Normalny"/>
    <w:next w:val="Normalny"/>
    <w:qFormat/>
    <w:rsid w:val="00214618"/>
    <w:pPr>
      <w:keepNext/>
      <w:spacing w:before="240"/>
      <w:outlineLvl w:val="1"/>
    </w:pPr>
    <w:rPr>
      <w:rFonts w:ascii="Calibri" w:hAnsi="Calibri" w:cs="Arial"/>
      <w:b/>
      <w:bCs/>
      <w:iCs/>
      <w:sz w:val="24"/>
      <w:szCs w:val="28"/>
    </w:rPr>
  </w:style>
  <w:style w:type="paragraph" w:styleId="Nagwek3">
    <w:name w:val="heading 3"/>
    <w:basedOn w:val="Normalny"/>
    <w:next w:val="Normalny"/>
    <w:qFormat/>
    <w:rsid w:val="00E00C15"/>
    <w:pPr>
      <w:keepNext/>
      <w:spacing w:before="240"/>
      <w:outlineLvl w:val="2"/>
    </w:pPr>
    <w:rPr>
      <w:rFonts w:ascii="Arial" w:hAnsi="Arial" w:cs="Arial"/>
      <w:b/>
      <w:bCs/>
      <w:sz w:val="26"/>
      <w:szCs w:val="26"/>
    </w:rPr>
  </w:style>
  <w:style w:type="paragraph" w:styleId="Nagwek9">
    <w:name w:val="heading 9"/>
    <w:basedOn w:val="Normalny"/>
    <w:next w:val="Normalny"/>
    <w:qFormat/>
    <w:rsid w:val="00E00C15"/>
    <w:pPr>
      <w:spacing w:before="24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Nagwek">
    <w:name w:val="header"/>
    <w:basedOn w:val="Normalny"/>
    <w:link w:val="NagwekZnak"/>
    <w:uiPriority w:val="99"/>
    <w:rsid w:val="009847F3"/>
    <w:pPr>
      <w:tabs>
        <w:tab w:val="center" w:pos="4536"/>
        <w:tab w:val="right" w:pos="9072"/>
      </w:tabs>
    </w:pPr>
  </w:style>
  <w:style w:type="paragraph" w:styleId="Stopka">
    <w:name w:val="footer"/>
    <w:basedOn w:val="Normalny"/>
    <w:link w:val="StopkaZnak"/>
    <w:rsid w:val="009847F3"/>
    <w:pPr>
      <w:tabs>
        <w:tab w:val="center" w:pos="4536"/>
        <w:tab w:val="right" w:pos="9072"/>
      </w:tabs>
    </w:pPr>
  </w:style>
  <w:style w:type="character" w:styleId="Hipercze">
    <w:name w:val="Hyperlink"/>
    <w:rsid w:val="009847F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semiHidden/>
    <w:rsid w:val="00E00C1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rsid w:val="00E00C15"/>
    <w:rPr>
      <w:rFonts w:ascii="Tahoma" w:hAnsi="Tahoma"/>
      <w:lang w:val="pl-PL" w:eastAsia="pl-PL" w:bidi="ar-SA"/>
    </w:rPr>
  </w:style>
  <w:style w:type="character" w:styleId="Odwoanieprzypisudolnego">
    <w:name w:val="footnote reference"/>
    <w:aliases w:val="Footnote Reference Number"/>
    <w:semiHidden/>
    <w:rsid w:val="00E00C15"/>
    <w:rPr>
      <w:vertAlign w:val="superscript"/>
    </w:rPr>
  </w:style>
  <w:style w:type="paragraph" w:styleId="Tekstpodstawowy">
    <w:name w:val="Body Text"/>
    <w:aliases w:val="bt,b,block style,Tekst podstawowy Znak,szaro,Tekst podstawowy Znak Znak Znak Znak Znak Znak Znak Znak,wypunktowanie,b1,Tekst podstawowy Znak Znak,Tekst podstawowy Znak Znak Znak Znak Znak Znak,Tekst podstawowy Znak Znak Znak Znak Znak"/>
    <w:basedOn w:val="Normalny"/>
    <w:link w:val="TekstpodstawowyZnak1"/>
    <w:semiHidden/>
    <w:rsid w:val="00E00C15"/>
    <w:pPr>
      <w:spacing w:before="120" w:line="340" w:lineRule="atLeast"/>
      <w:ind w:firstLine="709"/>
    </w:pPr>
    <w:rPr>
      <w:sz w:val="26"/>
      <w:szCs w:val="20"/>
    </w:rPr>
  </w:style>
  <w:style w:type="character" w:customStyle="1" w:styleId="TekstpodstawowyZnak1">
    <w:name w:val="Tekst podstawowy Znak1"/>
    <w:aliases w:val="bt Znak,b Znak,block style Znak,Tekst podstawowy Znak Znak1,szaro Znak,Tekst podstawowy Znak Znak Znak Znak Znak Znak Znak Znak Znak,wypunktowanie Znak,b1 Znak,Tekst podstawowy Znak Znak Znak"/>
    <w:link w:val="Tekstpodstawowy"/>
    <w:rsid w:val="00E00C15"/>
    <w:rPr>
      <w:rFonts w:ascii="Tahoma" w:hAnsi="Tahoma"/>
      <w:sz w:val="26"/>
      <w:lang w:val="pl-PL" w:eastAsia="pl-PL" w:bidi="ar-SA"/>
    </w:rPr>
  </w:style>
  <w:style w:type="table" w:styleId="Tabela-Siatka">
    <w:name w:val="Table Grid"/>
    <w:basedOn w:val="Standardowy"/>
    <w:rsid w:val="00E0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E00C15"/>
    <w:pPr>
      <w:spacing w:after="119"/>
    </w:pPr>
    <w:rPr>
      <w:rFonts w:ascii="Arial Unicode MS" w:hAnsi="Arial Unicode MS"/>
    </w:rPr>
  </w:style>
  <w:style w:type="character" w:styleId="Pogrubienie">
    <w:name w:val="Strong"/>
    <w:uiPriority w:val="22"/>
    <w:qFormat/>
    <w:rsid w:val="00E00C15"/>
    <w:rPr>
      <w:rFonts w:cs="Times New Roman"/>
      <w:b/>
      <w:bCs/>
    </w:rPr>
  </w:style>
  <w:style w:type="paragraph" w:customStyle="1" w:styleId="naglowek3">
    <w:name w:val="@naglowek3"/>
    <w:basedOn w:val="Nagwek3"/>
    <w:rsid w:val="00E00C15"/>
    <w:pPr>
      <w:numPr>
        <w:ilvl w:val="1"/>
        <w:numId w:val="1"/>
      </w:numPr>
      <w:tabs>
        <w:tab w:val="clear" w:pos="360"/>
      </w:tabs>
      <w:spacing w:before="120" w:after="120"/>
      <w:ind w:left="0" w:firstLine="0"/>
      <w:jc w:val="left"/>
    </w:pPr>
    <w:rPr>
      <w:rFonts w:ascii="Tahoma" w:hAnsi="Tahoma" w:cs="Times New Roman"/>
      <w:bCs w:val="0"/>
      <w:sz w:val="22"/>
      <w:szCs w:val="20"/>
    </w:rPr>
  </w:style>
  <w:style w:type="paragraph" w:customStyle="1" w:styleId="naglowek1">
    <w:name w:val="@naglowek1"/>
    <w:basedOn w:val="Nagwek1"/>
    <w:next w:val="Normalny"/>
    <w:rsid w:val="00E00C15"/>
    <w:pPr>
      <w:numPr>
        <w:numId w:val="1"/>
      </w:numPr>
      <w:spacing w:before="0"/>
    </w:pPr>
    <w:rPr>
      <w:rFonts w:ascii="Tahoma" w:hAnsi="Tahoma"/>
      <w:bCs w:val="0"/>
      <w:color w:val="000000"/>
      <w:sz w:val="22"/>
      <w:szCs w:val="28"/>
    </w:rPr>
  </w:style>
  <w:style w:type="character" w:customStyle="1" w:styleId="ZnakZnak22">
    <w:name w:val="Znak Znak22"/>
    <w:rsid w:val="00E00C15"/>
    <w:rPr>
      <w:sz w:val="24"/>
      <w:szCs w:val="24"/>
      <w:lang w:val="pl-PL" w:eastAsia="pl-PL" w:bidi="ar-SA"/>
    </w:rPr>
  </w:style>
  <w:style w:type="character" w:styleId="Odwoaniedokomentarza">
    <w:name w:val="annotation reference"/>
    <w:semiHidden/>
    <w:rsid w:val="00687894"/>
    <w:rPr>
      <w:sz w:val="16"/>
      <w:szCs w:val="16"/>
    </w:rPr>
  </w:style>
  <w:style w:type="paragraph" w:styleId="Tekstkomentarza">
    <w:name w:val="annotation text"/>
    <w:basedOn w:val="Normalny"/>
    <w:semiHidden/>
    <w:rsid w:val="00687894"/>
    <w:pPr>
      <w:spacing w:before="0" w:after="0"/>
      <w:jc w:val="left"/>
    </w:pPr>
    <w:rPr>
      <w:rFonts w:ascii="Times New Roman" w:hAnsi="Times New Roman"/>
      <w:sz w:val="20"/>
      <w:szCs w:val="20"/>
    </w:rPr>
  </w:style>
  <w:style w:type="paragraph" w:styleId="Tekstdymka">
    <w:name w:val="Balloon Text"/>
    <w:basedOn w:val="Normalny"/>
    <w:semiHidden/>
    <w:rsid w:val="00687894"/>
    <w:rPr>
      <w:rFonts w:cs="Tahoma"/>
      <w:sz w:val="16"/>
      <w:szCs w:val="16"/>
    </w:rPr>
  </w:style>
  <w:style w:type="paragraph" w:styleId="Akapitzlist">
    <w:name w:val="List Paragraph"/>
    <w:basedOn w:val="Normalny"/>
    <w:qFormat/>
    <w:rsid w:val="00233E94"/>
    <w:pPr>
      <w:spacing w:before="0" w:after="200" w:line="276" w:lineRule="auto"/>
      <w:ind w:left="720"/>
      <w:contextualSpacing/>
      <w:jc w:val="left"/>
    </w:pPr>
    <w:rPr>
      <w:rFonts w:ascii="Calibri" w:eastAsia="Calibri" w:hAnsi="Calibri"/>
      <w:szCs w:val="22"/>
      <w:lang w:eastAsia="en-US"/>
    </w:rPr>
  </w:style>
  <w:style w:type="character" w:styleId="Numerstrony">
    <w:name w:val="page number"/>
    <w:basedOn w:val="Domylnaczcionkaakapitu"/>
    <w:rsid w:val="00233E94"/>
  </w:style>
  <w:style w:type="paragraph" w:styleId="Tematkomentarza">
    <w:name w:val="annotation subject"/>
    <w:basedOn w:val="Tekstkomentarza"/>
    <w:next w:val="Tekstkomentarza"/>
    <w:semiHidden/>
    <w:rsid w:val="00075A33"/>
    <w:pPr>
      <w:spacing w:before="60" w:after="60"/>
      <w:jc w:val="both"/>
    </w:pPr>
    <w:rPr>
      <w:rFonts w:ascii="Tahoma" w:hAnsi="Tahoma"/>
      <w:b/>
      <w:bCs/>
    </w:rPr>
  </w:style>
  <w:style w:type="paragraph" w:customStyle="1" w:styleId="ZnakZnak">
    <w:name w:val="Znak Znak"/>
    <w:basedOn w:val="Normalny"/>
    <w:link w:val="Bezlisty"/>
    <w:rsid w:val="005D5321"/>
    <w:pPr>
      <w:spacing w:before="0" w:after="0" w:line="360" w:lineRule="auto"/>
    </w:pPr>
    <w:rPr>
      <w:rFonts w:ascii="Verdana" w:hAnsi="Verdana" w:cs="Arial"/>
      <w:sz w:val="20"/>
      <w:szCs w:val="20"/>
    </w:rPr>
  </w:style>
  <w:style w:type="paragraph" w:styleId="Mapadokumentu">
    <w:name w:val="Document Map"/>
    <w:basedOn w:val="Normalny"/>
    <w:semiHidden/>
    <w:rsid w:val="006971EB"/>
    <w:pPr>
      <w:shd w:val="clear" w:color="auto" w:fill="000080"/>
    </w:pPr>
    <w:rPr>
      <w:rFonts w:cs="Tahoma"/>
      <w:sz w:val="20"/>
      <w:szCs w:val="20"/>
    </w:rPr>
  </w:style>
  <w:style w:type="paragraph" w:styleId="Tekstprzypisukocowego">
    <w:name w:val="endnote text"/>
    <w:basedOn w:val="Normalny"/>
    <w:link w:val="TekstprzypisukocowegoZnak"/>
    <w:rsid w:val="000350E0"/>
    <w:rPr>
      <w:sz w:val="20"/>
      <w:szCs w:val="20"/>
      <w:lang w:val="x-none" w:eastAsia="x-none"/>
    </w:rPr>
  </w:style>
  <w:style w:type="character" w:customStyle="1" w:styleId="TekstprzypisukocowegoZnak">
    <w:name w:val="Tekst przypisu końcowego Znak"/>
    <w:link w:val="Tekstprzypisukocowego"/>
    <w:rsid w:val="000350E0"/>
    <w:rPr>
      <w:rFonts w:ascii="Tahoma" w:hAnsi="Tahoma"/>
    </w:rPr>
  </w:style>
  <w:style w:type="character" w:styleId="Odwoanieprzypisukocowego">
    <w:name w:val="endnote reference"/>
    <w:rsid w:val="000350E0"/>
    <w:rPr>
      <w:vertAlign w:val="superscript"/>
    </w:rPr>
  </w:style>
  <w:style w:type="paragraph" w:styleId="Poprawka">
    <w:name w:val="Revision"/>
    <w:hidden/>
    <w:uiPriority w:val="99"/>
    <w:semiHidden/>
    <w:rsid w:val="00C37175"/>
    <w:rPr>
      <w:rFonts w:ascii="Tahoma" w:hAnsi="Tahoma"/>
      <w:sz w:val="22"/>
      <w:szCs w:val="24"/>
    </w:rPr>
  </w:style>
  <w:style w:type="paragraph" w:customStyle="1" w:styleId="ZnakZnak1">
    <w:name w:val="Znak Znak1"/>
    <w:basedOn w:val="Normalny"/>
    <w:rsid w:val="00C04191"/>
    <w:pPr>
      <w:spacing w:before="0" w:after="0" w:line="360" w:lineRule="auto"/>
    </w:pPr>
    <w:rPr>
      <w:rFonts w:ascii="Verdana" w:hAnsi="Verdana"/>
      <w:sz w:val="20"/>
      <w:szCs w:val="20"/>
    </w:rPr>
  </w:style>
  <w:style w:type="character" w:customStyle="1" w:styleId="StopkaZnak">
    <w:name w:val="Stopka Znak"/>
    <w:link w:val="Stopka"/>
    <w:rsid w:val="00FD5C18"/>
    <w:rPr>
      <w:rFonts w:ascii="Tahoma" w:hAnsi="Tahoma"/>
      <w:sz w:val="22"/>
      <w:szCs w:val="24"/>
    </w:rPr>
  </w:style>
  <w:style w:type="character" w:customStyle="1" w:styleId="NagwekZnak">
    <w:name w:val="Nagłówek Znak"/>
    <w:link w:val="Nagwek"/>
    <w:uiPriority w:val="99"/>
    <w:rsid w:val="004A790E"/>
    <w:rPr>
      <w:rFonts w:ascii="Tahoma" w:hAnsi="Tahoma"/>
      <w:sz w:val="22"/>
      <w:szCs w:val="24"/>
    </w:rPr>
  </w:style>
  <w:style w:type="paragraph" w:styleId="Listapunktowana2">
    <w:name w:val="List Bullet 2"/>
    <w:basedOn w:val="Normalny"/>
    <w:rsid w:val="008B0B14"/>
    <w:pPr>
      <w:numPr>
        <w:numId w:val="2"/>
      </w:numPr>
      <w:contextualSpacing/>
    </w:pPr>
  </w:style>
  <w:style w:type="paragraph" w:styleId="Listapunktowana3">
    <w:name w:val="List Bullet 3"/>
    <w:basedOn w:val="Normalny"/>
    <w:rsid w:val="008B0B14"/>
    <w:pPr>
      <w:numPr>
        <w:numId w:val="3"/>
      </w:numPr>
      <w:contextualSpacing/>
    </w:pPr>
  </w:style>
  <w:style w:type="character" w:customStyle="1" w:styleId="ListParagraphChar">
    <w:name w:val="List Paragraph Char"/>
    <w:aliases w:val="Yellow Bullet Char,Normal bullet 2 Char"/>
    <w:basedOn w:val="Domylnaczcionkaakapitu"/>
    <w:link w:val="Akapitzlist1"/>
    <w:uiPriority w:val="34"/>
    <w:rsid w:val="006C0202"/>
    <w:rPr>
      <w:lang w:eastAsia="en-GB"/>
    </w:rPr>
  </w:style>
  <w:style w:type="paragraph" w:customStyle="1" w:styleId="Akapitzlist1">
    <w:name w:val="Akapit z listą1"/>
    <w:aliases w:val="Yellow Bullet,Normal bullet 2"/>
    <w:basedOn w:val="Normalny"/>
    <w:link w:val="ListParagraphChar"/>
    <w:uiPriority w:val="34"/>
    <w:rsid w:val="006C0202"/>
    <w:pPr>
      <w:spacing w:before="0" w:after="0"/>
      <w:ind w:left="720"/>
      <w:jc w:val="left"/>
    </w:pPr>
    <w:rPr>
      <w:rFonts w:ascii="Times New Roman" w:hAnsi="Times New Roman"/>
      <w:sz w:val="20"/>
      <w:szCs w:val="20"/>
      <w:lang w:eastAsia="en-GB"/>
    </w:rPr>
  </w:style>
  <w:style w:type="table" w:customStyle="1" w:styleId="Tabela-Siatka1">
    <w:name w:val="Tabela - Siatka1"/>
    <w:basedOn w:val="Standardowy"/>
    <w:next w:val="Tabela-Siatka"/>
    <w:uiPriority w:val="59"/>
    <w:rsid w:val="00C82C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F665D5"/>
    <w:pPr>
      <w:pBdr>
        <w:bottom w:val="single" w:sz="8" w:space="4" w:color="4F81BD" w:themeColor="accent1"/>
      </w:pBdr>
      <w:contextualSpacing/>
      <w:jc w:val="left"/>
    </w:pPr>
    <w:rPr>
      <w:rFonts w:eastAsiaTheme="majorEastAsia" w:cstheme="majorBidi"/>
      <w:b/>
      <w:color w:val="17365D" w:themeColor="text2" w:themeShade="BF"/>
      <w:spacing w:val="5"/>
      <w:kern w:val="28"/>
      <w:sz w:val="32"/>
      <w:szCs w:val="52"/>
    </w:rPr>
  </w:style>
  <w:style w:type="character" w:customStyle="1" w:styleId="TytuZnak">
    <w:name w:val="Tytuł Znak"/>
    <w:basedOn w:val="Domylnaczcionkaakapitu"/>
    <w:link w:val="Tytu"/>
    <w:rsid w:val="00F665D5"/>
    <w:rPr>
      <w:rFonts w:asciiTheme="minorHAnsi" w:eastAsiaTheme="majorEastAsia" w:hAnsiTheme="minorHAnsi" w:cstheme="majorBidi"/>
      <w:b/>
      <w:color w:val="17365D" w:themeColor="text2" w:themeShade="BF"/>
      <w:spacing w:val="5"/>
      <w:kern w:val="28"/>
      <w:sz w:val="32"/>
      <w:szCs w:val="52"/>
    </w:rPr>
  </w:style>
  <w:style w:type="character" w:customStyle="1" w:styleId="Nagwek1Znak">
    <w:name w:val="Nagłówek 1 Znak"/>
    <w:basedOn w:val="Domylnaczcionkaakapitu"/>
    <w:link w:val="Nagwek1"/>
    <w:rsid w:val="00D32CB5"/>
    <w:rPr>
      <w:rFonts w:ascii="Calibri" w:hAnsi="Calibri" w:cs="Arial"/>
      <w:b/>
      <w:bCs/>
      <w:color w:val="00206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65D5"/>
    <w:pPr>
      <w:spacing w:before="100" w:beforeAutospacing="1" w:after="100" w:afterAutospacing="1"/>
      <w:jc w:val="both"/>
    </w:pPr>
    <w:rPr>
      <w:rFonts w:asciiTheme="minorHAnsi" w:hAnsiTheme="minorHAnsi"/>
      <w:sz w:val="28"/>
      <w:szCs w:val="24"/>
    </w:rPr>
  </w:style>
  <w:style w:type="paragraph" w:styleId="Nagwek1">
    <w:name w:val="heading 1"/>
    <w:basedOn w:val="Normalny"/>
    <w:next w:val="Normalny"/>
    <w:link w:val="Nagwek1Znak"/>
    <w:qFormat/>
    <w:rsid w:val="00F665D5"/>
    <w:pPr>
      <w:keepNext/>
      <w:outlineLvl w:val="0"/>
    </w:pPr>
    <w:rPr>
      <w:rFonts w:ascii="Calibri" w:hAnsi="Calibri" w:cs="Arial"/>
      <w:b/>
      <w:bCs/>
      <w:color w:val="002060"/>
      <w:kern w:val="32"/>
      <w:sz w:val="32"/>
      <w:szCs w:val="32"/>
    </w:rPr>
  </w:style>
  <w:style w:type="paragraph" w:styleId="Nagwek2">
    <w:name w:val="heading 2"/>
    <w:basedOn w:val="Normalny"/>
    <w:next w:val="Normalny"/>
    <w:qFormat/>
    <w:rsid w:val="00214618"/>
    <w:pPr>
      <w:keepNext/>
      <w:spacing w:before="240"/>
      <w:outlineLvl w:val="1"/>
    </w:pPr>
    <w:rPr>
      <w:rFonts w:ascii="Calibri" w:hAnsi="Calibri" w:cs="Arial"/>
      <w:b/>
      <w:bCs/>
      <w:iCs/>
      <w:sz w:val="24"/>
      <w:szCs w:val="28"/>
    </w:rPr>
  </w:style>
  <w:style w:type="paragraph" w:styleId="Nagwek3">
    <w:name w:val="heading 3"/>
    <w:basedOn w:val="Normalny"/>
    <w:next w:val="Normalny"/>
    <w:qFormat/>
    <w:rsid w:val="00E00C15"/>
    <w:pPr>
      <w:keepNext/>
      <w:spacing w:before="240"/>
      <w:outlineLvl w:val="2"/>
    </w:pPr>
    <w:rPr>
      <w:rFonts w:ascii="Arial" w:hAnsi="Arial" w:cs="Arial"/>
      <w:b/>
      <w:bCs/>
      <w:sz w:val="26"/>
      <w:szCs w:val="26"/>
    </w:rPr>
  </w:style>
  <w:style w:type="paragraph" w:styleId="Nagwek9">
    <w:name w:val="heading 9"/>
    <w:basedOn w:val="Normalny"/>
    <w:next w:val="Normalny"/>
    <w:qFormat/>
    <w:rsid w:val="00E00C15"/>
    <w:pPr>
      <w:spacing w:before="24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Nagwek">
    <w:name w:val="header"/>
    <w:basedOn w:val="Normalny"/>
    <w:link w:val="NagwekZnak"/>
    <w:uiPriority w:val="99"/>
    <w:rsid w:val="009847F3"/>
    <w:pPr>
      <w:tabs>
        <w:tab w:val="center" w:pos="4536"/>
        <w:tab w:val="right" w:pos="9072"/>
      </w:tabs>
    </w:pPr>
  </w:style>
  <w:style w:type="paragraph" w:styleId="Stopka">
    <w:name w:val="footer"/>
    <w:basedOn w:val="Normalny"/>
    <w:link w:val="StopkaZnak"/>
    <w:rsid w:val="009847F3"/>
    <w:pPr>
      <w:tabs>
        <w:tab w:val="center" w:pos="4536"/>
        <w:tab w:val="right" w:pos="9072"/>
      </w:tabs>
    </w:pPr>
  </w:style>
  <w:style w:type="character" w:styleId="Hipercze">
    <w:name w:val="Hyperlink"/>
    <w:rsid w:val="009847F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semiHidden/>
    <w:rsid w:val="00E00C1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rsid w:val="00E00C15"/>
    <w:rPr>
      <w:rFonts w:ascii="Tahoma" w:hAnsi="Tahoma"/>
      <w:lang w:val="pl-PL" w:eastAsia="pl-PL" w:bidi="ar-SA"/>
    </w:rPr>
  </w:style>
  <w:style w:type="character" w:styleId="Odwoanieprzypisudolnego">
    <w:name w:val="footnote reference"/>
    <w:aliases w:val="Footnote Reference Number"/>
    <w:semiHidden/>
    <w:rsid w:val="00E00C15"/>
    <w:rPr>
      <w:vertAlign w:val="superscript"/>
    </w:rPr>
  </w:style>
  <w:style w:type="paragraph" w:styleId="Tekstpodstawowy">
    <w:name w:val="Body Text"/>
    <w:aliases w:val="bt,b,block style,Tekst podstawowy Znak,szaro,Tekst podstawowy Znak Znak Znak Znak Znak Znak Znak Znak,wypunktowanie,b1,Tekst podstawowy Znak Znak,Tekst podstawowy Znak Znak Znak Znak Znak Znak,Tekst podstawowy Znak Znak Znak Znak Znak"/>
    <w:basedOn w:val="Normalny"/>
    <w:link w:val="TekstpodstawowyZnak1"/>
    <w:semiHidden/>
    <w:rsid w:val="00E00C15"/>
    <w:pPr>
      <w:spacing w:before="120" w:line="340" w:lineRule="atLeast"/>
      <w:ind w:firstLine="709"/>
    </w:pPr>
    <w:rPr>
      <w:sz w:val="26"/>
      <w:szCs w:val="20"/>
    </w:rPr>
  </w:style>
  <w:style w:type="character" w:customStyle="1" w:styleId="TekstpodstawowyZnak1">
    <w:name w:val="Tekst podstawowy Znak1"/>
    <w:aliases w:val="bt Znak,b Znak,block style Znak,Tekst podstawowy Znak Znak1,szaro Znak,Tekst podstawowy Znak Znak Znak Znak Znak Znak Znak Znak Znak,wypunktowanie Znak,b1 Znak,Tekst podstawowy Znak Znak Znak"/>
    <w:link w:val="Tekstpodstawowy"/>
    <w:rsid w:val="00E00C15"/>
    <w:rPr>
      <w:rFonts w:ascii="Tahoma" w:hAnsi="Tahoma"/>
      <w:sz w:val="26"/>
      <w:lang w:val="pl-PL" w:eastAsia="pl-PL" w:bidi="ar-SA"/>
    </w:rPr>
  </w:style>
  <w:style w:type="table" w:styleId="Tabela-Siatka">
    <w:name w:val="Table Grid"/>
    <w:basedOn w:val="Standardowy"/>
    <w:rsid w:val="00E0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E00C15"/>
    <w:pPr>
      <w:spacing w:after="119"/>
    </w:pPr>
    <w:rPr>
      <w:rFonts w:ascii="Arial Unicode MS" w:hAnsi="Arial Unicode MS"/>
    </w:rPr>
  </w:style>
  <w:style w:type="character" w:styleId="Pogrubienie">
    <w:name w:val="Strong"/>
    <w:uiPriority w:val="22"/>
    <w:qFormat/>
    <w:rsid w:val="00E00C15"/>
    <w:rPr>
      <w:rFonts w:cs="Times New Roman"/>
      <w:b/>
      <w:bCs/>
    </w:rPr>
  </w:style>
  <w:style w:type="paragraph" w:customStyle="1" w:styleId="naglowek3">
    <w:name w:val="@naglowek3"/>
    <w:basedOn w:val="Nagwek3"/>
    <w:rsid w:val="00E00C15"/>
    <w:pPr>
      <w:numPr>
        <w:ilvl w:val="1"/>
        <w:numId w:val="1"/>
      </w:numPr>
      <w:tabs>
        <w:tab w:val="clear" w:pos="360"/>
      </w:tabs>
      <w:spacing w:before="120" w:after="120"/>
      <w:ind w:left="0" w:firstLine="0"/>
      <w:jc w:val="left"/>
    </w:pPr>
    <w:rPr>
      <w:rFonts w:ascii="Tahoma" w:hAnsi="Tahoma" w:cs="Times New Roman"/>
      <w:bCs w:val="0"/>
      <w:sz w:val="22"/>
      <w:szCs w:val="20"/>
    </w:rPr>
  </w:style>
  <w:style w:type="paragraph" w:customStyle="1" w:styleId="naglowek1">
    <w:name w:val="@naglowek1"/>
    <w:basedOn w:val="Nagwek1"/>
    <w:next w:val="Normalny"/>
    <w:rsid w:val="00E00C15"/>
    <w:pPr>
      <w:numPr>
        <w:numId w:val="1"/>
      </w:numPr>
      <w:spacing w:before="0"/>
    </w:pPr>
    <w:rPr>
      <w:rFonts w:ascii="Tahoma" w:hAnsi="Tahoma"/>
      <w:bCs w:val="0"/>
      <w:color w:val="000000"/>
      <w:sz w:val="22"/>
      <w:szCs w:val="28"/>
    </w:rPr>
  </w:style>
  <w:style w:type="character" w:customStyle="1" w:styleId="ZnakZnak22">
    <w:name w:val="Znak Znak22"/>
    <w:rsid w:val="00E00C15"/>
    <w:rPr>
      <w:sz w:val="24"/>
      <w:szCs w:val="24"/>
      <w:lang w:val="pl-PL" w:eastAsia="pl-PL" w:bidi="ar-SA"/>
    </w:rPr>
  </w:style>
  <w:style w:type="character" w:styleId="Odwoaniedokomentarza">
    <w:name w:val="annotation reference"/>
    <w:semiHidden/>
    <w:rsid w:val="00687894"/>
    <w:rPr>
      <w:sz w:val="16"/>
      <w:szCs w:val="16"/>
    </w:rPr>
  </w:style>
  <w:style w:type="paragraph" w:styleId="Tekstkomentarza">
    <w:name w:val="annotation text"/>
    <w:basedOn w:val="Normalny"/>
    <w:semiHidden/>
    <w:rsid w:val="00687894"/>
    <w:pPr>
      <w:spacing w:before="0" w:after="0"/>
      <w:jc w:val="left"/>
    </w:pPr>
    <w:rPr>
      <w:rFonts w:ascii="Times New Roman" w:hAnsi="Times New Roman"/>
      <w:sz w:val="20"/>
      <w:szCs w:val="20"/>
    </w:rPr>
  </w:style>
  <w:style w:type="paragraph" w:styleId="Tekstdymka">
    <w:name w:val="Balloon Text"/>
    <w:basedOn w:val="Normalny"/>
    <w:semiHidden/>
    <w:rsid w:val="00687894"/>
    <w:rPr>
      <w:rFonts w:cs="Tahoma"/>
      <w:sz w:val="16"/>
      <w:szCs w:val="16"/>
    </w:rPr>
  </w:style>
  <w:style w:type="paragraph" w:styleId="Akapitzlist">
    <w:name w:val="List Paragraph"/>
    <w:basedOn w:val="Normalny"/>
    <w:qFormat/>
    <w:rsid w:val="00233E94"/>
    <w:pPr>
      <w:spacing w:before="0" w:after="200" w:line="276" w:lineRule="auto"/>
      <w:ind w:left="720"/>
      <w:contextualSpacing/>
      <w:jc w:val="left"/>
    </w:pPr>
    <w:rPr>
      <w:rFonts w:ascii="Calibri" w:eastAsia="Calibri" w:hAnsi="Calibri"/>
      <w:szCs w:val="22"/>
      <w:lang w:eastAsia="en-US"/>
    </w:rPr>
  </w:style>
  <w:style w:type="character" w:styleId="Numerstrony">
    <w:name w:val="page number"/>
    <w:basedOn w:val="Domylnaczcionkaakapitu"/>
    <w:rsid w:val="00233E94"/>
  </w:style>
  <w:style w:type="paragraph" w:styleId="Tematkomentarza">
    <w:name w:val="annotation subject"/>
    <w:basedOn w:val="Tekstkomentarza"/>
    <w:next w:val="Tekstkomentarza"/>
    <w:semiHidden/>
    <w:rsid w:val="00075A33"/>
    <w:pPr>
      <w:spacing w:before="60" w:after="60"/>
      <w:jc w:val="both"/>
    </w:pPr>
    <w:rPr>
      <w:rFonts w:ascii="Tahoma" w:hAnsi="Tahoma"/>
      <w:b/>
      <w:bCs/>
    </w:rPr>
  </w:style>
  <w:style w:type="paragraph" w:customStyle="1" w:styleId="ZnakZnak">
    <w:name w:val="Znak Znak"/>
    <w:basedOn w:val="Normalny"/>
    <w:link w:val="Bezlisty"/>
    <w:rsid w:val="005D5321"/>
    <w:pPr>
      <w:spacing w:before="0" w:after="0" w:line="360" w:lineRule="auto"/>
    </w:pPr>
    <w:rPr>
      <w:rFonts w:ascii="Verdana" w:hAnsi="Verdana" w:cs="Arial"/>
      <w:sz w:val="20"/>
      <w:szCs w:val="20"/>
    </w:rPr>
  </w:style>
  <w:style w:type="paragraph" w:styleId="Mapadokumentu">
    <w:name w:val="Document Map"/>
    <w:basedOn w:val="Normalny"/>
    <w:semiHidden/>
    <w:rsid w:val="006971EB"/>
    <w:pPr>
      <w:shd w:val="clear" w:color="auto" w:fill="000080"/>
    </w:pPr>
    <w:rPr>
      <w:rFonts w:cs="Tahoma"/>
      <w:sz w:val="20"/>
      <w:szCs w:val="20"/>
    </w:rPr>
  </w:style>
  <w:style w:type="paragraph" w:styleId="Tekstprzypisukocowego">
    <w:name w:val="endnote text"/>
    <w:basedOn w:val="Normalny"/>
    <w:link w:val="TekstprzypisukocowegoZnak"/>
    <w:rsid w:val="000350E0"/>
    <w:rPr>
      <w:sz w:val="20"/>
      <w:szCs w:val="20"/>
      <w:lang w:val="x-none" w:eastAsia="x-none"/>
    </w:rPr>
  </w:style>
  <w:style w:type="character" w:customStyle="1" w:styleId="TekstprzypisukocowegoZnak">
    <w:name w:val="Tekst przypisu końcowego Znak"/>
    <w:link w:val="Tekstprzypisukocowego"/>
    <w:rsid w:val="000350E0"/>
    <w:rPr>
      <w:rFonts w:ascii="Tahoma" w:hAnsi="Tahoma"/>
    </w:rPr>
  </w:style>
  <w:style w:type="character" w:styleId="Odwoanieprzypisukocowego">
    <w:name w:val="endnote reference"/>
    <w:rsid w:val="000350E0"/>
    <w:rPr>
      <w:vertAlign w:val="superscript"/>
    </w:rPr>
  </w:style>
  <w:style w:type="paragraph" w:styleId="Poprawka">
    <w:name w:val="Revision"/>
    <w:hidden/>
    <w:uiPriority w:val="99"/>
    <w:semiHidden/>
    <w:rsid w:val="00C37175"/>
    <w:rPr>
      <w:rFonts w:ascii="Tahoma" w:hAnsi="Tahoma"/>
      <w:sz w:val="22"/>
      <w:szCs w:val="24"/>
    </w:rPr>
  </w:style>
  <w:style w:type="paragraph" w:customStyle="1" w:styleId="ZnakZnak1">
    <w:name w:val="Znak Znak1"/>
    <w:basedOn w:val="Normalny"/>
    <w:rsid w:val="00C04191"/>
    <w:pPr>
      <w:spacing w:before="0" w:after="0" w:line="360" w:lineRule="auto"/>
    </w:pPr>
    <w:rPr>
      <w:rFonts w:ascii="Verdana" w:hAnsi="Verdana"/>
      <w:sz w:val="20"/>
      <w:szCs w:val="20"/>
    </w:rPr>
  </w:style>
  <w:style w:type="character" w:customStyle="1" w:styleId="StopkaZnak">
    <w:name w:val="Stopka Znak"/>
    <w:link w:val="Stopka"/>
    <w:rsid w:val="00FD5C18"/>
    <w:rPr>
      <w:rFonts w:ascii="Tahoma" w:hAnsi="Tahoma"/>
      <w:sz w:val="22"/>
      <w:szCs w:val="24"/>
    </w:rPr>
  </w:style>
  <w:style w:type="character" w:customStyle="1" w:styleId="NagwekZnak">
    <w:name w:val="Nagłówek Znak"/>
    <w:link w:val="Nagwek"/>
    <w:uiPriority w:val="99"/>
    <w:rsid w:val="004A790E"/>
    <w:rPr>
      <w:rFonts w:ascii="Tahoma" w:hAnsi="Tahoma"/>
      <w:sz w:val="22"/>
      <w:szCs w:val="24"/>
    </w:rPr>
  </w:style>
  <w:style w:type="paragraph" w:styleId="Listapunktowana2">
    <w:name w:val="List Bullet 2"/>
    <w:basedOn w:val="Normalny"/>
    <w:rsid w:val="008B0B14"/>
    <w:pPr>
      <w:numPr>
        <w:numId w:val="2"/>
      </w:numPr>
      <w:contextualSpacing/>
    </w:pPr>
  </w:style>
  <w:style w:type="paragraph" w:styleId="Listapunktowana3">
    <w:name w:val="List Bullet 3"/>
    <w:basedOn w:val="Normalny"/>
    <w:rsid w:val="008B0B14"/>
    <w:pPr>
      <w:numPr>
        <w:numId w:val="3"/>
      </w:numPr>
      <w:contextualSpacing/>
    </w:pPr>
  </w:style>
  <w:style w:type="character" w:customStyle="1" w:styleId="ListParagraphChar">
    <w:name w:val="List Paragraph Char"/>
    <w:aliases w:val="Yellow Bullet Char,Normal bullet 2 Char"/>
    <w:basedOn w:val="Domylnaczcionkaakapitu"/>
    <w:link w:val="Akapitzlist1"/>
    <w:uiPriority w:val="34"/>
    <w:rsid w:val="006C0202"/>
    <w:rPr>
      <w:lang w:eastAsia="en-GB"/>
    </w:rPr>
  </w:style>
  <w:style w:type="paragraph" w:customStyle="1" w:styleId="Akapitzlist1">
    <w:name w:val="Akapit z listą1"/>
    <w:aliases w:val="Yellow Bullet,Normal bullet 2"/>
    <w:basedOn w:val="Normalny"/>
    <w:link w:val="ListParagraphChar"/>
    <w:uiPriority w:val="34"/>
    <w:rsid w:val="006C0202"/>
    <w:pPr>
      <w:spacing w:before="0" w:after="0"/>
      <w:ind w:left="720"/>
      <w:jc w:val="left"/>
    </w:pPr>
    <w:rPr>
      <w:rFonts w:ascii="Times New Roman" w:hAnsi="Times New Roman"/>
      <w:sz w:val="20"/>
      <w:szCs w:val="20"/>
      <w:lang w:eastAsia="en-GB"/>
    </w:rPr>
  </w:style>
  <w:style w:type="table" w:customStyle="1" w:styleId="Tabela-Siatka1">
    <w:name w:val="Tabela - Siatka1"/>
    <w:basedOn w:val="Standardowy"/>
    <w:next w:val="Tabela-Siatka"/>
    <w:uiPriority w:val="59"/>
    <w:rsid w:val="00C82C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F665D5"/>
    <w:pPr>
      <w:pBdr>
        <w:bottom w:val="single" w:sz="8" w:space="4" w:color="4F81BD" w:themeColor="accent1"/>
      </w:pBdr>
      <w:contextualSpacing/>
      <w:jc w:val="left"/>
    </w:pPr>
    <w:rPr>
      <w:rFonts w:eastAsiaTheme="majorEastAsia" w:cstheme="majorBidi"/>
      <w:b/>
      <w:color w:val="17365D" w:themeColor="text2" w:themeShade="BF"/>
      <w:spacing w:val="5"/>
      <w:kern w:val="28"/>
      <w:sz w:val="32"/>
      <w:szCs w:val="52"/>
    </w:rPr>
  </w:style>
  <w:style w:type="character" w:customStyle="1" w:styleId="TytuZnak">
    <w:name w:val="Tytuł Znak"/>
    <w:basedOn w:val="Domylnaczcionkaakapitu"/>
    <w:link w:val="Tytu"/>
    <w:rsid w:val="00F665D5"/>
    <w:rPr>
      <w:rFonts w:asciiTheme="minorHAnsi" w:eastAsiaTheme="majorEastAsia" w:hAnsiTheme="minorHAnsi" w:cstheme="majorBidi"/>
      <w:b/>
      <w:color w:val="17365D" w:themeColor="text2" w:themeShade="BF"/>
      <w:spacing w:val="5"/>
      <w:kern w:val="28"/>
      <w:sz w:val="32"/>
      <w:szCs w:val="52"/>
    </w:rPr>
  </w:style>
  <w:style w:type="character" w:customStyle="1" w:styleId="Nagwek1Znak">
    <w:name w:val="Nagłówek 1 Znak"/>
    <w:basedOn w:val="Domylnaczcionkaakapitu"/>
    <w:link w:val="Nagwek1"/>
    <w:rsid w:val="00D32CB5"/>
    <w:rPr>
      <w:rFonts w:ascii="Calibri" w:hAnsi="Calibri" w:cs="Arial"/>
      <w:b/>
      <w:bCs/>
      <w:color w:val="00206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2219">
      <w:bodyDiv w:val="1"/>
      <w:marLeft w:val="0"/>
      <w:marRight w:val="0"/>
      <w:marTop w:val="0"/>
      <w:marBottom w:val="0"/>
      <w:divBdr>
        <w:top w:val="none" w:sz="0" w:space="0" w:color="auto"/>
        <w:left w:val="none" w:sz="0" w:space="0" w:color="auto"/>
        <w:bottom w:val="none" w:sz="0" w:space="0" w:color="auto"/>
        <w:right w:val="none" w:sz="0" w:space="0" w:color="auto"/>
      </w:divBdr>
    </w:div>
    <w:div w:id="955452874">
      <w:bodyDiv w:val="1"/>
      <w:marLeft w:val="0"/>
      <w:marRight w:val="0"/>
      <w:marTop w:val="0"/>
      <w:marBottom w:val="0"/>
      <w:divBdr>
        <w:top w:val="none" w:sz="0" w:space="0" w:color="auto"/>
        <w:left w:val="none" w:sz="0" w:space="0" w:color="auto"/>
        <w:bottom w:val="none" w:sz="0" w:space="0" w:color="auto"/>
        <w:right w:val="none" w:sz="0" w:space="0" w:color="auto"/>
      </w:divBdr>
      <w:divsChild>
        <w:div w:id="1568148112">
          <w:marLeft w:val="0"/>
          <w:marRight w:val="0"/>
          <w:marTop w:val="0"/>
          <w:marBottom w:val="0"/>
          <w:divBdr>
            <w:top w:val="none" w:sz="0" w:space="0" w:color="auto"/>
            <w:left w:val="none" w:sz="0" w:space="0" w:color="auto"/>
            <w:bottom w:val="none" w:sz="0" w:space="0" w:color="auto"/>
            <w:right w:val="none" w:sz="0" w:space="0" w:color="auto"/>
          </w:divBdr>
          <w:divsChild>
            <w:div w:id="27338140">
              <w:marLeft w:val="0"/>
              <w:marRight w:val="0"/>
              <w:marTop w:val="0"/>
              <w:marBottom w:val="0"/>
              <w:divBdr>
                <w:top w:val="none" w:sz="0" w:space="0" w:color="auto"/>
                <w:left w:val="none" w:sz="0" w:space="0" w:color="auto"/>
                <w:bottom w:val="none" w:sz="0" w:space="0" w:color="auto"/>
                <w:right w:val="none" w:sz="0" w:space="0" w:color="auto"/>
              </w:divBdr>
              <w:divsChild>
                <w:div w:id="1968469420">
                  <w:marLeft w:val="0"/>
                  <w:marRight w:val="0"/>
                  <w:marTop w:val="0"/>
                  <w:marBottom w:val="0"/>
                  <w:divBdr>
                    <w:top w:val="none" w:sz="0" w:space="0" w:color="auto"/>
                    <w:left w:val="none" w:sz="0" w:space="0" w:color="auto"/>
                    <w:bottom w:val="none" w:sz="0" w:space="0" w:color="auto"/>
                    <w:right w:val="none" w:sz="0" w:space="0" w:color="auto"/>
                  </w:divBdr>
                </w:div>
              </w:divsChild>
            </w:div>
            <w:div w:id="3820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540">
      <w:bodyDiv w:val="1"/>
      <w:marLeft w:val="0"/>
      <w:marRight w:val="0"/>
      <w:marTop w:val="0"/>
      <w:marBottom w:val="0"/>
      <w:divBdr>
        <w:top w:val="none" w:sz="0" w:space="0" w:color="auto"/>
        <w:left w:val="none" w:sz="0" w:space="0" w:color="auto"/>
        <w:bottom w:val="none" w:sz="0" w:space="0" w:color="auto"/>
        <w:right w:val="none" w:sz="0" w:space="0" w:color="auto"/>
      </w:divBdr>
    </w:div>
    <w:div w:id="1144544910">
      <w:bodyDiv w:val="1"/>
      <w:marLeft w:val="0"/>
      <w:marRight w:val="0"/>
      <w:marTop w:val="0"/>
      <w:marBottom w:val="0"/>
      <w:divBdr>
        <w:top w:val="none" w:sz="0" w:space="0" w:color="auto"/>
        <w:left w:val="none" w:sz="0" w:space="0" w:color="auto"/>
        <w:bottom w:val="none" w:sz="0" w:space="0" w:color="auto"/>
        <w:right w:val="none" w:sz="0" w:space="0" w:color="auto"/>
      </w:divBdr>
      <w:divsChild>
        <w:div w:id="17001520">
          <w:marLeft w:val="0"/>
          <w:marRight w:val="0"/>
          <w:marTop w:val="0"/>
          <w:marBottom w:val="0"/>
          <w:divBdr>
            <w:top w:val="none" w:sz="0" w:space="0" w:color="auto"/>
            <w:left w:val="none" w:sz="0" w:space="0" w:color="auto"/>
            <w:bottom w:val="none" w:sz="0" w:space="0" w:color="auto"/>
            <w:right w:val="none" w:sz="0" w:space="0" w:color="auto"/>
          </w:divBdr>
        </w:div>
        <w:div w:id="210314434">
          <w:marLeft w:val="0"/>
          <w:marRight w:val="0"/>
          <w:marTop w:val="0"/>
          <w:marBottom w:val="0"/>
          <w:divBdr>
            <w:top w:val="none" w:sz="0" w:space="0" w:color="auto"/>
            <w:left w:val="none" w:sz="0" w:space="0" w:color="auto"/>
            <w:bottom w:val="none" w:sz="0" w:space="0" w:color="auto"/>
            <w:right w:val="none" w:sz="0" w:space="0" w:color="auto"/>
          </w:divBdr>
        </w:div>
        <w:div w:id="711465254">
          <w:marLeft w:val="0"/>
          <w:marRight w:val="0"/>
          <w:marTop w:val="0"/>
          <w:marBottom w:val="0"/>
          <w:divBdr>
            <w:top w:val="none" w:sz="0" w:space="0" w:color="auto"/>
            <w:left w:val="none" w:sz="0" w:space="0" w:color="auto"/>
            <w:bottom w:val="none" w:sz="0" w:space="0" w:color="auto"/>
            <w:right w:val="none" w:sz="0" w:space="0" w:color="auto"/>
          </w:divBdr>
        </w:div>
        <w:div w:id="773012344">
          <w:marLeft w:val="0"/>
          <w:marRight w:val="0"/>
          <w:marTop w:val="0"/>
          <w:marBottom w:val="0"/>
          <w:divBdr>
            <w:top w:val="none" w:sz="0" w:space="0" w:color="auto"/>
            <w:left w:val="none" w:sz="0" w:space="0" w:color="auto"/>
            <w:bottom w:val="none" w:sz="0" w:space="0" w:color="auto"/>
            <w:right w:val="none" w:sz="0" w:space="0" w:color="auto"/>
          </w:divBdr>
        </w:div>
        <w:div w:id="1304696966">
          <w:marLeft w:val="0"/>
          <w:marRight w:val="0"/>
          <w:marTop w:val="0"/>
          <w:marBottom w:val="0"/>
          <w:divBdr>
            <w:top w:val="none" w:sz="0" w:space="0" w:color="auto"/>
            <w:left w:val="none" w:sz="0" w:space="0" w:color="auto"/>
            <w:bottom w:val="none" w:sz="0" w:space="0" w:color="auto"/>
            <w:right w:val="none" w:sz="0" w:space="0" w:color="auto"/>
          </w:divBdr>
        </w:div>
        <w:div w:id="1349867838">
          <w:marLeft w:val="0"/>
          <w:marRight w:val="0"/>
          <w:marTop w:val="0"/>
          <w:marBottom w:val="0"/>
          <w:divBdr>
            <w:top w:val="none" w:sz="0" w:space="0" w:color="auto"/>
            <w:left w:val="none" w:sz="0" w:space="0" w:color="auto"/>
            <w:bottom w:val="none" w:sz="0" w:space="0" w:color="auto"/>
            <w:right w:val="none" w:sz="0" w:space="0" w:color="auto"/>
          </w:divBdr>
        </w:div>
        <w:div w:id="1657300692">
          <w:marLeft w:val="0"/>
          <w:marRight w:val="0"/>
          <w:marTop w:val="0"/>
          <w:marBottom w:val="0"/>
          <w:divBdr>
            <w:top w:val="none" w:sz="0" w:space="0" w:color="auto"/>
            <w:left w:val="none" w:sz="0" w:space="0" w:color="auto"/>
            <w:bottom w:val="none" w:sz="0" w:space="0" w:color="auto"/>
            <w:right w:val="none" w:sz="0" w:space="0" w:color="auto"/>
          </w:divBdr>
        </w:div>
        <w:div w:id="1980187162">
          <w:marLeft w:val="0"/>
          <w:marRight w:val="0"/>
          <w:marTop w:val="0"/>
          <w:marBottom w:val="0"/>
          <w:divBdr>
            <w:top w:val="none" w:sz="0" w:space="0" w:color="auto"/>
            <w:left w:val="none" w:sz="0" w:space="0" w:color="auto"/>
            <w:bottom w:val="none" w:sz="0" w:space="0" w:color="auto"/>
            <w:right w:val="none" w:sz="0" w:space="0" w:color="auto"/>
          </w:divBdr>
        </w:div>
        <w:div w:id="2090425285">
          <w:marLeft w:val="0"/>
          <w:marRight w:val="0"/>
          <w:marTop w:val="0"/>
          <w:marBottom w:val="0"/>
          <w:divBdr>
            <w:top w:val="none" w:sz="0" w:space="0" w:color="auto"/>
            <w:left w:val="none" w:sz="0" w:space="0" w:color="auto"/>
            <w:bottom w:val="none" w:sz="0" w:space="0" w:color="auto"/>
            <w:right w:val="none" w:sz="0" w:space="0" w:color="auto"/>
          </w:divBdr>
        </w:div>
      </w:divsChild>
    </w:div>
    <w:div w:id="1282496850">
      <w:bodyDiv w:val="1"/>
      <w:marLeft w:val="0"/>
      <w:marRight w:val="0"/>
      <w:marTop w:val="0"/>
      <w:marBottom w:val="0"/>
      <w:divBdr>
        <w:top w:val="none" w:sz="0" w:space="0" w:color="auto"/>
        <w:left w:val="none" w:sz="0" w:space="0" w:color="auto"/>
        <w:bottom w:val="none" w:sz="0" w:space="0" w:color="auto"/>
        <w:right w:val="none" w:sz="0" w:space="0" w:color="auto"/>
      </w:divBdr>
      <w:divsChild>
        <w:div w:id="64958905">
          <w:marLeft w:val="0"/>
          <w:marRight w:val="0"/>
          <w:marTop w:val="0"/>
          <w:marBottom w:val="0"/>
          <w:divBdr>
            <w:top w:val="none" w:sz="0" w:space="0" w:color="auto"/>
            <w:left w:val="none" w:sz="0" w:space="0" w:color="auto"/>
            <w:bottom w:val="none" w:sz="0" w:space="0" w:color="auto"/>
            <w:right w:val="none" w:sz="0" w:space="0" w:color="auto"/>
          </w:divBdr>
        </w:div>
        <w:div w:id="85929639">
          <w:marLeft w:val="0"/>
          <w:marRight w:val="0"/>
          <w:marTop w:val="0"/>
          <w:marBottom w:val="0"/>
          <w:divBdr>
            <w:top w:val="none" w:sz="0" w:space="0" w:color="auto"/>
            <w:left w:val="none" w:sz="0" w:space="0" w:color="auto"/>
            <w:bottom w:val="none" w:sz="0" w:space="0" w:color="auto"/>
            <w:right w:val="none" w:sz="0" w:space="0" w:color="auto"/>
          </w:divBdr>
        </w:div>
        <w:div w:id="298072184">
          <w:marLeft w:val="0"/>
          <w:marRight w:val="0"/>
          <w:marTop w:val="0"/>
          <w:marBottom w:val="0"/>
          <w:divBdr>
            <w:top w:val="none" w:sz="0" w:space="0" w:color="auto"/>
            <w:left w:val="none" w:sz="0" w:space="0" w:color="auto"/>
            <w:bottom w:val="none" w:sz="0" w:space="0" w:color="auto"/>
            <w:right w:val="none" w:sz="0" w:space="0" w:color="auto"/>
          </w:divBdr>
        </w:div>
        <w:div w:id="304822357">
          <w:marLeft w:val="0"/>
          <w:marRight w:val="0"/>
          <w:marTop w:val="0"/>
          <w:marBottom w:val="0"/>
          <w:divBdr>
            <w:top w:val="none" w:sz="0" w:space="0" w:color="auto"/>
            <w:left w:val="none" w:sz="0" w:space="0" w:color="auto"/>
            <w:bottom w:val="none" w:sz="0" w:space="0" w:color="auto"/>
            <w:right w:val="none" w:sz="0" w:space="0" w:color="auto"/>
          </w:divBdr>
        </w:div>
        <w:div w:id="587428741">
          <w:marLeft w:val="0"/>
          <w:marRight w:val="0"/>
          <w:marTop w:val="0"/>
          <w:marBottom w:val="0"/>
          <w:divBdr>
            <w:top w:val="none" w:sz="0" w:space="0" w:color="auto"/>
            <w:left w:val="none" w:sz="0" w:space="0" w:color="auto"/>
            <w:bottom w:val="none" w:sz="0" w:space="0" w:color="auto"/>
            <w:right w:val="none" w:sz="0" w:space="0" w:color="auto"/>
          </w:divBdr>
        </w:div>
        <w:div w:id="710302890">
          <w:marLeft w:val="0"/>
          <w:marRight w:val="0"/>
          <w:marTop w:val="0"/>
          <w:marBottom w:val="0"/>
          <w:divBdr>
            <w:top w:val="none" w:sz="0" w:space="0" w:color="auto"/>
            <w:left w:val="none" w:sz="0" w:space="0" w:color="auto"/>
            <w:bottom w:val="none" w:sz="0" w:space="0" w:color="auto"/>
            <w:right w:val="none" w:sz="0" w:space="0" w:color="auto"/>
          </w:divBdr>
        </w:div>
        <w:div w:id="789082301">
          <w:marLeft w:val="0"/>
          <w:marRight w:val="0"/>
          <w:marTop w:val="0"/>
          <w:marBottom w:val="0"/>
          <w:divBdr>
            <w:top w:val="none" w:sz="0" w:space="0" w:color="auto"/>
            <w:left w:val="none" w:sz="0" w:space="0" w:color="auto"/>
            <w:bottom w:val="none" w:sz="0" w:space="0" w:color="auto"/>
            <w:right w:val="none" w:sz="0" w:space="0" w:color="auto"/>
          </w:divBdr>
        </w:div>
        <w:div w:id="803081369">
          <w:marLeft w:val="0"/>
          <w:marRight w:val="0"/>
          <w:marTop w:val="0"/>
          <w:marBottom w:val="0"/>
          <w:divBdr>
            <w:top w:val="none" w:sz="0" w:space="0" w:color="auto"/>
            <w:left w:val="none" w:sz="0" w:space="0" w:color="auto"/>
            <w:bottom w:val="none" w:sz="0" w:space="0" w:color="auto"/>
            <w:right w:val="none" w:sz="0" w:space="0" w:color="auto"/>
          </w:divBdr>
        </w:div>
        <w:div w:id="874851676">
          <w:marLeft w:val="0"/>
          <w:marRight w:val="0"/>
          <w:marTop w:val="0"/>
          <w:marBottom w:val="0"/>
          <w:divBdr>
            <w:top w:val="none" w:sz="0" w:space="0" w:color="auto"/>
            <w:left w:val="none" w:sz="0" w:space="0" w:color="auto"/>
            <w:bottom w:val="none" w:sz="0" w:space="0" w:color="auto"/>
            <w:right w:val="none" w:sz="0" w:space="0" w:color="auto"/>
          </w:divBdr>
        </w:div>
        <w:div w:id="880284388">
          <w:marLeft w:val="0"/>
          <w:marRight w:val="0"/>
          <w:marTop w:val="0"/>
          <w:marBottom w:val="0"/>
          <w:divBdr>
            <w:top w:val="none" w:sz="0" w:space="0" w:color="auto"/>
            <w:left w:val="none" w:sz="0" w:space="0" w:color="auto"/>
            <w:bottom w:val="none" w:sz="0" w:space="0" w:color="auto"/>
            <w:right w:val="none" w:sz="0" w:space="0" w:color="auto"/>
          </w:divBdr>
        </w:div>
        <w:div w:id="1004698299">
          <w:marLeft w:val="0"/>
          <w:marRight w:val="0"/>
          <w:marTop w:val="0"/>
          <w:marBottom w:val="0"/>
          <w:divBdr>
            <w:top w:val="none" w:sz="0" w:space="0" w:color="auto"/>
            <w:left w:val="none" w:sz="0" w:space="0" w:color="auto"/>
            <w:bottom w:val="none" w:sz="0" w:space="0" w:color="auto"/>
            <w:right w:val="none" w:sz="0" w:space="0" w:color="auto"/>
          </w:divBdr>
        </w:div>
        <w:div w:id="1258637613">
          <w:marLeft w:val="0"/>
          <w:marRight w:val="0"/>
          <w:marTop w:val="0"/>
          <w:marBottom w:val="0"/>
          <w:divBdr>
            <w:top w:val="none" w:sz="0" w:space="0" w:color="auto"/>
            <w:left w:val="none" w:sz="0" w:space="0" w:color="auto"/>
            <w:bottom w:val="none" w:sz="0" w:space="0" w:color="auto"/>
            <w:right w:val="none" w:sz="0" w:space="0" w:color="auto"/>
          </w:divBdr>
        </w:div>
        <w:div w:id="1493373044">
          <w:marLeft w:val="0"/>
          <w:marRight w:val="0"/>
          <w:marTop w:val="0"/>
          <w:marBottom w:val="0"/>
          <w:divBdr>
            <w:top w:val="none" w:sz="0" w:space="0" w:color="auto"/>
            <w:left w:val="none" w:sz="0" w:space="0" w:color="auto"/>
            <w:bottom w:val="none" w:sz="0" w:space="0" w:color="auto"/>
            <w:right w:val="none" w:sz="0" w:space="0" w:color="auto"/>
          </w:divBdr>
        </w:div>
        <w:div w:id="1520851656">
          <w:marLeft w:val="0"/>
          <w:marRight w:val="0"/>
          <w:marTop w:val="0"/>
          <w:marBottom w:val="0"/>
          <w:divBdr>
            <w:top w:val="none" w:sz="0" w:space="0" w:color="auto"/>
            <w:left w:val="none" w:sz="0" w:space="0" w:color="auto"/>
            <w:bottom w:val="none" w:sz="0" w:space="0" w:color="auto"/>
            <w:right w:val="none" w:sz="0" w:space="0" w:color="auto"/>
          </w:divBdr>
        </w:div>
        <w:div w:id="1674987332">
          <w:marLeft w:val="0"/>
          <w:marRight w:val="0"/>
          <w:marTop w:val="0"/>
          <w:marBottom w:val="0"/>
          <w:divBdr>
            <w:top w:val="none" w:sz="0" w:space="0" w:color="auto"/>
            <w:left w:val="none" w:sz="0" w:space="0" w:color="auto"/>
            <w:bottom w:val="none" w:sz="0" w:space="0" w:color="auto"/>
            <w:right w:val="none" w:sz="0" w:space="0" w:color="auto"/>
          </w:divBdr>
        </w:div>
        <w:div w:id="1789737739">
          <w:marLeft w:val="0"/>
          <w:marRight w:val="0"/>
          <w:marTop w:val="0"/>
          <w:marBottom w:val="0"/>
          <w:divBdr>
            <w:top w:val="none" w:sz="0" w:space="0" w:color="auto"/>
            <w:left w:val="none" w:sz="0" w:space="0" w:color="auto"/>
            <w:bottom w:val="none" w:sz="0" w:space="0" w:color="auto"/>
            <w:right w:val="none" w:sz="0" w:space="0" w:color="auto"/>
          </w:divBdr>
        </w:div>
        <w:div w:id="1792434390">
          <w:marLeft w:val="0"/>
          <w:marRight w:val="0"/>
          <w:marTop w:val="0"/>
          <w:marBottom w:val="0"/>
          <w:divBdr>
            <w:top w:val="none" w:sz="0" w:space="0" w:color="auto"/>
            <w:left w:val="none" w:sz="0" w:space="0" w:color="auto"/>
            <w:bottom w:val="none" w:sz="0" w:space="0" w:color="auto"/>
            <w:right w:val="none" w:sz="0" w:space="0" w:color="auto"/>
          </w:divBdr>
        </w:div>
        <w:div w:id="1970359067">
          <w:marLeft w:val="0"/>
          <w:marRight w:val="0"/>
          <w:marTop w:val="0"/>
          <w:marBottom w:val="0"/>
          <w:divBdr>
            <w:top w:val="none" w:sz="0" w:space="0" w:color="auto"/>
            <w:left w:val="none" w:sz="0" w:space="0" w:color="auto"/>
            <w:bottom w:val="none" w:sz="0" w:space="0" w:color="auto"/>
            <w:right w:val="none" w:sz="0" w:space="0" w:color="auto"/>
          </w:divBdr>
        </w:div>
        <w:div w:id="2135753370">
          <w:marLeft w:val="0"/>
          <w:marRight w:val="0"/>
          <w:marTop w:val="0"/>
          <w:marBottom w:val="0"/>
          <w:divBdr>
            <w:top w:val="none" w:sz="0" w:space="0" w:color="auto"/>
            <w:left w:val="none" w:sz="0" w:space="0" w:color="auto"/>
            <w:bottom w:val="none" w:sz="0" w:space="0" w:color="auto"/>
            <w:right w:val="none" w:sz="0" w:space="0" w:color="auto"/>
          </w:divBdr>
        </w:div>
      </w:divsChild>
    </w:div>
    <w:div w:id="1829443860">
      <w:bodyDiv w:val="1"/>
      <w:marLeft w:val="0"/>
      <w:marRight w:val="0"/>
      <w:marTop w:val="0"/>
      <w:marBottom w:val="0"/>
      <w:divBdr>
        <w:top w:val="none" w:sz="0" w:space="0" w:color="auto"/>
        <w:left w:val="none" w:sz="0" w:space="0" w:color="auto"/>
        <w:bottom w:val="none" w:sz="0" w:space="0" w:color="auto"/>
        <w:right w:val="none" w:sz="0" w:space="0" w:color="auto"/>
      </w:divBdr>
    </w:div>
    <w:div w:id="19688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ir.gov.pl" TargetMode="External"/><Relationship Id="rId1" Type="http://schemas.openxmlformats.org/officeDocument/2006/relationships/hyperlink" Target="mailto:media@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Tango\DRP\Monitorowanie\2014-2020\analizy_male_szybkie\Komunikat%20o%20stanie%20wydatkowania\2019-05-19\2019-03-31%20wykres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263262138627456E-2"/>
          <c:y val="6.1026802504919944E-2"/>
          <c:w val="0.85306050599040961"/>
          <c:h val="0.4356161217541018"/>
        </c:manualLayout>
      </c:layout>
      <c:barChart>
        <c:barDir val="col"/>
        <c:grouping val="clustered"/>
        <c:varyColors val="0"/>
        <c:ser>
          <c:idx val="1"/>
          <c:order val="1"/>
          <c:tx>
            <c:strRef>
              <c:f>'wykres 2 CT (kwoty)'!$C$3</c:f>
              <c:strCache>
                <c:ptCount val="1"/>
                <c:pt idx="0">
                  <c:v>Wykorzystanie alokacji we wnioskach o płatność</c:v>
                </c:pt>
              </c:strCache>
            </c:strRef>
          </c:tx>
          <c:spPr>
            <a:solidFill>
              <a:srgbClr val="FFC000"/>
            </a:solidFill>
          </c:spPr>
          <c:invertIfNegative val="0"/>
          <c:dLbls>
            <c:dLbl>
              <c:idx val="14"/>
              <c:delete val="1"/>
            </c:dLbl>
            <c:dLbl>
              <c:idx val="15"/>
              <c:delete val="1"/>
            </c:dLbl>
            <c:txPr>
              <a:bodyPr/>
              <a:lstStyle/>
              <a:p>
                <a:pPr>
                  <a:defRPr b="1"/>
                </a:pPr>
                <a:endParaRPr lang="pl-PL"/>
              </a:p>
            </c:txPr>
            <c:dLblPos val="outEnd"/>
            <c:showLegendKey val="0"/>
            <c:showVal val="1"/>
            <c:showCatName val="0"/>
            <c:showSerName val="0"/>
            <c:showPercent val="0"/>
            <c:showBubbleSize val="0"/>
            <c:showLeaderLines val="0"/>
          </c:dLbls>
          <c:cat>
            <c:strRef>
              <c:f>'wykres 2 CT (kwoty)'!$A$4:$A$13</c:f>
              <c:strCache>
                <c:ptCount val="10"/>
                <c:pt idx="0">
                  <c:v>Zatrudnienie CT8</c:v>
                </c:pt>
                <c:pt idx="1">
                  <c:v>Edukacja CT10</c:v>
                </c:pt>
                <c:pt idx="2">
                  <c:v>Transport CT7</c:v>
                </c:pt>
                <c:pt idx="3">
                  <c:v>MŚP CT3</c:v>
                </c:pt>
                <c:pt idx="4">
                  <c:v>Gosp. niskoemisyjna CT4</c:v>
                </c:pt>
                <c:pt idx="5">
                  <c:v>06 Zachowanie i ochrona środowiska naturalnego i wspieranie efektywnego gospodarowania zasobami</c:v>
                </c:pt>
                <c:pt idx="6">
                  <c:v>Ochrona przeciw pow CT5</c:v>
                </c:pt>
                <c:pt idx="7">
                  <c:v>TIK CT2</c:v>
                </c:pt>
                <c:pt idx="8">
                  <c:v>Włączenie społeczne CT9</c:v>
                </c:pt>
                <c:pt idx="9">
                  <c:v>B+R CT1</c:v>
                </c:pt>
              </c:strCache>
            </c:strRef>
          </c:cat>
          <c:val>
            <c:numRef>
              <c:f>'wykres 2 CT (kwoty)'!$C$4:$C$13</c:f>
              <c:numCache>
                <c:formatCode>0.0%</c:formatCode>
                <c:ptCount val="10"/>
                <c:pt idx="0">
                  <c:v>0.32424866477398573</c:v>
                </c:pt>
                <c:pt idx="1">
                  <c:v>0.31324063346510023</c:v>
                </c:pt>
                <c:pt idx="2">
                  <c:v>0.30726152977148136</c:v>
                </c:pt>
                <c:pt idx="3">
                  <c:v>0.30540977450782414</c:v>
                </c:pt>
                <c:pt idx="4">
                  <c:v>0.25759972343151405</c:v>
                </c:pt>
                <c:pt idx="5">
                  <c:v>0.23499177898184148</c:v>
                </c:pt>
                <c:pt idx="6">
                  <c:v>0.21510506668684604</c:v>
                </c:pt>
                <c:pt idx="7">
                  <c:v>0.1950861210047051</c:v>
                </c:pt>
                <c:pt idx="8">
                  <c:v>0.19297548263923067</c:v>
                </c:pt>
                <c:pt idx="9">
                  <c:v>9.4700893266352948E-2</c:v>
                </c:pt>
              </c:numCache>
            </c:numRef>
          </c:val>
        </c:ser>
        <c:dLbls>
          <c:showLegendKey val="0"/>
          <c:showVal val="0"/>
          <c:showCatName val="0"/>
          <c:showSerName val="0"/>
          <c:showPercent val="0"/>
          <c:showBubbleSize val="0"/>
        </c:dLbls>
        <c:gapWidth val="150"/>
        <c:axId val="139969664"/>
        <c:axId val="139971200"/>
      </c:barChart>
      <c:lineChart>
        <c:grouping val="standard"/>
        <c:varyColors val="0"/>
        <c:ser>
          <c:idx val="0"/>
          <c:order val="0"/>
          <c:tx>
            <c:strRef>
              <c:f>'wykres 2 CT (kwoty)'!$B$3</c:f>
              <c:strCache>
                <c:ptCount val="1"/>
                <c:pt idx="0">
                  <c:v>Wkład UE we wnioskach o płatność (mld zł)</c:v>
                </c:pt>
              </c:strCache>
            </c:strRef>
          </c:tx>
          <c:spPr>
            <a:ln>
              <a:noFill/>
            </a:ln>
          </c:spPr>
          <c:marker>
            <c:symbol val="none"/>
          </c:marker>
          <c:dLbls>
            <c:dLbl>
              <c:idx val="0"/>
              <c:layout>
                <c:manualLayout>
                  <c:x val="-2.8597831599047944E-2"/>
                  <c:y val="0.26846555049381809"/>
                </c:manualLayout>
              </c:layout>
              <c:dLblPos val="r"/>
              <c:showLegendKey val="0"/>
              <c:showVal val="1"/>
              <c:showCatName val="0"/>
              <c:showSerName val="0"/>
              <c:showPercent val="0"/>
              <c:showBubbleSize val="0"/>
            </c:dLbl>
            <c:dLbl>
              <c:idx val="1"/>
              <c:layout>
                <c:manualLayout>
                  <c:x val="-3.0786358521065153E-2"/>
                  <c:y val="0.2035975050933542"/>
                </c:manualLayout>
              </c:layout>
              <c:dLblPos val="r"/>
              <c:showLegendKey val="0"/>
              <c:showVal val="1"/>
              <c:showCatName val="0"/>
              <c:showSerName val="0"/>
              <c:showPercent val="0"/>
              <c:showBubbleSize val="0"/>
            </c:dLbl>
            <c:dLbl>
              <c:idx val="2"/>
              <c:layout>
                <c:manualLayout>
                  <c:x val="-3.078618620967849E-2"/>
                  <c:y val="0.33606921841775783"/>
                </c:manualLayout>
              </c:layout>
              <c:dLblPos val="r"/>
              <c:showLegendKey val="0"/>
              <c:showVal val="1"/>
              <c:showCatName val="0"/>
              <c:showSerName val="0"/>
              <c:showPercent val="0"/>
              <c:showBubbleSize val="0"/>
            </c:dLbl>
            <c:dLbl>
              <c:idx val="3"/>
              <c:layout>
                <c:manualLayout>
                  <c:x val="-2.8597831599047944E-2"/>
                  <c:y val="0.26552946268608513"/>
                </c:manualLayout>
              </c:layout>
              <c:dLblPos val="r"/>
              <c:showLegendKey val="0"/>
              <c:showVal val="1"/>
              <c:showCatName val="0"/>
              <c:showSerName val="0"/>
              <c:showPercent val="0"/>
              <c:showBubbleSize val="0"/>
            </c:dLbl>
            <c:dLbl>
              <c:idx val="4"/>
              <c:layout>
                <c:manualLayout>
                  <c:x val="-3.078618620967849E-2"/>
                  <c:y val="0.32768866677983044"/>
                </c:manualLayout>
              </c:layout>
              <c:dLblPos val="r"/>
              <c:showLegendKey val="0"/>
              <c:showVal val="1"/>
              <c:showCatName val="0"/>
              <c:showSerName val="0"/>
              <c:showPercent val="0"/>
              <c:showBubbleSize val="0"/>
            </c:dLbl>
            <c:dLbl>
              <c:idx val="5"/>
              <c:layout>
                <c:manualLayout>
                  <c:x val="-3.078618620967849E-2"/>
                  <c:y val="0.10060836684595641"/>
                </c:manualLayout>
              </c:layout>
              <c:dLblPos val="r"/>
              <c:showLegendKey val="0"/>
              <c:showVal val="1"/>
              <c:showCatName val="0"/>
              <c:showSerName val="0"/>
              <c:showPercent val="0"/>
              <c:showBubbleSize val="0"/>
            </c:dLbl>
            <c:dLbl>
              <c:idx val="6"/>
              <c:layout>
                <c:manualLayout>
                  <c:x val="-3.078618620967849E-2"/>
                  <c:y val="-2.3352433329539329E-2"/>
                </c:manualLayout>
              </c:layout>
              <c:dLblPos val="r"/>
              <c:showLegendKey val="0"/>
              <c:showVal val="1"/>
              <c:showCatName val="0"/>
              <c:showSerName val="0"/>
              <c:showPercent val="0"/>
              <c:showBubbleSize val="0"/>
            </c:dLbl>
            <c:dLbl>
              <c:idx val="7"/>
              <c:layout>
                <c:manualLayout>
                  <c:x val="-3.078618620967841E-2"/>
                  <c:y val="1.7202205669504818E-2"/>
                </c:manualLayout>
              </c:layout>
              <c:dLblPos val="r"/>
              <c:showLegendKey val="0"/>
              <c:showVal val="1"/>
              <c:showCatName val="0"/>
              <c:showSerName val="0"/>
              <c:showPercent val="0"/>
              <c:showBubbleSize val="0"/>
            </c:dLbl>
            <c:dLbl>
              <c:idx val="8"/>
              <c:layout>
                <c:manualLayout>
                  <c:x val="-3.2992978138682065E-2"/>
                  <c:y val="0.21814403804823218"/>
                </c:manualLayout>
              </c:layout>
              <c:dLblPos val="r"/>
              <c:showLegendKey val="0"/>
              <c:showVal val="1"/>
              <c:showCatName val="0"/>
              <c:showSerName val="0"/>
              <c:showPercent val="0"/>
              <c:showBubbleSize val="0"/>
            </c:dLbl>
            <c:dLbl>
              <c:idx val="9"/>
              <c:layout>
                <c:manualLayout>
                  <c:x val="-3.2997113611961996E-2"/>
                  <c:y val="1.6346388257539209E-2"/>
                </c:manualLayout>
              </c:layout>
              <c:dLblPos val="r"/>
              <c:showLegendKey val="0"/>
              <c:showVal val="1"/>
              <c:showCatName val="0"/>
              <c:showSerName val="0"/>
              <c:showPercent val="0"/>
              <c:showBubbleSize val="0"/>
            </c:dLbl>
            <c:dLbl>
              <c:idx val="10"/>
              <c:layout>
                <c:manualLayout>
                  <c:x val="-3.0711253226572185E-2"/>
                  <c:y val="0.17177092446777487"/>
                </c:manualLayout>
              </c:layout>
              <c:dLblPos val="r"/>
              <c:showLegendKey val="0"/>
              <c:showVal val="1"/>
              <c:showCatName val="0"/>
              <c:showSerName val="0"/>
              <c:showPercent val="0"/>
              <c:showBubbleSize val="0"/>
            </c:dLbl>
            <c:dLbl>
              <c:idx val="11"/>
              <c:layout>
                <c:manualLayout>
                  <c:x val="-3.0711253226572269E-2"/>
                  <c:y val="8.3807961504811901E-2"/>
                </c:manualLayout>
              </c:layout>
              <c:dLblPos val="r"/>
              <c:showLegendKey val="0"/>
              <c:showVal val="1"/>
              <c:showCatName val="0"/>
              <c:showSerName val="0"/>
              <c:showPercent val="0"/>
              <c:showBubbleSize val="0"/>
            </c:dLbl>
            <c:dLbl>
              <c:idx val="12"/>
              <c:layout>
                <c:manualLayout>
                  <c:x val="-3.0711253226572269E-2"/>
                  <c:y val="2.8252405949256341E-2"/>
                </c:manualLayout>
              </c:layout>
              <c:dLblPos val="r"/>
              <c:showLegendKey val="0"/>
              <c:showVal val="1"/>
              <c:showCatName val="0"/>
              <c:showSerName val="0"/>
              <c:showPercent val="0"/>
              <c:showBubbleSize val="0"/>
            </c:dLbl>
            <c:dLbl>
              <c:idx val="13"/>
              <c:layout>
                <c:manualLayout>
                  <c:x val="-3.2959060741897542E-2"/>
                  <c:y val="3.75116652085156E-2"/>
                </c:manualLayout>
              </c:layout>
              <c:dLblPos val="r"/>
              <c:showLegendKey val="0"/>
              <c:showVal val="1"/>
              <c:showCatName val="0"/>
              <c:showSerName val="0"/>
              <c:showPercent val="0"/>
              <c:showBubbleSize val="0"/>
            </c:dLbl>
            <c:dLbl>
              <c:idx val="14"/>
              <c:layout>
                <c:manualLayout>
                  <c:x val="-2.6178429913749777E-2"/>
                  <c:y val="-4.1192038495188099E-2"/>
                </c:manualLayout>
              </c:layout>
              <c:dLblPos val="r"/>
              <c:showLegendKey val="0"/>
              <c:showVal val="1"/>
              <c:showCatName val="0"/>
              <c:showSerName val="0"/>
              <c:showPercent val="0"/>
              <c:showBubbleSize val="0"/>
            </c:dLbl>
            <c:dLbl>
              <c:idx val="15"/>
              <c:layout>
                <c:manualLayout>
                  <c:x val="-2.7230765588000347E-2"/>
                  <c:y val="-4.1192038495188099E-2"/>
                </c:manualLayout>
              </c:layout>
              <c:dLblPos val="r"/>
              <c:showLegendKey val="0"/>
              <c:showVal val="1"/>
              <c:showCatName val="0"/>
              <c:showSerName val="0"/>
              <c:showPercent val="0"/>
              <c:showBubbleSize val="0"/>
            </c:dLbl>
            <c:numFmt formatCode="#,##0.0" sourceLinked="0"/>
            <c:spPr>
              <a:solidFill>
                <a:schemeClr val="bg1">
                  <a:lumMod val="65000"/>
                  <a:alpha val="75000"/>
                </a:schemeClr>
              </a:solidFill>
            </c:spPr>
            <c:txPr>
              <a:bodyPr/>
              <a:lstStyle/>
              <a:p>
                <a:pPr>
                  <a:defRPr sz="900" b="1"/>
                </a:pPr>
                <a:endParaRPr lang="pl-PL"/>
              </a:p>
            </c:txPr>
            <c:dLblPos val="b"/>
            <c:showLegendKey val="0"/>
            <c:showVal val="1"/>
            <c:showCatName val="0"/>
            <c:showSerName val="0"/>
            <c:showPercent val="0"/>
            <c:showBubbleSize val="0"/>
            <c:showLeaderLines val="0"/>
          </c:dLbls>
          <c:cat>
            <c:strRef>
              <c:f>'wykres 2 CT (kwoty)'!$A$4:$A$13</c:f>
              <c:strCache>
                <c:ptCount val="10"/>
                <c:pt idx="0">
                  <c:v>Zatrudnienie CT8</c:v>
                </c:pt>
                <c:pt idx="1">
                  <c:v>Edukacja CT10</c:v>
                </c:pt>
                <c:pt idx="2">
                  <c:v>Transport CT7</c:v>
                </c:pt>
                <c:pt idx="3">
                  <c:v>MŚP CT3</c:v>
                </c:pt>
                <c:pt idx="4">
                  <c:v>Gosp. niskoemisyjna CT4</c:v>
                </c:pt>
                <c:pt idx="5">
                  <c:v>06 Zachowanie i ochrona środowiska naturalnego i wspieranie efektywnego gospodarowania zasobami</c:v>
                </c:pt>
                <c:pt idx="6">
                  <c:v>Ochrona przeciw pow CT5</c:v>
                </c:pt>
                <c:pt idx="7">
                  <c:v>TIK CT2</c:v>
                </c:pt>
                <c:pt idx="8">
                  <c:v>Włączenie społeczne CT9</c:v>
                </c:pt>
                <c:pt idx="9">
                  <c:v>B+R CT1</c:v>
                </c:pt>
              </c:strCache>
            </c:strRef>
          </c:cat>
          <c:val>
            <c:numRef>
              <c:f>'wykres 2 CT (kwoty)'!$B$4:$B$13</c:f>
              <c:numCache>
                <c:formatCode>0.0</c:formatCode>
                <c:ptCount val="10"/>
                <c:pt idx="0">
                  <c:v>4.8408932844299999</c:v>
                </c:pt>
                <c:pt idx="1">
                  <c:v>3.7688068585899996</c:v>
                </c:pt>
                <c:pt idx="2">
                  <c:v>5.9220540976100002</c:v>
                </c:pt>
                <c:pt idx="3">
                  <c:v>4.7332098399099998</c:v>
                </c:pt>
                <c:pt idx="4">
                  <c:v>5.8084292063199996</c:v>
                </c:pt>
                <c:pt idx="5">
                  <c:v>2.2664117742499998</c:v>
                </c:pt>
                <c:pt idx="6">
                  <c:v>0.26463283882999999</c:v>
                </c:pt>
                <c:pt idx="7">
                  <c:v>0.85881026825999984</c:v>
                </c:pt>
                <c:pt idx="8">
                  <c:v>4.0455415439400007</c:v>
                </c:pt>
                <c:pt idx="9">
                  <c:v>0.85891245929999993</c:v>
                </c:pt>
              </c:numCache>
            </c:numRef>
          </c:val>
          <c:smooth val="0"/>
        </c:ser>
        <c:dLbls>
          <c:showLegendKey val="0"/>
          <c:showVal val="0"/>
          <c:showCatName val="0"/>
          <c:showSerName val="0"/>
          <c:showPercent val="0"/>
          <c:showBubbleSize val="0"/>
        </c:dLbls>
        <c:marker val="1"/>
        <c:smooth val="0"/>
        <c:axId val="140128640"/>
        <c:axId val="140130176"/>
      </c:lineChart>
      <c:catAx>
        <c:axId val="139969664"/>
        <c:scaling>
          <c:orientation val="minMax"/>
        </c:scaling>
        <c:delete val="0"/>
        <c:axPos val="b"/>
        <c:numFmt formatCode="General" sourceLinked="1"/>
        <c:majorTickMark val="out"/>
        <c:minorTickMark val="none"/>
        <c:tickLblPos val="nextTo"/>
        <c:txPr>
          <a:bodyPr/>
          <a:lstStyle/>
          <a:p>
            <a:pPr>
              <a:defRPr sz="800" b="0"/>
            </a:pPr>
            <a:endParaRPr lang="pl-PL"/>
          </a:p>
        </c:txPr>
        <c:crossAx val="139971200"/>
        <c:crosses val="autoZero"/>
        <c:auto val="1"/>
        <c:lblAlgn val="ctr"/>
        <c:lblOffset val="100"/>
        <c:noMultiLvlLbl val="0"/>
      </c:catAx>
      <c:valAx>
        <c:axId val="139971200"/>
        <c:scaling>
          <c:orientation val="minMax"/>
          <c:max val="0.5"/>
        </c:scaling>
        <c:delete val="0"/>
        <c:axPos val="l"/>
        <c:majorGridlines/>
        <c:numFmt formatCode="0%" sourceLinked="0"/>
        <c:majorTickMark val="out"/>
        <c:minorTickMark val="none"/>
        <c:tickLblPos val="nextTo"/>
        <c:txPr>
          <a:bodyPr/>
          <a:lstStyle/>
          <a:p>
            <a:pPr>
              <a:defRPr sz="900"/>
            </a:pPr>
            <a:endParaRPr lang="pl-PL"/>
          </a:p>
        </c:txPr>
        <c:crossAx val="139969664"/>
        <c:crosses val="autoZero"/>
        <c:crossBetween val="between"/>
        <c:majorUnit val="0.1"/>
      </c:valAx>
      <c:catAx>
        <c:axId val="140128640"/>
        <c:scaling>
          <c:orientation val="minMax"/>
        </c:scaling>
        <c:delete val="1"/>
        <c:axPos val="b"/>
        <c:majorTickMark val="out"/>
        <c:minorTickMark val="none"/>
        <c:tickLblPos val="nextTo"/>
        <c:crossAx val="140130176"/>
        <c:crosses val="autoZero"/>
        <c:auto val="1"/>
        <c:lblAlgn val="ctr"/>
        <c:lblOffset val="100"/>
        <c:noMultiLvlLbl val="0"/>
      </c:catAx>
      <c:valAx>
        <c:axId val="140130176"/>
        <c:scaling>
          <c:orientation val="minMax"/>
        </c:scaling>
        <c:delete val="0"/>
        <c:axPos val="r"/>
        <c:numFmt formatCode="0.0" sourceLinked="1"/>
        <c:majorTickMark val="out"/>
        <c:minorTickMark val="none"/>
        <c:tickLblPos val="nextTo"/>
        <c:txPr>
          <a:bodyPr/>
          <a:lstStyle/>
          <a:p>
            <a:pPr>
              <a:defRPr>
                <a:solidFill>
                  <a:schemeClr val="bg1"/>
                </a:solidFill>
              </a:defRPr>
            </a:pPr>
            <a:endParaRPr lang="pl-PL"/>
          </a:p>
        </c:txPr>
        <c:crossAx val="140128640"/>
        <c:crosses val="max"/>
        <c:crossBetween val="between"/>
      </c:valAx>
    </c:plotArea>
    <c:legend>
      <c:legendPos val="b"/>
      <c:layout>
        <c:manualLayout>
          <c:xMode val="edge"/>
          <c:yMode val="edge"/>
          <c:x val="6.2037723840521898E-2"/>
          <c:y val="0.91598849249921988"/>
          <c:w val="0.85959885744332898"/>
          <c:h val="7.8220535617290338E-2"/>
        </c:manualLayout>
      </c:layout>
      <c:overlay val="0"/>
      <c:txPr>
        <a:bodyPr/>
        <a:lstStyle/>
        <a:p>
          <a:pPr>
            <a:defRPr sz="800"/>
          </a:pPr>
          <a:endParaRPr lang="pl-PL"/>
        </a:p>
      </c:txPr>
    </c:legend>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0.50037</cdr:x>
      <cdr:y>0.93569</cdr:y>
    </cdr:from>
    <cdr:to>
      <cdr:x>0.52976</cdr:x>
      <cdr:y>0.97644</cdr:y>
    </cdr:to>
    <cdr:sp macro="" textlink="">
      <cdr:nvSpPr>
        <cdr:cNvPr id="2" name="Prostokąt 1"/>
        <cdr:cNvSpPr/>
      </cdr:nvSpPr>
      <cdr:spPr>
        <a:xfrm xmlns:a="http://schemas.openxmlformats.org/drawingml/2006/main">
          <a:off x="2779966" y="2375808"/>
          <a:ext cx="163285" cy="103464"/>
        </a:xfrm>
        <a:prstGeom xmlns:a="http://schemas.openxmlformats.org/drawingml/2006/main" prst="rect">
          <a:avLst/>
        </a:prstGeom>
        <a:solidFill xmlns:a="http://schemas.openxmlformats.org/drawingml/2006/main">
          <a:schemeClr val="bg1">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CB0C-D2F8-4064-A956-6F81C39C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3524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4103</CharactersWithSpaces>
  <SharedDoc>false</SharedDoc>
  <HLinks>
    <vt:vector size="12" baseType="variant">
      <vt:variant>
        <vt:i4>4522051</vt:i4>
      </vt:variant>
      <vt:variant>
        <vt:i4>8</vt:i4>
      </vt:variant>
      <vt:variant>
        <vt:i4>0</vt:i4>
      </vt:variant>
      <vt:variant>
        <vt:i4>5</vt:i4>
      </vt:variant>
      <vt:variant>
        <vt:lpwstr>http://www.mr.gov.pl/</vt:lpwstr>
      </vt:variant>
      <vt:variant>
        <vt:lpwstr/>
      </vt:variant>
      <vt:variant>
        <vt:i4>6553621</vt:i4>
      </vt:variant>
      <vt:variant>
        <vt:i4>5</vt:i4>
      </vt:variant>
      <vt:variant>
        <vt:i4>0</vt:i4>
      </vt:variant>
      <vt:variant>
        <vt:i4>5</vt:i4>
      </vt:variant>
      <vt:variant>
        <vt:lpwstr>mailto:media@mr.gov.pl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2019-05-23T11:28:00Z</dcterms:created>
  <dcterms:modified xsi:type="dcterms:W3CDTF">2019-05-24T07:27:00Z</dcterms:modified>
</cp:coreProperties>
</file>