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D5" w:rsidRPr="00F665D5" w:rsidRDefault="005B0215" w:rsidP="00F665D5">
      <w:pPr>
        <w:pStyle w:val="Tytu"/>
        <w:pBdr>
          <w:bottom w:val="none" w:sz="0" w:space="0" w:color="auto"/>
        </w:pBdr>
        <w:rPr>
          <w:rFonts w:eastAsia="Calibri"/>
          <w:lang w:eastAsia="en-US"/>
        </w:rPr>
      </w:pPr>
      <w:bookmarkStart w:id="0" w:name="_GoBack"/>
      <w:bookmarkEnd w:id="0"/>
      <w:r w:rsidRPr="005B0215">
        <w:t>Polska Wschodnia bliżej. Nowoczesna infrastruktura drogowa i komunikacja miejska</w:t>
      </w:r>
    </w:p>
    <w:p w:rsidR="00851E5D" w:rsidRPr="0025028C" w:rsidRDefault="00F665D5" w:rsidP="00F665D5">
      <w:pPr>
        <w:rPr>
          <w:rFonts w:eastAsia="Calibri"/>
          <w:sz w:val="24"/>
          <w:lang w:eastAsia="en-US"/>
        </w:rPr>
      </w:pPr>
      <w:r w:rsidRPr="0025028C">
        <w:rPr>
          <w:rFonts w:eastAsia="Calibri"/>
          <w:sz w:val="24"/>
          <w:lang w:eastAsia="en-US"/>
        </w:rPr>
        <w:t xml:space="preserve">Informacja prasowa, </w:t>
      </w:r>
      <w:r w:rsidR="005B0215">
        <w:rPr>
          <w:rFonts w:eastAsia="Calibri"/>
          <w:sz w:val="24"/>
          <w:lang w:eastAsia="en-US"/>
        </w:rPr>
        <w:t>24 maja</w:t>
      </w:r>
      <w:r w:rsidR="00CA558E" w:rsidRPr="0025028C">
        <w:rPr>
          <w:rFonts w:eastAsia="Calibri"/>
          <w:sz w:val="24"/>
          <w:lang w:eastAsia="en-US"/>
        </w:rPr>
        <w:t xml:space="preserve"> </w:t>
      </w:r>
      <w:r w:rsidR="00851E5D" w:rsidRPr="0025028C">
        <w:rPr>
          <w:rFonts w:eastAsia="Calibri"/>
          <w:sz w:val="24"/>
          <w:lang w:eastAsia="en-US"/>
        </w:rPr>
        <w:t>201</w:t>
      </w:r>
      <w:r w:rsidR="0025028C">
        <w:rPr>
          <w:rFonts w:eastAsia="Calibri"/>
          <w:sz w:val="24"/>
          <w:lang w:eastAsia="en-US"/>
        </w:rPr>
        <w:t>9</w:t>
      </w:r>
      <w:r w:rsidR="00851E5D" w:rsidRPr="0025028C">
        <w:rPr>
          <w:rFonts w:eastAsia="Calibri"/>
          <w:sz w:val="24"/>
          <w:lang w:eastAsia="en-US"/>
        </w:rPr>
        <w:t xml:space="preserve"> r.</w:t>
      </w:r>
    </w:p>
    <w:p w:rsidR="00F665D5" w:rsidRDefault="005B0215" w:rsidP="00F665D5">
      <w:pPr>
        <w:jc w:val="left"/>
        <w:rPr>
          <w:rFonts w:eastAsia="Calibri"/>
          <w:b/>
          <w:lang w:eastAsia="en-US"/>
        </w:rPr>
      </w:pPr>
      <w:r w:rsidRPr="005B0215">
        <w:rPr>
          <w:rFonts w:eastAsia="Calibri"/>
          <w:b/>
          <w:lang w:eastAsia="en-US"/>
        </w:rPr>
        <w:t>Program Polska Wschodnia to ponad 3,6 miliarda złotych w inwestycjach w infrastrukturę drogową, w tym ponad 1,62 miliarda złotych na rozwój komunikacji miejskiej w stolicach województw Polski Wschodniej i ich obszarach funkcjonalnych. Dzięki środkom Programu powstanie nowych lub zostanie przebudowanych ponad 150 km dróg.</w:t>
      </w:r>
    </w:p>
    <w:p w:rsidR="005B0215" w:rsidRDefault="005B0215" w:rsidP="005B0215">
      <w:r w:rsidRPr="00062A55">
        <w:t xml:space="preserve">- </w:t>
      </w:r>
      <w:r>
        <w:t>Polska Wschodnia s</w:t>
      </w:r>
      <w:r w:rsidRPr="00F4573E">
        <w:t>taje się coraz bardziej spójn</w:t>
      </w:r>
      <w:r>
        <w:t>a</w:t>
      </w:r>
      <w:r w:rsidRPr="00F4573E">
        <w:t xml:space="preserve"> i dostępn</w:t>
      </w:r>
      <w:r>
        <w:t>a</w:t>
      </w:r>
      <w:r w:rsidRPr="00F4573E">
        <w:t xml:space="preserve"> transportowo</w:t>
      </w:r>
      <w:r>
        <w:t xml:space="preserve">. </w:t>
      </w:r>
      <w:r w:rsidRPr="000B7F73">
        <w:t xml:space="preserve">Nasze inwestycje </w:t>
      </w:r>
      <w:r>
        <w:t>drogowe</w:t>
      </w:r>
      <w:r w:rsidRPr="000B7F73">
        <w:t xml:space="preserve"> </w:t>
      </w:r>
      <w:r>
        <w:t>służą</w:t>
      </w:r>
      <w:r w:rsidRPr="000B7F73">
        <w:t xml:space="preserve"> mieszkańcom i </w:t>
      </w:r>
      <w:r>
        <w:t>lokalnemu</w:t>
      </w:r>
      <w:r w:rsidRPr="000B7F73">
        <w:t xml:space="preserve"> biznesowi</w:t>
      </w:r>
      <w:r>
        <w:t>. P</w:t>
      </w:r>
      <w:r w:rsidRPr="000B7F73">
        <w:t>łynące z nich korzyści doceniają też goście, turyści i coraz liczniejsi inwestorzy</w:t>
      </w:r>
      <w:r>
        <w:t xml:space="preserve"> - mówi wiceminister inwestycji i rozwoju Adam Hamryszczak. </w:t>
      </w:r>
    </w:p>
    <w:p w:rsidR="005B0215" w:rsidRPr="00BD6255" w:rsidRDefault="005B0215" w:rsidP="005B0215">
      <w:pPr>
        <w:rPr>
          <w:b/>
        </w:rPr>
      </w:pPr>
      <w:r w:rsidRPr="00BD6255">
        <w:rPr>
          <w:b/>
        </w:rPr>
        <w:t>Województwo podkarpackie</w:t>
      </w:r>
    </w:p>
    <w:p w:rsidR="005B0215" w:rsidRDefault="005B0215" w:rsidP="005B0215">
      <w:r w:rsidRPr="00BD6255">
        <w:t xml:space="preserve">W Rzeszowie i jego </w:t>
      </w:r>
      <w:r>
        <w:t>okolicy trwa</w:t>
      </w:r>
      <w:r w:rsidRPr="00BD6255">
        <w:t xml:space="preserve"> budowa i przebudow</w:t>
      </w:r>
      <w:r>
        <w:t>a</w:t>
      </w:r>
      <w:r w:rsidRPr="00BD6255">
        <w:t xml:space="preserve"> </w:t>
      </w:r>
      <w:r>
        <w:t>prawie</w:t>
      </w:r>
      <w:r w:rsidRPr="00BD6255">
        <w:t xml:space="preserve"> 23 km dróg. </w:t>
      </w:r>
      <w:r>
        <w:t>Do</w:t>
      </w:r>
      <w:r w:rsidRPr="00BD6255">
        <w:t xml:space="preserve"> użytku oddano </w:t>
      </w:r>
      <w:r>
        <w:t xml:space="preserve">już </w:t>
      </w:r>
      <w:r w:rsidRPr="00BD6255">
        <w:t>6 odcinków dróg o łącznej długości 16,7 km.</w:t>
      </w:r>
    </w:p>
    <w:p w:rsidR="005B0215" w:rsidRDefault="005B0215" w:rsidP="005B0215">
      <w:r w:rsidRPr="009A65F8">
        <w:t xml:space="preserve">W okolicach Rzeszowa zakończyliśmy już kilka inwestycji. Do użytku oddaliśmy m.in. rozbudowaną do dwóch jezdni drogę wojewódzką nr 878 (ul. Sikorskiego) prowadzącą do drogi krajowej nr 94. </w:t>
      </w:r>
      <w:r>
        <w:t xml:space="preserve">Ważne znaczenie dla podróżujących po Podkarpaciu ma także </w:t>
      </w:r>
      <w:r w:rsidRPr="00006805">
        <w:t>łącznik</w:t>
      </w:r>
      <w:r>
        <w:t xml:space="preserve"> </w:t>
      </w:r>
      <w:r w:rsidRPr="00006805">
        <w:t>Rzeszowa z drogą ekspresową S19</w:t>
      </w:r>
      <w:r>
        <w:t>. Dzięki tej inwestycji  j</w:t>
      </w:r>
      <w:r w:rsidRPr="00006805">
        <w:t>adący drogą krajową nr 19 mogą ominąć centrum  Rzeszowa, a następnie  udać się w kierunku Lublina i Warszawy lub też dojechać do autostrady A4 prowadzącej m.in. w kierunku Krakowa.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686"/>
        <w:gridCol w:w="4911"/>
        <w:gridCol w:w="956"/>
        <w:gridCol w:w="851"/>
        <w:gridCol w:w="1611"/>
      </w:tblGrid>
      <w:tr w:rsidR="005B0215" w:rsidTr="000302F3">
        <w:trPr>
          <w:trHeight w:val="46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>L.p.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>Beneficjent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>Tytuł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>Wartość ogółem</w:t>
            </w:r>
          </w:p>
          <w:p w:rsidR="005B0215" w:rsidRDefault="005B0215" w:rsidP="000302F3">
            <w:pPr>
              <w:spacing w:after="0"/>
              <w:jc w:val="center"/>
              <w:rPr>
                <w:rFonts w:cs="Calibri"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Cs/>
                <w:color w:val="FFFFFF"/>
                <w:sz w:val="16"/>
                <w:szCs w:val="16"/>
              </w:rPr>
              <w:t>(mln PLN)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>Wkład UE</w:t>
            </w:r>
          </w:p>
          <w:p w:rsidR="005B0215" w:rsidRDefault="005B0215" w:rsidP="000302F3">
            <w:pPr>
              <w:spacing w:after="0"/>
              <w:jc w:val="center"/>
              <w:rPr>
                <w:rFonts w:cs="Calibri"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Cs/>
                <w:color w:val="FFFFFF"/>
                <w:sz w:val="16"/>
                <w:szCs w:val="16"/>
              </w:rPr>
              <w:t>(mln PLN)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  <w:hideMark/>
          </w:tcPr>
          <w:p w:rsidR="005B0215" w:rsidRDefault="005B0215" w:rsidP="005B0215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 xml:space="preserve">Długość </w:t>
            </w:r>
            <w:r>
              <w:rPr>
                <w:rFonts w:cs="Calibri"/>
                <w:bCs/>
                <w:color w:val="FFFFFF"/>
                <w:sz w:val="16"/>
                <w:szCs w:val="16"/>
              </w:rPr>
              <w:t>nowych /przebudowanych /zmodernizowanych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 xml:space="preserve"> dróg</w:t>
            </w:r>
          </w:p>
          <w:p w:rsidR="005B0215" w:rsidRDefault="005B0215" w:rsidP="005B0215">
            <w:pPr>
              <w:spacing w:after="0"/>
              <w:jc w:val="center"/>
              <w:rPr>
                <w:rFonts w:cs="Calibri"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Cs/>
                <w:color w:val="FFFFFF"/>
                <w:sz w:val="16"/>
                <w:szCs w:val="16"/>
              </w:rPr>
              <w:t>(km)</w:t>
            </w:r>
          </w:p>
          <w:p w:rsidR="005B0215" w:rsidRDefault="005B0215" w:rsidP="005B0215">
            <w:pPr>
              <w:spacing w:after="0"/>
              <w:jc w:val="center"/>
              <w:rPr>
                <w:rFonts w:cs="Calibri"/>
                <w:bCs/>
                <w:color w:val="FFFFFF"/>
                <w:sz w:val="16"/>
                <w:szCs w:val="16"/>
              </w:rPr>
            </w:pPr>
          </w:p>
        </w:tc>
      </w:tr>
      <w:tr w:rsidR="005B0215" w:rsidTr="000302F3">
        <w:trPr>
          <w:trHeight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Projekty drogowe</w:t>
            </w:r>
          </w:p>
        </w:tc>
      </w:tr>
      <w:tr w:rsidR="005B0215" w:rsidTr="000302F3">
        <w:trPr>
          <w:trHeight w:val="6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215" w:rsidRPr="003126C4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126C4">
              <w:rPr>
                <w:rFonts w:cs="Calibri"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Budowa DW na odcinku od skrzyżowania ul. Podkarpackiej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 xml:space="preserve"> z ul. 9 Dywizji Piechoty w Rzeszowie (DK 19) do węzła Rzeszów - Południe (S 19)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2,90 </w:t>
            </w:r>
          </w:p>
        </w:tc>
      </w:tr>
      <w:tr w:rsidR="005B0215" w:rsidTr="000302F3">
        <w:trPr>
          <w:trHeight w:val="6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215" w:rsidRPr="003126C4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126C4">
              <w:rPr>
                <w:rFonts w:cs="Calibri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W: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Budowa DW na odcinku od skrzyżowania ul. Podkarpackiej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 xml:space="preserve"> z ul. 9 Dywizji Piechoty w Rzeszowie (DK 19) do węzła Rzeszów-Południe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1,09 </w:t>
            </w:r>
          </w:p>
        </w:tc>
      </w:tr>
      <w:tr w:rsidR="005B0215" w:rsidTr="000302F3">
        <w:trPr>
          <w:trHeight w:val="6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215" w:rsidRPr="003126C4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126C4">
              <w:rPr>
                <w:rFonts w:cs="Calibri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W: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Budowa i rozbudowa DW Nr 869 na odcinku od węzła S-19 Jasionka do węzła DK 9 w Rudnej Małej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7,80 </w:t>
            </w:r>
          </w:p>
        </w:tc>
      </w:tr>
      <w:tr w:rsidR="005B0215" w:rsidTr="000302F3">
        <w:trPr>
          <w:trHeight w:val="6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215" w:rsidRPr="003126C4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126C4">
              <w:rPr>
                <w:rFonts w:cs="Calibri"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Rozbudowa DK 19 w Rzeszowie na odcinku od skrzyżowania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 xml:space="preserve"> ul. Podkarpackiej z ul. 9 Dywizji Piechoty do granicy miasta.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1,76</w:t>
            </w:r>
          </w:p>
        </w:tc>
      </w:tr>
      <w:tr w:rsidR="005B0215" w:rsidTr="000302F3">
        <w:trPr>
          <w:trHeight w:val="6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215" w:rsidRPr="003126C4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126C4">
              <w:rPr>
                <w:rFonts w:cs="Calibri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W: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Rozbudowa DW 878 na odcinku od granicy miasta Rzeszowa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 xml:space="preserve"> do skrzyżowania ul. Grunwaldzkiej z ul. Orkana w Tyczynie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 xml:space="preserve"> (DP nr 1404 R)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0,83</w:t>
            </w:r>
          </w:p>
        </w:tc>
      </w:tr>
      <w:tr w:rsidR="005B0215" w:rsidTr="000302F3">
        <w:trPr>
          <w:trHeight w:val="6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215" w:rsidRPr="003126C4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126C4">
              <w:rPr>
                <w:rFonts w:cs="Calibri"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Rozbudowa DW 878 w Rzeszowie w ciągu ul. Sikorskiego prowadzącej do DK 94, na odcinku od skrzyżowania z ul. Malowniczą do granicy miasta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2,32 </w:t>
            </w:r>
          </w:p>
        </w:tc>
      </w:tr>
      <w:tr w:rsidR="005B0215" w:rsidTr="000302F3">
        <w:trPr>
          <w:trHeight w:val="6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215" w:rsidRPr="003126C4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126C4">
              <w:rPr>
                <w:rFonts w:cs="Calibri"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Budowa DW w Rzeszowie na odcinku od ul. Lubelskiej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 xml:space="preserve"> do ul. Warszawskiej - połączenie DK 97 z DK 94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1,37</w:t>
            </w:r>
          </w:p>
        </w:tc>
      </w:tr>
      <w:tr w:rsidR="005B0215" w:rsidTr="000302F3">
        <w:trPr>
          <w:trHeight w:val="6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215" w:rsidRPr="003126C4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3126C4">
              <w:rPr>
                <w:rFonts w:cs="Calibri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W: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Rozbudowa i budowa DW Nr 988 na odcinku Babica – Zaborów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 xml:space="preserve"> wraz z budową obwodnicy Czudca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85,59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72,75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4,39</w:t>
            </w:r>
          </w:p>
        </w:tc>
      </w:tr>
      <w:tr w:rsidR="005B0215" w:rsidTr="000302F3">
        <w:trPr>
          <w:trHeight w:val="391"/>
        </w:trPr>
        <w:tc>
          <w:tcPr>
            <w:tcW w:w="3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375,6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282,6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22,46</w:t>
            </w:r>
          </w:p>
        </w:tc>
      </w:tr>
    </w:tbl>
    <w:p w:rsidR="005B0215" w:rsidRDefault="005B0215" w:rsidP="005B0215">
      <w:r>
        <w:t xml:space="preserve">W województwie podkarpackim w ramach programu Polska Wschodnia inwestujemy w </w:t>
      </w:r>
      <w:r w:rsidRPr="009A65F8">
        <w:t>rozwój komunikacji miejskiej</w:t>
      </w:r>
      <w:r>
        <w:t>. W</w:t>
      </w:r>
      <w:r w:rsidRPr="00062A55">
        <w:t xml:space="preserve"> Rzeszowie zakupionych zostanie 130 szt. ekologicznego taboru komunikacji miejskiej, w tym 10 szt. z napędem elektrycznym (planowana jest również stacja ładowania). Budowaniu zrównoważonej mobilności miejskiej sprzyjać będzie oddanie do użytku ponad 6,5 km nowych dróg dla rowerów oraz parkingi typu Bike&amp;Ridełącznie na 60 miejsc postojowych.</w:t>
      </w:r>
    </w:p>
    <w:p w:rsidR="005B0215" w:rsidRPr="00BD6255" w:rsidRDefault="005B0215" w:rsidP="005B0215">
      <w:pPr>
        <w:rPr>
          <w:b/>
        </w:rPr>
      </w:pPr>
      <w:r w:rsidRPr="00BD6255">
        <w:rPr>
          <w:b/>
        </w:rPr>
        <w:t>Województwo lubelskie</w:t>
      </w:r>
    </w:p>
    <w:p w:rsidR="005B0215" w:rsidRDefault="005B0215" w:rsidP="005B0215">
      <w:pPr>
        <w:spacing w:before="120" w:after="120"/>
        <w:rPr>
          <w:sz w:val="24"/>
        </w:rPr>
      </w:pPr>
      <w:r w:rsidRPr="00E37BD6">
        <w:t xml:space="preserve">W Lublinie i jego </w:t>
      </w:r>
      <w:r>
        <w:t>bliskim otoczeniu</w:t>
      </w:r>
      <w:r w:rsidRPr="00E37BD6">
        <w:t xml:space="preserve"> </w:t>
      </w:r>
      <w:r>
        <w:t>jest</w:t>
      </w:r>
      <w:r w:rsidRPr="004F7C48">
        <w:t xml:space="preserve"> budowan</w:t>
      </w:r>
      <w:r>
        <w:t>ych</w:t>
      </w:r>
      <w:r w:rsidRPr="004F7C48">
        <w:t xml:space="preserve"> i przebudowywan</w:t>
      </w:r>
      <w:r>
        <w:t>ych</w:t>
      </w:r>
      <w:r w:rsidRPr="004F7C48">
        <w:t xml:space="preserve"> </w:t>
      </w:r>
      <w:r w:rsidRPr="00E37BD6">
        <w:t xml:space="preserve">ponad 28 km dróg. </w:t>
      </w:r>
      <w:r>
        <w:t>Kierowcy mogą już podróżować nowymi</w:t>
      </w:r>
      <w:r w:rsidRPr="008A60E6">
        <w:rPr>
          <w:sz w:val="24"/>
        </w:rPr>
        <w:t xml:space="preserve"> 3 odcink</w:t>
      </w:r>
      <w:r>
        <w:rPr>
          <w:sz w:val="24"/>
        </w:rPr>
        <w:t>ami</w:t>
      </w:r>
      <w:r w:rsidRPr="008A60E6">
        <w:rPr>
          <w:sz w:val="24"/>
        </w:rPr>
        <w:t xml:space="preserve"> dróg o łącznej długości 5,9 km.</w:t>
      </w:r>
    </w:p>
    <w:p w:rsidR="005B0215" w:rsidRPr="00062A55" w:rsidRDefault="005B0215" w:rsidP="005B0215">
      <w:r>
        <w:t>W</w:t>
      </w:r>
      <w:r w:rsidRPr="00BD6255">
        <w:t xml:space="preserve"> Lublinie przebudowaliśmy skrzyżowanie dróg: krajowej nr 82 i wojewódzkiej nr  809. Teraz Al. Solidarności można bezkolizyjnie wyjechać w stronę Warszawy i Zamościa. Pod estakadą powstało rondo, które ma ułatwić wyjazd kierowcom z osiedla Botanik w stronę centrum miasta i al. Sikorskiego. Dodatkowo usprawniono powiązanie z węzłem Lublin-Czechów, znajdującym się na obwodnicy miasta. Przebudowa skrzyżowania domknęła docelowy układ komunikacyjny w północno-zachodniej części Lublina.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671"/>
        <w:gridCol w:w="4895"/>
        <w:gridCol w:w="941"/>
        <w:gridCol w:w="837"/>
        <w:gridCol w:w="1659"/>
      </w:tblGrid>
      <w:tr w:rsidR="005B0215" w:rsidTr="000302F3">
        <w:trPr>
          <w:trHeight w:val="4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>L.p.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>Beneficjent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>Tytuł projektu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>Wartość ogółem</w:t>
            </w:r>
          </w:p>
          <w:p w:rsidR="005B0215" w:rsidRDefault="005B0215" w:rsidP="000302F3">
            <w:pPr>
              <w:spacing w:after="0"/>
              <w:jc w:val="center"/>
              <w:rPr>
                <w:rFonts w:cs="Calibri"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Cs/>
                <w:color w:val="FFFFFF"/>
                <w:sz w:val="16"/>
                <w:szCs w:val="16"/>
              </w:rPr>
              <w:t>(mln PLN)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>Wkład UE</w:t>
            </w:r>
          </w:p>
          <w:p w:rsidR="005B0215" w:rsidRDefault="005B0215" w:rsidP="000302F3">
            <w:pPr>
              <w:spacing w:after="0"/>
              <w:jc w:val="center"/>
              <w:rPr>
                <w:rFonts w:cs="Calibri"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Cs/>
                <w:color w:val="FFFFFF"/>
                <w:sz w:val="16"/>
                <w:szCs w:val="16"/>
              </w:rPr>
              <w:t>(mln PLN)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  <w:hideMark/>
          </w:tcPr>
          <w:p w:rsidR="005B0215" w:rsidRDefault="005B0215" w:rsidP="005B0215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 xml:space="preserve">Długość </w:t>
            </w:r>
            <w:r>
              <w:rPr>
                <w:rFonts w:cs="Calibri"/>
                <w:bCs/>
                <w:color w:val="FFFFFF"/>
                <w:sz w:val="16"/>
                <w:szCs w:val="16"/>
              </w:rPr>
              <w:t>nowych /przebudowanych /zmodernizowanych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 xml:space="preserve"> dróg</w:t>
            </w:r>
          </w:p>
          <w:p w:rsidR="005B0215" w:rsidRDefault="005B0215" w:rsidP="005B0215">
            <w:pPr>
              <w:spacing w:after="0"/>
              <w:jc w:val="center"/>
              <w:rPr>
                <w:rFonts w:cs="Calibri"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Cs/>
                <w:color w:val="FFFFFF"/>
                <w:sz w:val="16"/>
                <w:szCs w:val="16"/>
              </w:rPr>
              <w:t>(km)</w:t>
            </w:r>
          </w:p>
        </w:tc>
      </w:tr>
      <w:tr w:rsidR="005B0215" w:rsidTr="000302F3">
        <w:trPr>
          <w:trHeight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Projekty drogowe</w:t>
            </w:r>
          </w:p>
        </w:tc>
      </w:tr>
      <w:tr w:rsidR="005B0215" w:rsidTr="000302F3">
        <w:trPr>
          <w:trHeight w:val="64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30FE4">
              <w:rPr>
                <w:rFonts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215" w:rsidRPr="00CE20E8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CE20E8">
              <w:rPr>
                <w:rFonts w:cs="Calibri"/>
                <w:color w:val="000000"/>
                <w:sz w:val="16"/>
                <w:szCs w:val="16"/>
              </w:rPr>
              <w:t>Budowa nowego przebiegu DW 809 w Lublinie na odcinku od skrzyżowania ul. Bohaterów Monte Cassino z ul. Wojciechowską do węzła Sławin – wyprowadzenie ruchu w kierunku węzła Lublin Sławinek (S12/S17/S19)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 w:rsidRPr="00DC2D9B">
              <w:rPr>
                <w:rFonts w:cs="Calibri"/>
                <w:color w:val="000000"/>
                <w:sz w:val="16"/>
                <w:szCs w:val="16"/>
              </w:rPr>
              <w:t>107,46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 w:rsidRPr="00DC2D9B">
              <w:rPr>
                <w:rFonts w:cs="Calibri"/>
                <w:color w:val="000000"/>
                <w:sz w:val="16"/>
                <w:szCs w:val="16"/>
              </w:rPr>
              <w:t>78,71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C2D9B">
              <w:rPr>
                <w:rFonts w:cs="Calibri"/>
                <w:color w:val="000000"/>
                <w:sz w:val="16"/>
                <w:szCs w:val="16"/>
              </w:rPr>
              <w:t>1,67</w:t>
            </w:r>
          </w:p>
        </w:tc>
      </w:tr>
      <w:tr w:rsidR="005B0215" w:rsidTr="000302F3">
        <w:trPr>
          <w:trHeight w:val="64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30FE4">
              <w:rPr>
                <w:rFonts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215" w:rsidRPr="00CE20E8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CE20E8">
              <w:rPr>
                <w:rFonts w:cs="Calibri"/>
                <w:color w:val="000000"/>
                <w:sz w:val="16"/>
                <w:szCs w:val="16"/>
              </w:rPr>
              <w:t>Budowa i przebudowa DW 835 w Lublinie na odcinkach: od granicy miasta do skrzyżowania ul. Abramowickiej z ul. Sadową, od skrzyżowania ul. Kunickiego z ul. Dywizjonu 303 do ul. Wrotkowskiej wraz z budową skrzyżowania z DW 830.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 w:rsidRPr="00DC2D9B">
              <w:rPr>
                <w:rFonts w:cs="Calibri"/>
                <w:color w:val="000000"/>
                <w:sz w:val="16"/>
                <w:szCs w:val="16"/>
              </w:rPr>
              <w:t>162,54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Pr="00DC2D9B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C2D9B">
              <w:rPr>
                <w:rFonts w:cs="Calibri"/>
                <w:color w:val="000000"/>
                <w:sz w:val="16"/>
                <w:szCs w:val="16"/>
              </w:rPr>
              <w:t>130,40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C2D9B">
              <w:rPr>
                <w:rFonts w:cs="Calibri"/>
                <w:color w:val="000000"/>
                <w:sz w:val="16"/>
                <w:szCs w:val="16"/>
              </w:rPr>
              <w:t>5,13</w:t>
            </w:r>
          </w:p>
        </w:tc>
      </w:tr>
      <w:tr w:rsidR="005B0215" w:rsidTr="000302F3">
        <w:trPr>
          <w:trHeight w:val="64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30FE4">
              <w:rPr>
                <w:rFonts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215" w:rsidRPr="00CE20E8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CE20E8">
              <w:rPr>
                <w:rFonts w:cs="Calibri"/>
                <w:color w:val="000000"/>
                <w:sz w:val="16"/>
                <w:szCs w:val="16"/>
              </w:rPr>
              <w:t>Rozbudowa drogi wojewódzkiej Nr 835 na odcinku od granicy miasta Lublin do m. Piotrków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 w:rsidRPr="00DC2D9B">
              <w:rPr>
                <w:rFonts w:cs="Calibri"/>
                <w:color w:val="000000"/>
                <w:sz w:val="16"/>
                <w:szCs w:val="16"/>
              </w:rPr>
              <w:t>113,01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 w:rsidRPr="00DC2D9B">
              <w:rPr>
                <w:rFonts w:cs="Calibri"/>
                <w:color w:val="000000"/>
                <w:sz w:val="16"/>
                <w:szCs w:val="16"/>
              </w:rPr>
              <w:t>78,36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C2D9B">
              <w:rPr>
                <w:rFonts w:cs="Calibri"/>
                <w:color w:val="000000"/>
                <w:sz w:val="16"/>
                <w:szCs w:val="16"/>
              </w:rPr>
              <w:t>15,98</w:t>
            </w:r>
          </w:p>
        </w:tc>
      </w:tr>
      <w:tr w:rsidR="005B0215" w:rsidTr="000302F3">
        <w:trPr>
          <w:trHeight w:val="64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215" w:rsidRPr="00CE20E8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CE20E8">
              <w:rPr>
                <w:rFonts w:cs="Calibri"/>
                <w:color w:val="000000"/>
                <w:sz w:val="16"/>
                <w:szCs w:val="16"/>
              </w:rPr>
              <w:t>Budowa drogi wojewódzkiej Nr 747 na odcinku Radawiec - węzeł Konopnica (S -19)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 w:rsidRPr="00DC2D9B">
              <w:rPr>
                <w:rFonts w:cs="Calibri"/>
                <w:color w:val="000000"/>
                <w:sz w:val="16"/>
                <w:szCs w:val="16"/>
              </w:rPr>
              <w:t>29,44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 w:rsidRPr="00DC2D9B">
              <w:rPr>
                <w:rFonts w:cs="Calibri"/>
                <w:color w:val="000000"/>
                <w:sz w:val="16"/>
                <w:szCs w:val="16"/>
              </w:rPr>
              <w:t>16,17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C2D9B">
              <w:rPr>
                <w:rFonts w:cs="Calibri"/>
                <w:color w:val="000000"/>
                <w:sz w:val="16"/>
                <w:szCs w:val="16"/>
              </w:rPr>
              <w:t>3,76</w:t>
            </w:r>
          </w:p>
        </w:tc>
      </w:tr>
      <w:tr w:rsidR="005B0215" w:rsidTr="000302F3">
        <w:trPr>
          <w:trHeight w:val="64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215" w:rsidRPr="0031385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313855">
              <w:rPr>
                <w:rFonts w:cs="Calibri"/>
                <w:color w:val="000000"/>
                <w:sz w:val="16"/>
                <w:szCs w:val="16"/>
              </w:rPr>
              <w:t>Przebudowa skrzyżowania DK 19 (al. Solidarności i al. Gen. Wł. Sikorskiego) i DW 809 (ul. Gen. Ducha) w Lublinie - wyprowadzenie ruchu w kierunku węzła Lublin Czechów (S12/S17/S19)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 w:rsidRPr="00DC2D9B">
              <w:rPr>
                <w:rFonts w:cs="Calibri"/>
                <w:color w:val="000000"/>
                <w:sz w:val="16"/>
                <w:szCs w:val="16"/>
              </w:rPr>
              <w:t>71,41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 w:rsidRPr="00DC2D9B">
              <w:rPr>
                <w:rFonts w:cs="Calibri"/>
                <w:color w:val="000000"/>
                <w:sz w:val="16"/>
                <w:szCs w:val="16"/>
              </w:rPr>
              <w:t>58,94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C2D9B">
              <w:rPr>
                <w:rFonts w:cs="Calibri"/>
                <w:color w:val="000000"/>
                <w:sz w:val="16"/>
                <w:szCs w:val="16"/>
              </w:rPr>
              <w:t>1,49</w:t>
            </w:r>
          </w:p>
        </w:tc>
      </w:tr>
      <w:tr w:rsidR="005B0215" w:rsidTr="000302F3">
        <w:trPr>
          <w:trHeight w:val="391"/>
        </w:trPr>
        <w:tc>
          <w:tcPr>
            <w:tcW w:w="3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B30FE4">
              <w:rPr>
                <w:rFonts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483,86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362,57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5B0215" w:rsidRDefault="005B0215" w:rsidP="000302F3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28,03</w:t>
            </w:r>
          </w:p>
        </w:tc>
      </w:tr>
    </w:tbl>
    <w:p w:rsidR="005B0215" w:rsidRDefault="005B0215" w:rsidP="005B0215">
      <w:r w:rsidRPr="00062A55">
        <w:t>Lublin realizuje 4 inwestycje transportu miejskiego, w ramach których rozbudowana zostanie sieć trolejbusowa, zaś komunikacja autobusowa zyska priorytet w postaci dodatkowych 15 km buspasów. Do obsługi linii komunikacji miejskiej zakupiony zostanie nowoczesny tabor trolejbusowy (40 szt.) oraz autobusowy, w tym pojazdy elektryczne (32 szt.) - łącznie 95 szt. Infrastruktura rowerowa wzbogaci się o kolejnych 15 km dróg rowerowych w mieście oraz 3 parkingi B&amp;R na 120 miejsc postojowych. Powstanie także parking P&amp;R z 54 miejscami postojowymi, w tym 3 dla niepełnosprawnych. Pasażerowie skorzystają ponadto na obszarowej rozbudowie systemu dynamicznej informacji przystankowej.</w:t>
      </w:r>
    </w:p>
    <w:p w:rsidR="005B0215" w:rsidRPr="00441598" w:rsidRDefault="005B0215" w:rsidP="005B0215">
      <w:pPr>
        <w:rPr>
          <w:b/>
        </w:rPr>
      </w:pPr>
      <w:r w:rsidRPr="00441598">
        <w:rPr>
          <w:b/>
        </w:rPr>
        <w:t>Województwo podlaskie</w:t>
      </w:r>
    </w:p>
    <w:p w:rsidR="005B0215" w:rsidRPr="00441598" w:rsidRDefault="005B0215" w:rsidP="005B0215">
      <w:pPr>
        <w:spacing w:before="120" w:after="120"/>
      </w:pPr>
      <w:r w:rsidRPr="00D96B53">
        <w:t>W Białymstoku i jego obszarze funkcjonalnym są budowane i przebudowywane ponad 53 km dróg.</w:t>
      </w:r>
      <w:r w:rsidRPr="00441598">
        <w:t xml:space="preserve"> </w:t>
      </w:r>
      <w:r>
        <w:t xml:space="preserve">Powstały już </w:t>
      </w:r>
      <w:r w:rsidRPr="00441598">
        <w:t>3 odcinki dróg o łącznej długości 20,5 km.</w:t>
      </w:r>
    </w:p>
    <w:tbl>
      <w:tblPr>
        <w:tblW w:w="5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559"/>
        <w:gridCol w:w="4126"/>
        <w:gridCol w:w="1559"/>
        <w:gridCol w:w="1402"/>
        <w:gridCol w:w="1866"/>
      </w:tblGrid>
      <w:tr w:rsidR="005B0215" w:rsidRPr="00724B66" w:rsidTr="000302F3">
        <w:trPr>
          <w:trHeight w:val="465"/>
        </w:trPr>
        <w:tc>
          <w:tcPr>
            <w:tcW w:w="246" w:type="pct"/>
            <w:shd w:val="clear" w:color="auto" w:fill="8064A2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>L.p.</w:t>
            </w:r>
          </w:p>
        </w:tc>
        <w:tc>
          <w:tcPr>
            <w:tcW w:w="705" w:type="pct"/>
            <w:shd w:val="clear" w:color="auto" w:fill="8064A2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>Beneficjent</w:t>
            </w:r>
          </w:p>
        </w:tc>
        <w:tc>
          <w:tcPr>
            <w:tcW w:w="1866" w:type="pct"/>
            <w:shd w:val="clear" w:color="auto" w:fill="8064A2"/>
            <w:vAlign w:val="center"/>
            <w:hideMark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24B66">
              <w:rPr>
                <w:rFonts w:cs="Calibri"/>
                <w:b/>
                <w:bCs/>
                <w:color w:val="FFFFFF"/>
                <w:sz w:val="16"/>
                <w:szCs w:val="16"/>
              </w:rPr>
              <w:t>Tytuł projektu</w:t>
            </w:r>
          </w:p>
        </w:tc>
        <w:tc>
          <w:tcPr>
            <w:tcW w:w="705" w:type="pct"/>
            <w:shd w:val="clear" w:color="auto" w:fill="8064A2"/>
            <w:vAlign w:val="center"/>
            <w:hideMark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24B66">
              <w:rPr>
                <w:rFonts w:cs="Calibri"/>
                <w:b/>
                <w:bCs/>
                <w:color w:val="FFFFFF"/>
                <w:sz w:val="16"/>
                <w:szCs w:val="16"/>
              </w:rPr>
              <w:t>Wartość ogółem</w:t>
            </w:r>
          </w:p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bCs/>
                <w:color w:val="FFFFFF"/>
                <w:sz w:val="16"/>
                <w:szCs w:val="16"/>
              </w:rPr>
            </w:pPr>
            <w:r w:rsidRPr="00724B66">
              <w:rPr>
                <w:rFonts w:cs="Calibri"/>
                <w:bCs/>
                <w:color w:val="FFFFFF"/>
                <w:sz w:val="16"/>
                <w:szCs w:val="16"/>
              </w:rPr>
              <w:t>mln PLN</w:t>
            </w:r>
          </w:p>
        </w:tc>
        <w:tc>
          <w:tcPr>
            <w:tcW w:w="634" w:type="pct"/>
            <w:shd w:val="clear" w:color="auto" w:fill="8064A2"/>
            <w:vAlign w:val="center"/>
            <w:hideMark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724B66">
              <w:rPr>
                <w:rFonts w:cs="Calibri"/>
                <w:b/>
                <w:bCs/>
                <w:color w:val="FFFFFF"/>
                <w:sz w:val="16"/>
                <w:szCs w:val="16"/>
              </w:rPr>
              <w:t>Wkład UE</w:t>
            </w:r>
          </w:p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bCs/>
                <w:color w:val="FFFFFF"/>
                <w:sz w:val="16"/>
                <w:szCs w:val="16"/>
              </w:rPr>
            </w:pPr>
            <w:r w:rsidRPr="00724B66">
              <w:rPr>
                <w:rFonts w:cs="Calibri"/>
                <w:bCs/>
                <w:color w:val="FFFFFF"/>
                <w:sz w:val="16"/>
                <w:szCs w:val="16"/>
              </w:rPr>
              <w:t>mln PLN</w:t>
            </w:r>
          </w:p>
        </w:tc>
        <w:tc>
          <w:tcPr>
            <w:tcW w:w="844" w:type="pct"/>
            <w:shd w:val="clear" w:color="auto" w:fill="8064A2"/>
            <w:vAlign w:val="center"/>
            <w:hideMark/>
          </w:tcPr>
          <w:p w:rsidR="005B0215" w:rsidRPr="005B0215" w:rsidRDefault="005B0215" w:rsidP="005B0215">
            <w:pPr>
              <w:spacing w:after="0"/>
              <w:jc w:val="center"/>
              <w:rPr>
                <w:rFonts w:cs="Calibri"/>
                <w:bCs/>
                <w:color w:val="FFFFFF"/>
                <w:sz w:val="16"/>
                <w:szCs w:val="16"/>
              </w:rPr>
            </w:pPr>
            <w:r w:rsidRPr="00724B66">
              <w:rPr>
                <w:rFonts w:cs="Calibri"/>
                <w:b/>
                <w:bCs/>
                <w:color w:val="FFFFFF"/>
                <w:sz w:val="16"/>
                <w:szCs w:val="16"/>
              </w:rPr>
              <w:t xml:space="preserve">Długość </w:t>
            </w:r>
            <w:r w:rsidRPr="00724B66">
              <w:rPr>
                <w:rFonts w:cs="Calibri"/>
                <w:bCs/>
                <w:color w:val="FFFFFF"/>
                <w:sz w:val="16"/>
                <w:szCs w:val="16"/>
              </w:rPr>
              <w:t>nowych /przebudowanych /zmodernizowanych</w:t>
            </w:r>
            <w:r w:rsidRPr="00724B66">
              <w:rPr>
                <w:rFonts w:cs="Calibri"/>
                <w:b/>
                <w:bCs/>
                <w:color w:val="FFFFFF"/>
                <w:sz w:val="16"/>
                <w:szCs w:val="16"/>
              </w:rPr>
              <w:t xml:space="preserve"> dróg </w:t>
            </w:r>
            <w:r w:rsidRPr="00724B66">
              <w:rPr>
                <w:rFonts w:cs="Calibri"/>
                <w:bCs/>
                <w:color w:val="FFFFFF"/>
                <w:sz w:val="16"/>
                <w:szCs w:val="16"/>
              </w:rPr>
              <w:t>(km)</w:t>
            </w:r>
          </w:p>
        </w:tc>
      </w:tr>
      <w:tr w:rsidR="005B0215" w:rsidRPr="00724B66" w:rsidTr="000302F3">
        <w:trPr>
          <w:trHeight w:val="345"/>
        </w:trPr>
        <w:tc>
          <w:tcPr>
            <w:tcW w:w="246" w:type="pct"/>
            <w:shd w:val="clear" w:color="auto" w:fill="CCC0D9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754" w:type="pct"/>
            <w:gridSpan w:val="5"/>
            <w:shd w:val="clear" w:color="auto" w:fill="CCC0D9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b/>
                <w:color w:val="000000"/>
                <w:sz w:val="16"/>
                <w:szCs w:val="16"/>
              </w:rPr>
              <w:t>Projekty drogowe</w:t>
            </w:r>
          </w:p>
        </w:tc>
      </w:tr>
      <w:tr w:rsidR="005B0215" w:rsidRPr="00724B66" w:rsidTr="000302F3">
        <w:trPr>
          <w:trHeight w:val="645"/>
        </w:trPr>
        <w:tc>
          <w:tcPr>
            <w:tcW w:w="246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1866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b/>
                <w:color w:val="000000"/>
                <w:sz w:val="16"/>
                <w:szCs w:val="16"/>
              </w:rPr>
              <w:t>W:</w:t>
            </w:r>
            <w:r w:rsidRPr="00724B66">
              <w:rPr>
                <w:rFonts w:cs="Calibri"/>
                <w:color w:val="000000"/>
                <w:sz w:val="16"/>
                <w:szCs w:val="16"/>
              </w:rPr>
              <w:t xml:space="preserve"> Przebudowa drogi wojewódzkiej Nr 682 na odcinku Markowszczyzna - Łapy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195,43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166,12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14,07</w:t>
            </w:r>
          </w:p>
        </w:tc>
      </w:tr>
      <w:tr w:rsidR="005B0215" w:rsidRPr="00724B66" w:rsidTr="000302F3">
        <w:trPr>
          <w:trHeight w:val="645"/>
        </w:trPr>
        <w:tc>
          <w:tcPr>
            <w:tcW w:w="246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1866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Budowa DW 669 w Białymstoku na odcinku od skrzyżowania al. Jana Pawła II z ul. Narodowych Sił Zbrojnych (DW 676/DW 669) do ul. Ciołkowskiego (DW 678)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326,92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266,87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5,90</w:t>
            </w:r>
          </w:p>
        </w:tc>
      </w:tr>
      <w:tr w:rsidR="005B0215" w:rsidRPr="00724B66" w:rsidTr="000302F3">
        <w:trPr>
          <w:trHeight w:val="645"/>
        </w:trPr>
        <w:tc>
          <w:tcPr>
            <w:tcW w:w="246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1866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b/>
                <w:color w:val="000000"/>
                <w:sz w:val="16"/>
                <w:szCs w:val="16"/>
              </w:rPr>
              <w:t>W:</w:t>
            </w:r>
            <w:r w:rsidRPr="00724B66">
              <w:rPr>
                <w:rFonts w:cs="Calibri"/>
                <w:color w:val="000000"/>
                <w:sz w:val="16"/>
                <w:szCs w:val="16"/>
              </w:rPr>
              <w:t xml:space="preserve"> Przebudowa DW 685 na odcinku Zabłudów (DK 19) – granica gminy Zabłudów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52,47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8,40</w:t>
            </w:r>
          </w:p>
        </w:tc>
      </w:tr>
      <w:tr w:rsidR="005B0215" w:rsidRPr="00724B66" w:rsidTr="000302F3">
        <w:trPr>
          <w:trHeight w:val="645"/>
        </w:trPr>
        <w:tc>
          <w:tcPr>
            <w:tcW w:w="246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1866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Przebudowa DW 678 w Białymstoku na odcinku od skrzyżowania ul. Ciołkowskiego z ul. Mickiewicza do skrzyżowania ul. Ciołkowskiego z ul. Sulika (DK 65)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107,97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79,78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4,10</w:t>
            </w:r>
          </w:p>
        </w:tc>
      </w:tr>
      <w:tr w:rsidR="005B0215" w:rsidRPr="00724B66" w:rsidTr="000302F3">
        <w:trPr>
          <w:trHeight w:val="402"/>
        </w:trPr>
        <w:tc>
          <w:tcPr>
            <w:tcW w:w="246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1866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b/>
                <w:color w:val="000000"/>
                <w:sz w:val="16"/>
                <w:szCs w:val="16"/>
              </w:rPr>
              <w:t>W:</w:t>
            </w:r>
            <w:r w:rsidRPr="00724B66">
              <w:rPr>
                <w:rFonts w:cs="Calibri"/>
                <w:color w:val="000000"/>
                <w:sz w:val="16"/>
                <w:szCs w:val="16"/>
              </w:rPr>
              <w:t xml:space="preserve"> Przebudowa DW 676 na odcinku granica miasta Białystok - Supraśl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724B66">
              <w:rPr>
                <w:rFonts w:cs="Calibri"/>
                <w:sz w:val="16"/>
                <w:szCs w:val="16"/>
              </w:rPr>
              <w:t>134,69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724B66">
              <w:rPr>
                <w:rFonts w:cs="Calibri"/>
                <w:sz w:val="16"/>
                <w:szCs w:val="16"/>
              </w:rPr>
              <w:t>102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9,75</w:t>
            </w:r>
          </w:p>
        </w:tc>
      </w:tr>
      <w:tr w:rsidR="005B0215" w:rsidRPr="00724B66" w:rsidTr="000302F3">
        <w:trPr>
          <w:trHeight w:val="468"/>
        </w:trPr>
        <w:tc>
          <w:tcPr>
            <w:tcW w:w="246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1866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b/>
                <w:color w:val="000000"/>
                <w:sz w:val="16"/>
                <w:szCs w:val="16"/>
              </w:rPr>
              <w:t>W:</w:t>
            </w:r>
            <w:r w:rsidRPr="00724B66">
              <w:rPr>
                <w:rFonts w:cs="Calibri"/>
                <w:color w:val="000000"/>
                <w:sz w:val="16"/>
                <w:szCs w:val="16"/>
              </w:rPr>
              <w:t xml:space="preserve"> Przebudowa DW 678 na odcinku Kleosin – Markowszczyzna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133,17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6,65</w:t>
            </w:r>
          </w:p>
        </w:tc>
      </w:tr>
      <w:tr w:rsidR="005B0215" w:rsidRPr="00724B66" w:rsidTr="000302F3">
        <w:trPr>
          <w:trHeight w:val="468"/>
        </w:trPr>
        <w:tc>
          <w:tcPr>
            <w:tcW w:w="246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1866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Poprawa dostępności komunikacyjnej miasta Białegostoku od strony Warszawy (droga krajowa wylotowa z Białegostoku – dojazd do S8)” (tytuł z Planu Transportowego POPW - Przebudowa DK8 na odcinku od granicy miasta Białystok do węzła Porosły (DK8) oraz przebudowa DW676 na odcinku od skrzyżowania al. Jana Pawła II z ul. Narodowych Sił Zbrojnych w Białymstoku (DW676/DW669) do węzła Porosły (DK8) – wyprowadzenie ruchu w kierunku S8)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203,45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172,58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color w:val="000000"/>
                <w:sz w:val="16"/>
                <w:szCs w:val="16"/>
              </w:rPr>
              <w:t>4,59</w:t>
            </w:r>
          </w:p>
        </w:tc>
      </w:tr>
      <w:tr w:rsidR="005B0215" w:rsidRPr="00724B66" w:rsidTr="000302F3">
        <w:trPr>
          <w:trHeight w:val="240"/>
        </w:trPr>
        <w:tc>
          <w:tcPr>
            <w:tcW w:w="246" w:type="pct"/>
            <w:shd w:val="clear" w:color="auto" w:fill="CCC0D9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1" w:type="pct"/>
            <w:gridSpan w:val="2"/>
            <w:shd w:val="clear" w:color="auto" w:fill="CCC0D9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705" w:type="pct"/>
            <w:shd w:val="clear" w:color="auto" w:fill="CCC0D9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b/>
                <w:color w:val="000000"/>
                <w:sz w:val="16"/>
                <w:szCs w:val="16"/>
              </w:rPr>
              <w:t>1 154,1</w:t>
            </w:r>
          </w:p>
        </w:tc>
        <w:tc>
          <w:tcPr>
            <w:tcW w:w="634" w:type="pct"/>
            <w:shd w:val="clear" w:color="auto" w:fill="CCC0D9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b/>
                <w:color w:val="000000"/>
                <w:sz w:val="16"/>
                <w:szCs w:val="16"/>
              </w:rPr>
              <w:t>944,65</w:t>
            </w:r>
          </w:p>
        </w:tc>
        <w:tc>
          <w:tcPr>
            <w:tcW w:w="844" w:type="pct"/>
            <w:shd w:val="clear" w:color="auto" w:fill="CCC0D9"/>
            <w:vAlign w:val="center"/>
          </w:tcPr>
          <w:p w:rsidR="005B0215" w:rsidRPr="00724B66" w:rsidRDefault="005B0215" w:rsidP="000302F3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724B66">
              <w:rPr>
                <w:rFonts w:cs="Calibri"/>
                <w:b/>
                <w:color w:val="000000"/>
                <w:sz w:val="16"/>
                <w:szCs w:val="16"/>
              </w:rPr>
              <w:t>53,46</w:t>
            </w:r>
          </w:p>
        </w:tc>
      </w:tr>
    </w:tbl>
    <w:p w:rsidR="005B0215" w:rsidRDefault="005B0215" w:rsidP="005B0215">
      <w:r w:rsidRPr="00017DE7">
        <w:lastRenderedPageBreak/>
        <w:t xml:space="preserve">W Białymstoku </w:t>
      </w:r>
      <w:r>
        <w:t>p</w:t>
      </w:r>
      <w:r w:rsidRPr="00017DE7">
        <w:t>rzebudowaliśmy drogę wojewódzką nr 678 na odcinku od</w:t>
      </w:r>
      <w:r w:rsidRPr="00313F16">
        <w:t xml:space="preserve"> skrzyżowania ul. Ciołkowskiego z ul. Mickiewicza do skrzyżowania ul. Ciołkowskiego z ul. Sulika (DK 65)</w:t>
      </w:r>
      <w:r>
        <w:t>. Dzięki temu mieszkańcy stolicy Podlasia otrzymają lepszą integrację południowej części swojego miasta z siecią dróg krajowych. Co więcej poprawił się dojazd do terenów inwestycyjnych, zlokalizowanych w południowej części Białegostoku, a także samo jego skomunikowanie – przejazdy pomiędzy osiedlami.</w:t>
      </w:r>
    </w:p>
    <w:p w:rsidR="005B0215" w:rsidRDefault="005B0215" w:rsidP="005B0215">
      <w:r w:rsidRPr="001666E2">
        <w:t>Białostockie inwestycje transportu miejskiego wpisują się w konsekwentnie realizowaną od 2004 r. koncepcję utworzenia Korytarzy Autobusu Wysokiej Jakości (KAWJ), mającą na celu utworzenie szybkich połączeń autobusowych między dzielnicami peryferyjnym i centrum Białegostoku, tak aby atrakcyjna oferta przewozowa zachęciła korzystających z indywidualnego transportu samochodowego do częstszych podróży komunikacją miejską. W tym celu w centrum miasta powstanie kolejnych ponad 11 km buspasów, zapewniających priorytet komunikacji miejskiej. Zadania infrastrukturalne uzupełnione zostaną o zakup nowoczesnego taboru autobusowego (60 szt.), planowany jest zakup pojazdów hybrydowych (6 szt.). Aglomeracyjna infrastruktura rowerowa (system obejmuje swym zasięgiem nie tylko sam Białystok, ale również sąsiednie gminy i jest integralną częścią systemu komunikacji publicznej) wzbogaci się o ponad 13 km dróg rowerowych. Powstanie również parking P&amp;R na 100 miejsc postojowych, w tym 6 dla osób niepełnosprawnych. Ponadto pasażerowie będą mogli korzystać ze zmodernizowanego sytemu biletu elektronicznego, zostaną także wdrożone aplikacje zwiększające dostępność komunikacji miejskiej dla osób z ograniczoną mobilnością.</w:t>
      </w:r>
    </w:p>
    <w:p w:rsidR="005B0215" w:rsidRPr="00224D7B" w:rsidRDefault="005B0215" w:rsidP="005B0215">
      <w:pPr>
        <w:rPr>
          <w:b/>
        </w:rPr>
      </w:pPr>
      <w:r w:rsidRPr="00224D7B">
        <w:rPr>
          <w:b/>
        </w:rPr>
        <w:t>Województwo świętokrzyskie</w:t>
      </w:r>
    </w:p>
    <w:p w:rsidR="005B0215" w:rsidRPr="00D96B53" w:rsidRDefault="005B0215" w:rsidP="005B0215">
      <w:r w:rsidRPr="00D96B53">
        <w:t xml:space="preserve">W Kielcach i jego </w:t>
      </w:r>
      <w:r>
        <w:t xml:space="preserve">okolicy </w:t>
      </w:r>
      <w:r w:rsidRPr="00D96B53">
        <w:t xml:space="preserve">zostanie wybudowanych i przebudowanych prawie 40 km dróg. </w:t>
      </w:r>
      <w:r>
        <w:t>D</w:t>
      </w:r>
      <w:r w:rsidRPr="00D96B53">
        <w:t>o użytku oddano 4 odcinki dróg o łącznej długości 17,5 km.</w:t>
      </w:r>
    </w:p>
    <w:tbl>
      <w:tblPr>
        <w:tblW w:w="5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247"/>
        <w:gridCol w:w="4438"/>
        <w:gridCol w:w="1559"/>
        <w:gridCol w:w="1402"/>
        <w:gridCol w:w="1866"/>
      </w:tblGrid>
      <w:tr w:rsidR="005B0215" w:rsidRPr="00B30FE4" w:rsidTr="005B0215">
        <w:trPr>
          <w:trHeight w:val="1127"/>
        </w:trPr>
        <w:tc>
          <w:tcPr>
            <w:tcW w:w="246" w:type="pct"/>
            <w:shd w:val="clear" w:color="auto" w:fill="8064A2"/>
            <w:vAlign w:val="center"/>
          </w:tcPr>
          <w:p w:rsidR="005B0215" w:rsidRPr="00B30FE4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>L.p.</w:t>
            </w:r>
          </w:p>
        </w:tc>
        <w:tc>
          <w:tcPr>
            <w:tcW w:w="564" w:type="pct"/>
            <w:shd w:val="clear" w:color="auto" w:fill="8064A2"/>
            <w:vAlign w:val="center"/>
          </w:tcPr>
          <w:p w:rsidR="005B0215" w:rsidRPr="00B30FE4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>Beneficjent</w:t>
            </w:r>
          </w:p>
        </w:tc>
        <w:tc>
          <w:tcPr>
            <w:tcW w:w="2007" w:type="pct"/>
            <w:shd w:val="clear" w:color="auto" w:fill="8064A2"/>
            <w:vAlign w:val="center"/>
            <w:hideMark/>
          </w:tcPr>
          <w:p w:rsidR="005B0215" w:rsidRPr="00B30FE4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B30FE4">
              <w:rPr>
                <w:rFonts w:cs="Calibri"/>
                <w:b/>
                <w:bCs/>
                <w:color w:val="FFFFFF"/>
                <w:sz w:val="16"/>
                <w:szCs w:val="16"/>
              </w:rPr>
              <w:t>Tytuł projektu</w:t>
            </w:r>
          </w:p>
        </w:tc>
        <w:tc>
          <w:tcPr>
            <w:tcW w:w="705" w:type="pct"/>
            <w:shd w:val="clear" w:color="auto" w:fill="8064A2"/>
            <w:vAlign w:val="center"/>
            <w:hideMark/>
          </w:tcPr>
          <w:p w:rsidR="005B0215" w:rsidRPr="00B30FE4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B30FE4">
              <w:rPr>
                <w:rFonts w:cs="Calibri"/>
                <w:b/>
                <w:bCs/>
                <w:color w:val="FFFFFF"/>
                <w:sz w:val="16"/>
                <w:szCs w:val="16"/>
              </w:rPr>
              <w:t>Wartość ogółem</w:t>
            </w:r>
          </w:p>
          <w:p w:rsidR="005B0215" w:rsidRPr="00B30FE4" w:rsidRDefault="005B0215" w:rsidP="000302F3">
            <w:pPr>
              <w:spacing w:after="0"/>
              <w:jc w:val="center"/>
              <w:rPr>
                <w:rFonts w:cs="Calibri"/>
                <w:bCs/>
                <w:color w:val="FFFFFF"/>
                <w:sz w:val="16"/>
                <w:szCs w:val="16"/>
              </w:rPr>
            </w:pPr>
            <w:r w:rsidRPr="00B30FE4">
              <w:rPr>
                <w:rFonts w:cs="Calibri"/>
                <w:bCs/>
                <w:color w:val="FFFFFF"/>
                <w:sz w:val="16"/>
                <w:szCs w:val="16"/>
              </w:rPr>
              <w:t>(mln PLN)</w:t>
            </w:r>
          </w:p>
        </w:tc>
        <w:tc>
          <w:tcPr>
            <w:tcW w:w="634" w:type="pct"/>
            <w:shd w:val="clear" w:color="auto" w:fill="8064A2"/>
            <w:vAlign w:val="center"/>
            <w:hideMark/>
          </w:tcPr>
          <w:p w:rsidR="005B0215" w:rsidRPr="00B30FE4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B30FE4">
              <w:rPr>
                <w:rFonts w:cs="Calibri"/>
                <w:b/>
                <w:bCs/>
                <w:color w:val="FFFFFF"/>
                <w:sz w:val="16"/>
                <w:szCs w:val="16"/>
              </w:rPr>
              <w:t>Wkład UE</w:t>
            </w:r>
          </w:p>
          <w:p w:rsidR="005B0215" w:rsidRPr="00B30FE4" w:rsidRDefault="005B0215" w:rsidP="000302F3">
            <w:pPr>
              <w:spacing w:after="0"/>
              <w:jc w:val="center"/>
              <w:rPr>
                <w:rFonts w:cs="Calibri"/>
                <w:bCs/>
                <w:color w:val="FFFFFF"/>
                <w:sz w:val="16"/>
                <w:szCs w:val="16"/>
              </w:rPr>
            </w:pPr>
            <w:r w:rsidRPr="00B30FE4">
              <w:rPr>
                <w:rFonts w:cs="Calibri"/>
                <w:bCs/>
                <w:color w:val="FFFFFF"/>
                <w:sz w:val="16"/>
                <w:szCs w:val="16"/>
              </w:rPr>
              <w:t>(mln PLN)</w:t>
            </w:r>
          </w:p>
        </w:tc>
        <w:tc>
          <w:tcPr>
            <w:tcW w:w="844" w:type="pct"/>
            <w:shd w:val="clear" w:color="auto" w:fill="8064A2"/>
            <w:vAlign w:val="center"/>
            <w:hideMark/>
          </w:tcPr>
          <w:p w:rsidR="005B0215" w:rsidRPr="005B0215" w:rsidRDefault="005B0215" w:rsidP="005B0215">
            <w:pPr>
              <w:spacing w:after="0"/>
              <w:jc w:val="center"/>
              <w:rPr>
                <w:rFonts w:cs="Calibri"/>
                <w:bCs/>
                <w:color w:val="FFFFFF"/>
                <w:sz w:val="16"/>
                <w:szCs w:val="16"/>
              </w:rPr>
            </w:pPr>
            <w:r w:rsidRPr="00B30FE4">
              <w:rPr>
                <w:rFonts w:cs="Calibri"/>
                <w:b/>
                <w:bCs/>
                <w:color w:val="FFFFFF"/>
                <w:sz w:val="16"/>
                <w:szCs w:val="16"/>
              </w:rPr>
              <w:t xml:space="preserve">Długość </w:t>
            </w:r>
            <w:r w:rsidRPr="00B30FE4">
              <w:rPr>
                <w:rFonts w:cs="Calibri"/>
                <w:bCs/>
                <w:color w:val="FFFFFF"/>
                <w:sz w:val="16"/>
                <w:szCs w:val="16"/>
              </w:rPr>
              <w:t>nowych /przebudowanych /zmodernizowanych</w:t>
            </w:r>
            <w:r w:rsidRPr="00B30FE4">
              <w:rPr>
                <w:rFonts w:cs="Calibri"/>
                <w:b/>
                <w:bCs/>
                <w:color w:val="FFFFFF"/>
                <w:sz w:val="16"/>
                <w:szCs w:val="16"/>
              </w:rPr>
              <w:t xml:space="preserve"> dróg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B30FE4">
              <w:rPr>
                <w:rFonts w:cs="Calibri"/>
                <w:bCs/>
                <w:color w:val="FFFFFF"/>
                <w:sz w:val="16"/>
                <w:szCs w:val="16"/>
              </w:rPr>
              <w:t>(km)</w:t>
            </w:r>
          </w:p>
        </w:tc>
      </w:tr>
      <w:tr w:rsidR="005B0215" w:rsidRPr="00B30FE4" w:rsidTr="000302F3">
        <w:trPr>
          <w:trHeight w:val="425"/>
        </w:trPr>
        <w:tc>
          <w:tcPr>
            <w:tcW w:w="246" w:type="pct"/>
            <w:shd w:val="clear" w:color="auto" w:fill="CCC0D9"/>
          </w:tcPr>
          <w:p w:rsidR="005B0215" w:rsidRPr="00B30FE4" w:rsidRDefault="005B0215" w:rsidP="000302F3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754" w:type="pct"/>
            <w:gridSpan w:val="5"/>
            <w:shd w:val="clear" w:color="auto" w:fill="CCC0D9"/>
            <w:vAlign w:val="center"/>
          </w:tcPr>
          <w:p w:rsidR="005B0215" w:rsidRPr="00B30FE4" w:rsidRDefault="005B0215" w:rsidP="000302F3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B30FE4">
              <w:rPr>
                <w:rFonts w:cs="Calibri"/>
                <w:b/>
                <w:color w:val="000000"/>
                <w:sz w:val="16"/>
                <w:szCs w:val="16"/>
              </w:rPr>
              <w:t>Projekty drogowe</w:t>
            </w:r>
          </w:p>
        </w:tc>
      </w:tr>
      <w:tr w:rsidR="005B0215" w:rsidRPr="00B30FE4" w:rsidTr="000302F3">
        <w:trPr>
          <w:trHeight w:val="645"/>
        </w:trPr>
        <w:tc>
          <w:tcPr>
            <w:tcW w:w="246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40D6">
              <w:rPr>
                <w:rFonts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07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2540D6">
              <w:rPr>
                <w:rFonts w:cs="Calibri"/>
                <w:b/>
                <w:color w:val="000000"/>
                <w:sz w:val="16"/>
                <w:szCs w:val="16"/>
              </w:rPr>
              <w:t>W: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2540D6">
              <w:rPr>
                <w:rFonts w:cs="Calibri"/>
                <w:color w:val="000000"/>
                <w:sz w:val="16"/>
                <w:szCs w:val="16"/>
              </w:rPr>
              <w:t>Rozbudowa DW 764 na odcinku: granica miasta Kielce - granica gminy Daleszyce wraz z budową obwodnic m. Suków i Daleszyce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141,5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40D6">
              <w:rPr>
                <w:rFonts w:cs="Calibri"/>
                <w:color w:val="000000"/>
                <w:sz w:val="16"/>
                <w:szCs w:val="16"/>
              </w:rPr>
              <w:t>22,20</w:t>
            </w:r>
          </w:p>
        </w:tc>
      </w:tr>
      <w:tr w:rsidR="005B0215" w:rsidRPr="00B30FE4" w:rsidTr="000302F3">
        <w:trPr>
          <w:trHeight w:val="526"/>
        </w:trPr>
        <w:tc>
          <w:tcPr>
            <w:tcW w:w="246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40D6">
              <w:rPr>
                <w:rFonts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07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2540D6">
              <w:rPr>
                <w:rFonts w:cs="Calibri"/>
                <w:b/>
                <w:color w:val="000000"/>
                <w:sz w:val="16"/>
                <w:szCs w:val="16"/>
              </w:rPr>
              <w:t>W: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2540D6">
              <w:rPr>
                <w:rFonts w:cs="Calibri"/>
                <w:color w:val="000000"/>
                <w:sz w:val="16"/>
                <w:szCs w:val="16"/>
              </w:rPr>
              <w:t>Rozbudowa DW 762 na odcinku: węzeł Kielce południe (S7) - granica gminy Chęciny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2540D6">
              <w:rPr>
                <w:rFonts w:cs="Calibri"/>
                <w:sz w:val="16"/>
                <w:szCs w:val="16"/>
              </w:rPr>
              <w:t>62</w:t>
            </w:r>
            <w:r>
              <w:rPr>
                <w:rFonts w:cs="Calibri"/>
                <w:sz w:val="16"/>
                <w:szCs w:val="16"/>
              </w:rPr>
              <w:t>,</w:t>
            </w:r>
            <w:r w:rsidRPr="002540D6">
              <w:rPr>
                <w:rFonts w:cs="Calibri"/>
                <w:sz w:val="16"/>
                <w:szCs w:val="16"/>
              </w:rPr>
              <w:t>34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49,</w:t>
            </w:r>
            <w:r w:rsidRPr="002540D6">
              <w:rPr>
                <w:rFonts w:cs="Calibri"/>
                <w:color w:val="000000"/>
                <w:sz w:val="16"/>
                <w:szCs w:val="16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40D6">
              <w:rPr>
                <w:rFonts w:cs="Calibri"/>
                <w:color w:val="000000"/>
                <w:sz w:val="16"/>
                <w:szCs w:val="16"/>
              </w:rPr>
              <w:t>10,16</w:t>
            </w:r>
          </w:p>
        </w:tc>
      </w:tr>
      <w:tr w:rsidR="005B0215" w:rsidRPr="00B30FE4" w:rsidTr="005B0215">
        <w:trPr>
          <w:trHeight w:val="500"/>
        </w:trPr>
        <w:tc>
          <w:tcPr>
            <w:tcW w:w="246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40D6">
              <w:rPr>
                <w:rFonts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07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2540D6">
              <w:rPr>
                <w:rFonts w:cs="Calibri"/>
                <w:b/>
                <w:color w:val="000000"/>
                <w:sz w:val="16"/>
                <w:szCs w:val="16"/>
              </w:rPr>
              <w:t>W: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2540D6">
              <w:rPr>
                <w:rFonts w:cs="Calibri"/>
                <w:color w:val="000000"/>
                <w:sz w:val="16"/>
                <w:szCs w:val="16"/>
              </w:rPr>
              <w:t>Budowa północnej obwodnicy Chmielnika w ciągu DW 765 od skrzyżowania z DK 73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47,03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35,</w:t>
            </w:r>
            <w:r w:rsidRPr="002540D6"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40D6">
              <w:rPr>
                <w:rFonts w:cs="Calibri"/>
                <w:color w:val="000000"/>
                <w:sz w:val="16"/>
                <w:szCs w:val="16"/>
              </w:rPr>
              <w:t>4,08</w:t>
            </w:r>
          </w:p>
        </w:tc>
      </w:tr>
      <w:tr w:rsidR="005B0215" w:rsidRPr="00B30FE4" w:rsidTr="000302F3">
        <w:trPr>
          <w:trHeight w:val="645"/>
        </w:trPr>
        <w:tc>
          <w:tcPr>
            <w:tcW w:w="246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40D6">
              <w:rPr>
                <w:rFonts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2007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2540D6">
              <w:rPr>
                <w:rFonts w:cs="Calibri"/>
                <w:color w:val="000000"/>
                <w:sz w:val="16"/>
                <w:szCs w:val="16"/>
              </w:rPr>
              <w:t>Budowa nowego przebiegu DW 764 w Kielcach na odcinku od skrzyżowania ul. Tarnowskiej z ul. Wapiennikową (DK 73) do Ronda Czwartaków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41,</w:t>
            </w:r>
            <w:r w:rsidRPr="002540D6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24,</w:t>
            </w:r>
            <w:r w:rsidRPr="002540D6">
              <w:rPr>
                <w:rFonts w:cs="Calibri"/>
                <w:color w:val="000000"/>
                <w:sz w:val="16"/>
                <w:szCs w:val="16"/>
              </w:rPr>
              <w:t>5</w:t>
            </w:r>
            <w:r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40D6">
              <w:rPr>
                <w:rFonts w:cs="Calibri"/>
                <w:color w:val="000000"/>
                <w:sz w:val="16"/>
                <w:szCs w:val="16"/>
              </w:rPr>
              <w:t>1,50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5B0215" w:rsidRPr="00B30FE4" w:rsidTr="000302F3">
        <w:trPr>
          <w:trHeight w:val="527"/>
        </w:trPr>
        <w:tc>
          <w:tcPr>
            <w:tcW w:w="246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40D6">
              <w:rPr>
                <w:rFonts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07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2540D6">
              <w:rPr>
                <w:rFonts w:cs="Calibri"/>
                <w:b/>
                <w:color w:val="000000"/>
                <w:sz w:val="16"/>
                <w:szCs w:val="16"/>
              </w:rPr>
              <w:t>W: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2540D6">
              <w:rPr>
                <w:rFonts w:cs="Calibri"/>
                <w:color w:val="000000"/>
                <w:sz w:val="16"/>
                <w:szCs w:val="16"/>
              </w:rPr>
              <w:t>Rozbudowa DW 761 na odcinku: Piekoszów - węzeł Jaworznia (S7)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4,</w:t>
            </w:r>
            <w:r w:rsidRPr="002540D6">
              <w:rPr>
                <w:rFonts w:cs="Calibri"/>
                <w:color w:val="000000"/>
                <w:sz w:val="16"/>
                <w:szCs w:val="16"/>
              </w:rPr>
              <w:t>1</w:t>
            </w: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3,</w:t>
            </w:r>
            <w:r w:rsidRPr="002540D6">
              <w:rPr>
                <w:rFonts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5B0215" w:rsidRPr="002540D6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2540D6">
              <w:rPr>
                <w:rFonts w:cs="Calibri"/>
                <w:color w:val="000000"/>
                <w:sz w:val="16"/>
                <w:szCs w:val="16"/>
              </w:rPr>
              <w:t>1,80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5B0215" w:rsidRPr="00B30FE4" w:rsidTr="000302F3">
        <w:trPr>
          <w:trHeight w:val="240"/>
        </w:trPr>
        <w:tc>
          <w:tcPr>
            <w:tcW w:w="246" w:type="pct"/>
            <w:shd w:val="clear" w:color="auto" w:fill="CCC0D9"/>
          </w:tcPr>
          <w:p w:rsidR="005B0215" w:rsidRPr="00837BC3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1" w:type="pct"/>
            <w:gridSpan w:val="2"/>
            <w:shd w:val="clear" w:color="auto" w:fill="CCC0D9"/>
            <w:vAlign w:val="center"/>
          </w:tcPr>
          <w:p w:rsidR="005B0215" w:rsidRPr="00837BC3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837BC3">
              <w:rPr>
                <w:rFonts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705" w:type="pct"/>
            <w:shd w:val="clear" w:color="auto" w:fill="CCC0D9"/>
            <w:vAlign w:val="center"/>
          </w:tcPr>
          <w:p w:rsidR="005B0215" w:rsidRPr="00837BC3" w:rsidRDefault="005B0215" w:rsidP="000302F3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37BC3">
              <w:rPr>
                <w:rFonts w:cs="Calibri"/>
                <w:b/>
                <w:color w:val="000000"/>
                <w:sz w:val="16"/>
                <w:szCs w:val="16"/>
              </w:rPr>
              <w:t>296,2</w:t>
            </w:r>
          </w:p>
        </w:tc>
        <w:tc>
          <w:tcPr>
            <w:tcW w:w="634" w:type="pct"/>
            <w:shd w:val="clear" w:color="auto" w:fill="CCC0D9"/>
            <w:vAlign w:val="center"/>
          </w:tcPr>
          <w:p w:rsidR="005B0215" w:rsidRPr="00837BC3" w:rsidRDefault="005B0215" w:rsidP="000302F3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222,38</w:t>
            </w:r>
          </w:p>
        </w:tc>
        <w:tc>
          <w:tcPr>
            <w:tcW w:w="844" w:type="pct"/>
            <w:shd w:val="clear" w:color="auto" w:fill="CCC0D9"/>
            <w:vAlign w:val="center"/>
          </w:tcPr>
          <w:p w:rsidR="005B0215" w:rsidRPr="00837BC3" w:rsidRDefault="005B0215" w:rsidP="000302F3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837BC3">
              <w:rPr>
                <w:rFonts w:cs="Calibri"/>
                <w:b/>
                <w:color w:val="000000"/>
                <w:sz w:val="16"/>
                <w:szCs w:val="16"/>
              </w:rPr>
              <w:t>39,74</w:t>
            </w:r>
          </w:p>
        </w:tc>
      </w:tr>
    </w:tbl>
    <w:p w:rsidR="005B0215" w:rsidRDefault="005B0215" w:rsidP="005B0215">
      <w:r w:rsidRPr="003E635F">
        <w:lastRenderedPageBreak/>
        <w:t>W Kielcach powstał kolejny etap powiązania południowych osiedli i przyległych gmin Daleszyce i</w:t>
      </w:r>
      <w:r>
        <w:t xml:space="preserve"> Morawica z drogą krajową nr 73. </w:t>
      </w:r>
      <w:r w:rsidRPr="00EF0682">
        <w:t>To wszystko dzięki budowie nowego przebiegu drogi wojewódzkiej nr 764 na odcinku od skrzyżowania ul. Tarnowskiej z ul. Wapiennikową (DK 73) do Ronda Czwartaków.</w:t>
      </w:r>
      <w:r>
        <w:t xml:space="preserve"> Dzięki temu uzyskaliśmy szybsze i sprawniejsze połączenie, umożliwiające swobodną podróż z Kielc przez wybudowany kilka lat temu most w Połańcu w stronę województwa podkarpackiego.</w:t>
      </w:r>
    </w:p>
    <w:p w:rsidR="005B0215" w:rsidRPr="00726C95" w:rsidRDefault="005B0215" w:rsidP="005B0215">
      <w:r w:rsidRPr="004E5AC1">
        <w:t>Główną kielecką inwestycją w zakresie transportu miejskiego transportu będzie Budowa Centrum Komunikacyjnego wraz z Systemem Informacji dla Pasażerów. Ponadto wdrożony zostanie inteligentny system transportowy (ITS) wraz z budową niezbędnej infrastruktury, który skróci czas podróży komunikacją miejską. Dodatkowo przebudowane/ rozbudowane zostaną wybrane odcinki ulic miejskich w celu dostosowania do potrzeb komunikacji miejskiej. Zakupionych zostało 25 szt. taboru o napędzie hybrydowym m.in. do obsługi komunikacją obszarów miasta dotąd nią nieobsługiwanych. Powstaną nowe pętle autobusowe, gdzie nastąpi integracja transportu zbiorowego, ruchu rowerowego i pieszego, czyli rozwój tzw. tzw. łańcuchów ekomobilności.</w:t>
      </w:r>
    </w:p>
    <w:p w:rsidR="005B0215" w:rsidRPr="00224D7B" w:rsidRDefault="005B0215" w:rsidP="005B0215">
      <w:pPr>
        <w:rPr>
          <w:b/>
        </w:rPr>
      </w:pPr>
      <w:r w:rsidRPr="00224D7B">
        <w:rPr>
          <w:b/>
        </w:rPr>
        <w:t>Województwo warmińsko-mazurskie</w:t>
      </w:r>
    </w:p>
    <w:p w:rsidR="005B0215" w:rsidRPr="00A84B29" w:rsidRDefault="005B0215" w:rsidP="005B0215">
      <w:r w:rsidRPr="00A84B29">
        <w:t xml:space="preserve">W Olsztynie i jego obszarze funkcjonalnym zostanie wybudowanych i przebudowanych </w:t>
      </w:r>
      <w:r>
        <w:t>prawie</w:t>
      </w:r>
      <w:r w:rsidRPr="00A84B29">
        <w:t xml:space="preserve"> 8 km dróg. </w:t>
      </w:r>
      <w:r>
        <w:t>Do</w:t>
      </w:r>
      <w:r w:rsidRPr="00A84B29">
        <w:t xml:space="preserve"> użytku oddano 1 odcinek o długości ok</w:t>
      </w:r>
      <w:r>
        <w:t>oło</w:t>
      </w:r>
      <w:r w:rsidRPr="00A84B29">
        <w:t xml:space="preserve"> 3 km.</w:t>
      </w:r>
    </w:p>
    <w:tbl>
      <w:tblPr>
        <w:tblW w:w="5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559"/>
        <w:gridCol w:w="4126"/>
        <w:gridCol w:w="1559"/>
        <w:gridCol w:w="1402"/>
        <w:gridCol w:w="1866"/>
      </w:tblGrid>
      <w:tr w:rsidR="005B0215" w:rsidRPr="00667A6C" w:rsidTr="000302F3">
        <w:trPr>
          <w:trHeight w:val="465"/>
        </w:trPr>
        <w:tc>
          <w:tcPr>
            <w:tcW w:w="246" w:type="pct"/>
            <w:shd w:val="clear" w:color="auto" w:fill="8064A2"/>
            <w:vAlign w:val="center"/>
          </w:tcPr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>L.p.</w:t>
            </w:r>
          </w:p>
        </w:tc>
        <w:tc>
          <w:tcPr>
            <w:tcW w:w="705" w:type="pct"/>
            <w:shd w:val="clear" w:color="auto" w:fill="8064A2"/>
            <w:vAlign w:val="center"/>
          </w:tcPr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>Beneficjent</w:t>
            </w:r>
          </w:p>
        </w:tc>
        <w:tc>
          <w:tcPr>
            <w:tcW w:w="1866" w:type="pct"/>
            <w:shd w:val="clear" w:color="auto" w:fill="8064A2"/>
            <w:vAlign w:val="center"/>
            <w:hideMark/>
          </w:tcPr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667A6C">
              <w:rPr>
                <w:rFonts w:cs="Calibri"/>
                <w:b/>
                <w:bCs/>
                <w:color w:val="FFFFFF"/>
                <w:sz w:val="16"/>
                <w:szCs w:val="16"/>
              </w:rPr>
              <w:t>Tytuł projektu</w:t>
            </w:r>
          </w:p>
        </w:tc>
        <w:tc>
          <w:tcPr>
            <w:tcW w:w="705" w:type="pct"/>
            <w:shd w:val="clear" w:color="auto" w:fill="8064A2"/>
            <w:vAlign w:val="center"/>
            <w:hideMark/>
          </w:tcPr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667A6C">
              <w:rPr>
                <w:rFonts w:cs="Calibri"/>
                <w:b/>
                <w:bCs/>
                <w:color w:val="FFFFFF"/>
                <w:sz w:val="16"/>
                <w:szCs w:val="16"/>
              </w:rPr>
              <w:t>Wartość ogółem</w:t>
            </w:r>
          </w:p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bCs/>
                <w:color w:val="FFFFFF"/>
                <w:sz w:val="16"/>
                <w:szCs w:val="16"/>
              </w:rPr>
            </w:pPr>
            <w:r w:rsidRPr="00667A6C">
              <w:rPr>
                <w:rFonts w:cs="Calibri"/>
                <w:bCs/>
                <w:color w:val="FFFFFF"/>
                <w:sz w:val="16"/>
                <w:szCs w:val="16"/>
              </w:rPr>
              <w:t>(mln PLN)</w:t>
            </w:r>
          </w:p>
        </w:tc>
        <w:tc>
          <w:tcPr>
            <w:tcW w:w="634" w:type="pct"/>
            <w:shd w:val="clear" w:color="auto" w:fill="8064A2"/>
            <w:vAlign w:val="center"/>
            <w:hideMark/>
          </w:tcPr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667A6C">
              <w:rPr>
                <w:rFonts w:cs="Calibri"/>
                <w:b/>
                <w:bCs/>
                <w:color w:val="FFFFFF"/>
                <w:sz w:val="16"/>
                <w:szCs w:val="16"/>
              </w:rPr>
              <w:t>Wkład UE</w:t>
            </w:r>
          </w:p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bCs/>
                <w:color w:val="FFFFFF"/>
                <w:sz w:val="16"/>
                <w:szCs w:val="16"/>
              </w:rPr>
            </w:pPr>
            <w:r w:rsidRPr="00667A6C">
              <w:rPr>
                <w:rFonts w:cs="Calibri"/>
                <w:bCs/>
                <w:color w:val="FFFFFF"/>
                <w:sz w:val="16"/>
                <w:szCs w:val="16"/>
              </w:rPr>
              <w:t>(mln PLN)</w:t>
            </w:r>
          </w:p>
        </w:tc>
        <w:tc>
          <w:tcPr>
            <w:tcW w:w="844" w:type="pct"/>
            <w:shd w:val="clear" w:color="auto" w:fill="8064A2"/>
            <w:vAlign w:val="center"/>
            <w:hideMark/>
          </w:tcPr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bCs/>
                <w:color w:val="FFFFFF"/>
                <w:sz w:val="16"/>
                <w:szCs w:val="16"/>
              </w:rPr>
            </w:pPr>
            <w:r w:rsidRPr="00667A6C">
              <w:rPr>
                <w:rFonts w:cs="Calibri"/>
                <w:b/>
                <w:bCs/>
                <w:color w:val="FFFFFF"/>
                <w:sz w:val="16"/>
                <w:szCs w:val="16"/>
              </w:rPr>
              <w:t xml:space="preserve">Długość </w:t>
            </w:r>
            <w:r w:rsidRPr="00667A6C">
              <w:rPr>
                <w:rFonts w:cs="Calibri"/>
                <w:bCs/>
                <w:color w:val="FFFFFF"/>
                <w:sz w:val="16"/>
                <w:szCs w:val="16"/>
              </w:rPr>
              <w:t>nowych /przebudowanych /zmodernizowanych</w:t>
            </w:r>
            <w:r>
              <w:rPr>
                <w:rFonts w:cs="Calibri"/>
                <w:b/>
                <w:bCs/>
                <w:color w:val="FFFFFF"/>
                <w:sz w:val="16"/>
                <w:szCs w:val="16"/>
              </w:rPr>
              <w:t xml:space="preserve"> dróg</w:t>
            </w:r>
            <w:r w:rsidRPr="00667A6C">
              <w:rPr>
                <w:rFonts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667A6C">
              <w:rPr>
                <w:rFonts w:cs="Calibri"/>
                <w:bCs/>
                <w:color w:val="FFFFFF"/>
                <w:sz w:val="16"/>
                <w:szCs w:val="16"/>
              </w:rPr>
              <w:t>(km)</w:t>
            </w:r>
          </w:p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5B0215" w:rsidRPr="00667A6C" w:rsidTr="000302F3">
        <w:trPr>
          <w:trHeight w:val="425"/>
        </w:trPr>
        <w:tc>
          <w:tcPr>
            <w:tcW w:w="246" w:type="pct"/>
            <w:shd w:val="clear" w:color="auto" w:fill="CCC0D9"/>
          </w:tcPr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754" w:type="pct"/>
            <w:gridSpan w:val="5"/>
            <w:shd w:val="clear" w:color="auto" w:fill="CCC0D9"/>
            <w:vAlign w:val="center"/>
          </w:tcPr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667A6C">
              <w:rPr>
                <w:rFonts w:cs="Calibri"/>
                <w:b/>
                <w:color w:val="000000"/>
                <w:sz w:val="16"/>
                <w:szCs w:val="16"/>
              </w:rPr>
              <w:t>Projekty drogowe</w:t>
            </w:r>
          </w:p>
        </w:tc>
      </w:tr>
      <w:tr w:rsidR="005B0215" w:rsidRPr="00667A6C" w:rsidTr="000302F3">
        <w:trPr>
          <w:trHeight w:val="645"/>
        </w:trPr>
        <w:tc>
          <w:tcPr>
            <w:tcW w:w="246" w:type="pct"/>
            <w:shd w:val="clear" w:color="auto" w:fill="FFFFFF"/>
            <w:vAlign w:val="center"/>
          </w:tcPr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67A6C">
              <w:rPr>
                <w:rFonts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1866" w:type="pct"/>
            <w:shd w:val="clear" w:color="auto" w:fill="FFFFFF"/>
            <w:vAlign w:val="center"/>
          </w:tcPr>
          <w:p w:rsidR="005B0215" w:rsidRPr="00667A6C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667A6C">
              <w:rPr>
                <w:rFonts w:cs="Calibri"/>
                <w:color w:val="000000"/>
                <w:sz w:val="16"/>
                <w:szCs w:val="16"/>
              </w:rPr>
              <w:t>Budowa DK51 w Olsztynie na odcinku od skrzyżowania ul. Towarowej z ul. Leonharda do węzła Wschód (S51)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667A6C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131,48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5B0215" w:rsidRPr="00667A6C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94,42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67A6C">
              <w:rPr>
                <w:rFonts w:cs="Calibri"/>
                <w:color w:val="000000"/>
                <w:sz w:val="16"/>
                <w:szCs w:val="16"/>
              </w:rPr>
              <w:t>2,56</w:t>
            </w:r>
          </w:p>
        </w:tc>
      </w:tr>
      <w:tr w:rsidR="005B0215" w:rsidRPr="00667A6C" w:rsidTr="000302F3">
        <w:trPr>
          <w:trHeight w:val="645"/>
        </w:trPr>
        <w:tc>
          <w:tcPr>
            <w:tcW w:w="246" w:type="pct"/>
            <w:shd w:val="clear" w:color="auto" w:fill="FFFFFF"/>
            <w:vAlign w:val="center"/>
          </w:tcPr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67A6C">
              <w:rPr>
                <w:rFonts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Miasto</w:t>
            </w:r>
          </w:p>
        </w:tc>
        <w:tc>
          <w:tcPr>
            <w:tcW w:w="1866" w:type="pct"/>
            <w:shd w:val="clear" w:color="auto" w:fill="FFFFFF"/>
            <w:vAlign w:val="center"/>
          </w:tcPr>
          <w:p w:rsidR="005B0215" w:rsidRPr="00667A6C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667A6C">
              <w:rPr>
                <w:rFonts w:cs="Calibri"/>
                <w:color w:val="000000"/>
                <w:sz w:val="16"/>
                <w:szCs w:val="16"/>
              </w:rPr>
              <w:t>Budowa drogi wojewódzkiej nr AAA w Olsztynie na odcinku od ul. Pstrowskiego do węzła drogowego Pieczewo (S51)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667A6C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56,92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5B0215" w:rsidRPr="00667A6C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</w:t>
            </w:r>
            <w:r w:rsidRPr="00667A6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67A6C">
              <w:rPr>
                <w:rFonts w:cs="Calibri"/>
                <w:color w:val="000000"/>
                <w:sz w:val="16"/>
                <w:szCs w:val="16"/>
              </w:rPr>
              <w:t>2,66</w:t>
            </w:r>
          </w:p>
        </w:tc>
      </w:tr>
      <w:tr w:rsidR="005B0215" w:rsidRPr="00667A6C" w:rsidTr="000302F3">
        <w:trPr>
          <w:trHeight w:val="645"/>
        </w:trPr>
        <w:tc>
          <w:tcPr>
            <w:tcW w:w="246" w:type="pct"/>
            <w:shd w:val="clear" w:color="auto" w:fill="FFFFFF"/>
            <w:vAlign w:val="center"/>
          </w:tcPr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1866" w:type="pct"/>
            <w:shd w:val="clear" w:color="auto" w:fill="FFFFFF"/>
            <w:vAlign w:val="center"/>
          </w:tcPr>
          <w:p w:rsidR="005B0215" w:rsidRPr="00667A6C" w:rsidRDefault="005B0215" w:rsidP="000302F3">
            <w:pPr>
              <w:spacing w:after="0"/>
              <w:rPr>
                <w:rFonts w:cs="Calibri"/>
                <w:color w:val="000000"/>
                <w:sz w:val="16"/>
                <w:szCs w:val="16"/>
              </w:rPr>
            </w:pPr>
            <w:r w:rsidRPr="00667A6C">
              <w:rPr>
                <w:rFonts w:cs="Calibri"/>
                <w:b/>
                <w:color w:val="000000"/>
                <w:sz w:val="16"/>
                <w:szCs w:val="16"/>
              </w:rPr>
              <w:t>W:</w:t>
            </w:r>
            <w:r w:rsidRPr="00667A6C">
              <w:rPr>
                <w:rFonts w:cs="Calibri"/>
                <w:color w:val="000000"/>
                <w:sz w:val="16"/>
                <w:szCs w:val="16"/>
              </w:rPr>
              <w:t xml:space="preserve"> Rozbudowa drogi wojewódzkiej nr 598 na odcinku od skrzyżowania ul. Płoskiego z ul. Witosa/Bukowskiego do węzła Jaroty (S51)</w:t>
            </w:r>
          </w:p>
        </w:tc>
        <w:tc>
          <w:tcPr>
            <w:tcW w:w="705" w:type="pct"/>
            <w:shd w:val="clear" w:color="auto" w:fill="FFFFFF"/>
            <w:vAlign w:val="center"/>
          </w:tcPr>
          <w:p w:rsidR="005B0215" w:rsidRPr="00667A6C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634" w:type="pct"/>
            <w:shd w:val="clear" w:color="auto" w:fill="FFFFFF"/>
            <w:vAlign w:val="center"/>
          </w:tcPr>
          <w:p w:rsidR="005B0215" w:rsidRPr="00667A6C" w:rsidRDefault="005B0215" w:rsidP="000302F3">
            <w:pPr>
              <w:spacing w:after="0"/>
              <w:jc w:val="center"/>
              <w:rPr>
                <w:sz w:val="16"/>
                <w:szCs w:val="16"/>
              </w:rPr>
            </w:pPr>
            <w:r w:rsidRPr="00667A6C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,02</w:t>
            </w:r>
          </w:p>
        </w:tc>
        <w:tc>
          <w:tcPr>
            <w:tcW w:w="844" w:type="pct"/>
            <w:shd w:val="clear" w:color="auto" w:fill="FFFFFF"/>
            <w:vAlign w:val="center"/>
          </w:tcPr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2,69 UŻ</w:t>
            </w:r>
          </w:p>
        </w:tc>
      </w:tr>
      <w:tr w:rsidR="005B0215" w:rsidRPr="00667A6C" w:rsidTr="000302F3">
        <w:trPr>
          <w:trHeight w:val="240"/>
        </w:trPr>
        <w:tc>
          <w:tcPr>
            <w:tcW w:w="246" w:type="pct"/>
            <w:shd w:val="clear" w:color="auto" w:fill="CCC0D9"/>
          </w:tcPr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1" w:type="pct"/>
            <w:gridSpan w:val="2"/>
            <w:shd w:val="clear" w:color="auto" w:fill="CCC0D9"/>
            <w:vAlign w:val="center"/>
          </w:tcPr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667A6C">
              <w:rPr>
                <w:rFonts w:cs="Calibr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705" w:type="pct"/>
            <w:shd w:val="clear" w:color="auto" w:fill="CCC0D9"/>
            <w:vAlign w:val="center"/>
          </w:tcPr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67A6C">
              <w:rPr>
                <w:rFonts w:cs="Calibri"/>
                <w:color w:val="000000"/>
                <w:sz w:val="16"/>
                <w:szCs w:val="16"/>
              </w:rPr>
              <w:t>2</w:t>
            </w:r>
            <w:r>
              <w:rPr>
                <w:rFonts w:cs="Calibri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634" w:type="pct"/>
            <w:shd w:val="clear" w:color="auto" w:fill="CCC0D9"/>
            <w:vAlign w:val="center"/>
          </w:tcPr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171,56</w:t>
            </w:r>
          </w:p>
        </w:tc>
        <w:tc>
          <w:tcPr>
            <w:tcW w:w="844" w:type="pct"/>
            <w:shd w:val="clear" w:color="auto" w:fill="CCC0D9"/>
            <w:vAlign w:val="center"/>
          </w:tcPr>
          <w:p w:rsidR="005B0215" w:rsidRPr="00667A6C" w:rsidRDefault="005B0215" w:rsidP="000302F3">
            <w:pPr>
              <w:spacing w:after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7,91</w:t>
            </w:r>
          </w:p>
        </w:tc>
      </w:tr>
    </w:tbl>
    <w:p w:rsidR="005B0215" w:rsidRDefault="005B0215" w:rsidP="005B0215">
      <w:r>
        <w:t>W</w:t>
      </w:r>
      <w:r w:rsidRPr="00D063B9">
        <w:t xml:space="preserve"> Olsztynie rozbudowaliśmy odcinek drogi wojewódzkiej nr 598. Przebudowany fragment został poszerzony na całej długości do dwóch jezdni, każda po dwa pasy ruchu. Ta inwestycja to kolejny krok do wyprowadzenia z miasta ruchu zmierzającego na południe województwa. Dzięki niej, mieszkańcy największej sypialni Olsztyna – dzielnicy Jaroty – będą mieli bezpośredni dostęp do obwodnicy miasta. Pozwoli to w komfortowy sposób </w:t>
      </w:r>
      <w:r w:rsidRPr="00D063B9">
        <w:lastRenderedPageBreak/>
        <w:t>ominąć miejskie korki i prędko udać się w kierunku Ostródy i dalej Trójmiasta (DK16), Warszawy (S51), Szczytna (DK53) czy Mrągowa (DK16).</w:t>
      </w:r>
    </w:p>
    <w:p w:rsidR="005B0215" w:rsidRDefault="005B0215" w:rsidP="005B0215">
      <w:r w:rsidRPr="004E5AC1">
        <w:t xml:space="preserve">Główną olsztyńską inwestycją w zakresie transportu miejskiego będzie budowa drugiej linii tramwajowej łączącej południowe osiedla z Centrum. Do obsługi rozbudowanej sieci tramwajowej zakupiony zostanie również tabor tramwajowy (4 szt.). Ponadto do rozbudowy łańcuchów ekomobilności w mieście przyczynią się planowane do zrealizowania zadania takie jak: budowa zintegrowanego węzła przesiadkowego przy Dworcu PKP/PKS, wyznaczenie dodatkowych bus-pasów o długości prawie 5,5 km, jak również inwestycje w miejską infrastrukturę rowerową - wzbogacenie sieci dróg rowerowych o kolejne ponad 11 km oraz oddanie do użytku parkingu typu B&amp;R z 32 miejscami postojowymi. </w:t>
      </w:r>
    </w:p>
    <w:p w:rsidR="00337459" w:rsidRPr="00337459" w:rsidRDefault="00337459" w:rsidP="00337459">
      <w:pPr>
        <w:rPr>
          <w:rFonts w:eastAsiaTheme="minorHAnsi"/>
        </w:rPr>
      </w:pPr>
    </w:p>
    <w:sectPr w:rsidR="00337459" w:rsidRPr="00337459" w:rsidSect="009500AA">
      <w:headerReference w:type="default" r:id="rId9"/>
      <w:footerReference w:type="even" r:id="rId10"/>
      <w:footerReference w:type="default" r:id="rId11"/>
      <w:pgSz w:w="11906" w:h="16838"/>
      <w:pgMar w:top="284" w:right="707" w:bottom="284" w:left="90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4F" w:rsidRDefault="00D51B4F">
      <w:r>
        <w:separator/>
      </w:r>
    </w:p>
  </w:endnote>
  <w:endnote w:type="continuationSeparator" w:id="0">
    <w:p w:rsidR="00D51B4F" w:rsidRDefault="00D5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6769" w:rsidRDefault="00D86769" w:rsidP="00233E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3F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6B4B" w:rsidRPr="00DC3780" w:rsidRDefault="00CA6B4B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 w:rsidRPr="00DC3780">
      <w:rPr>
        <w:rFonts w:ascii="Garamond" w:hAnsi="Garamond"/>
        <w:sz w:val="18"/>
        <w:szCs w:val="18"/>
      </w:rPr>
      <w:t xml:space="preserve">Ministerstwo </w:t>
    </w:r>
    <w:r w:rsidR="009500AA">
      <w:rPr>
        <w:rFonts w:ascii="Garamond" w:hAnsi="Garamond"/>
        <w:sz w:val="18"/>
        <w:szCs w:val="18"/>
      </w:rPr>
      <w:t>Inwestycji i Rozwoju</w:t>
    </w:r>
  </w:p>
  <w:p w:rsidR="00D86769" w:rsidRPr="00DC3780" w:rsidRDefault="0069713C" w:rsidP="003C060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beforeAutospacing="0" w:after="0" w:afterAutospacing="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Biuro</w:t>
    </w:r>
    <w:r w:rsidR="00384F2A">
      <w:rPr>
        <w:rFonts w:ascii="Garamond" w:hAnsi="Garamond"/>
        <w:sz w:val="18"/>
        <w:szCs w:val="18"/>
      </w:rPr>
      <w:t xml:space="preserve"> Komunikacji</w:t>
    </w:r>
  </w:p>
  <w:p w:rsidR="00D86769" w:rsidRPr="00857A77" w:rsidRDefault="0069713C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rFonts w:ascii="Garamond" w:hAnsi="Garamond"/>
        <w:sz w:val="18"/>
        <w:szCs w:val="18"/>
        <w:lang w:val="de-DE"/>
      </w:rPr>
    </w:pPr>
    <w:r>
      <w:rPr>
        <w:rFonts w:ascii="Garamond" w:hAnsi="Garamond"/>
        <w:sz w:val="18"/>
        <w:szCs w:val="18"/>
        <w:lang w:val="de-DE"/>
      </w:rPr>
      <w:t>tel.: 22 273 85 11</w:t>
    </w:r>
  </w:p>
  <w:p w:rsidR="00D86769" w:rsidRPr="00A50C75" w:rsidRDefault="00D86769" w:rsidP="003C0606">
    <w:pPr>
      <w:pStyle w:val="Stopka"/>
      <w:tabs>
        <w:tab w:val="clear" w:pos="4536"/>
        <w:tab w:val="center" w:pos="2340"/>
      </w:tabs>
      <w:spacing w:before="0" w:beforeAutospacing="0" w:after="0" w:afterAutospacing="0"/>
      <w:jc w:val="center"/>
      <w:rPr>
        <w:color w:val="0066CC"/>
        <w:lang w:val="de-DE"/>
      </w:rPr>
    </w:pPr>
    <w:r w:rsidRPr="00645F81">
      <w:rPr>
        <w:rFonts w:ascii="Garamond" w:hAnsi="Garamond"/>
        <w:sz w:val="18"/>
        <w:szCs w:val="18"/>
        <w:lang w:val="de-DE"/>
      </w:rPr>
      <w:t>e-mail:</w:t>
    </w:r>
    <w:r w:rsidRPr="0075022D">
      <w:rPr>
        <w:rFonts w:ascii="Garamond" w:hAnsi="Garamond"/>
        <w:color w:val="3366FF"/>
        <w:sz w:val="18"/>
        <w:szCs w:val="18"/>
        <w:lang w:val="de-DE"/>
      </w:rPr>
      <w:t xml:space="preserve"> </w:t>
    </w:r>
    <w:hyperlink r:id="rId1" w:history="1">
      <w:r w:rsidR="00D83E13" w:rsidRPr="00873EDB">
        <w:rPr>
          <w:rStyle w:val="Hipercze"/>
          <w:rFonts w:ascii="Garamond" w:hAnsi="Garamond"/>
          <w:sz w:val="18"/>
          <w:szCs w:val="18"/>
          <w:lang w:val="de-DE"/>
        </w:rPr>
        <w:t>media@m</w:t>
      </w:r>
      <w:r w:rsidR="008B0ED4">
        <w:rPr>
          <w:rStyle w:val="Hipercze"/>
          <w:rFonts w:ascii="Garamond" w:hAnsi="Garamond"/>
          <w:sz w:val="18"/>
          <w:szCs w:val="18"/>
          <w:lang w:val="de-DE"/>
        </w:rPr>
        <w:t>ii</w:t>
      </w:r>
      <w:r w:rsidR="00D83E13" w:rsidRPr="00873EDB">
        <w:rPr>
          <w:rStyle w:val="Hipercze"/>
          <w:rFonts w:ascii="Garamond" w:hAnsi="Garamond"/>
          <w:sz w:val="18"/>
          <w:szCs w:val="18"/>
          <w:lang w:val="de-DE"/>
        </w:rPr>
        <w:t>r.gov.pl</w:t>
      </w:r>
    </w:hyperlink>
    <w:r w:rsidR="00CA6B4B">
      <w:rPr>
        <w:rFonts w:ascii="Garamond" w:hAnsi="Garamond"/>
        <w:color w:val="0066CC"/>
        <w:sz w:val="18"/>
        <w:szCs w:val="18"/>
        <w:lang w:val="de-DE"/>
      </w:rPr>
      <w:t xml:space="preserve">, </w:t>
    </w:r>
    <w:hyperlink r:id="rId2" w:history="1">
      <w:r w:rsidR="009500AA" w:rsidRPr="00AA37CE">
        <w:rPr>
          <w:rStyle w:val="Hipercze"/>
          <w:rFonts w:ascii="Garamond" w:hAnsi="Garamond"/>
          <w:sz w:val="18"/>
          <w:szCs w:val="18"/>
          <w:lang w:val="de-DE"/>
        </w:rPr>
        <w:t>www.miir.gov.pl</w:t>
      </w:r>
    </w:hyperlink>
    <w:r w:rsidRPr="00A50C75">
      <w:rPr>
        <w:rFonts w:ascii="Garamond" w:hAnsi="Garamond"/>
        <w:color w:val="0066CC"/>
        <w:sz w:val="18"/>
        <w:szCs w:val="18"/>
        <w:lang w:val="de-DE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4F" w:rsidRDefault="00D51B4F">
      <w:r>
        <w:separator/>
      </w:r>
    </w:p>
  </w:footnote>
  <w:footnote w:type="continuationSeparator" w:id="0">
    <w:p w:rsidR="00D51B4F" w:rsidRDefault="00D5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13" w:rsidRDefault="00857A77" w:rsidP="00E420E6">
    <w:pPr>
      <w:pStyle w:val="Nagwek"/>
      <w:tabs>
        <w:tab w:val="clear" w:pos="4536"/>
        <w:tab w:val="clear" w:pos="9072"/>
        <w:tab w:val="left" w:pos="8115"/>
      </w:tabs>
      <w:jc w:val="left"/>
    </w:pPr>
    <w:r>
      <w:rPr>
        <w:noProof/>
      </w:rPr>
      <w:drawing>
        <wp:inline distT="0" distB="0" distL="0" distR="0" wp14:anchorId="2C02D653" wp14:editId="03E502C0">
          <wp:extent cx="1503985" cy="514350"/>
          <wp:effectExtent l="0" t="0" r="1270" b="0"/>
          <wp:docPr id="2" name="Obraz 2" descr="Po prawej stronie orła o czarnych konturach napis &quot;Ministerstwo Inwestycji i Rozwoju. " title="Logo Ministerstwa Inwestycji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_Nowak\AppData\Local\Temp\notesBAAA25\MIR_regular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9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25pt;height:8.25pt" o:bullet="t">
        <v:imagedata r:id="rId1" o:title="BD14515_"/>
      </v:shape>
    </w:pict>
  </w:numPicBullet>
  <w:numPicBullet w:numPicBulletId="1">
    <w:pict>
      <v:shape id="_x0000_i1030" type="#_x0000_t75" style="width:8.25pt;height:8.25pt" o:bullet="t">
        <v:imagedata r:id="rId2" o:title="BD10268_"/>
      </v:shape>
    </w:pict>
  </w:numPicBullet>
  <w:numPicBullet w:numPicBulletId="2">
    <w:pict>
      <v:shape id="_x0000_i1031" type="#_x0000_t75" style="width:8.25pt;height:8.25pt" o:bullet="t">
        <v:imagedata r:id="rId3" o:title="BD14754_"/>
      </v:shape>
    </w:pict>
  </w:numPicBullet>
  <w:abstractNum w:abstractNumId="0">
    <w:nsid w:val="FFFFFF82"/>
    <w:multiLevelType w:val="singleLevel"/>
    <w:tmpl w:val="61603C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4023C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pacing w:val="4"/>
        <w:sz w:val="20"/>
        <w:szCs w:val="20"/>
      </w:rPr>
    </w:lvl>
  </w:abstractNum>
  <w:abstractNum w:abstractNumId="4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</w:abstractNum>
  <w:abstractNum w:abstractNumId="5">
    <w:nsid w:val="05A23F88"/>
    <w:multiLevelType w:val="hybridMultilevel"/>
    <w:tmpl w:val="1F324820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1366"/>
    <w:multiLevelType w:val="hybridMultilevel"/>
    <w:tmpl w:val="E5AC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00DAB"/>
    <w:multiLevelType w:val="hybridMultilevel"/>
    <w:tmpl w:val="FA3C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B59"/>
    <w:multiLevelType w:val="hybridMultilevel"/>
    <w:tmpl w:val="0CB28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64D52"/>
    <w:multiLevelType w:val="hybridMultilevel"/>
    <w:tmpl w:val="1FB6E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D2B44"/>
    <w:multiLevelType w:val="hybridMultilevel"/>
    <w:tmpl w:val="F7AE6C68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36536"/>
    <w:multiLevelType w:val="hybridMultilevel"/>
    <w:tmpl w:val="1E60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D027D"/>
    <w:multiLevelType w:val="hybridMultilevel"/>
    <w:tmpl w:val="748C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20CF2"/>
    <w:multiLevelType w:val="hybridMultilevel"/>
    <w:tmpl w:val="BDC028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66002"/>
    <w:multiLevelType w:val="hybridMultilevel"/>
    <w:tmpl w:val="6EE00824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E34ED"/>
    <w:multiLevelType w:val="hybridMultilevel"/>
    <w:tmpl w:val="8AE850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0323A"/>
    <w:multiLevelType w:val="hybridMultilevel"/>
    <w:tmpl w:val="677C8E2A"/>
    <w:lvl w:ilvl="0" w:tplc="3DCC3F1E">
      <w:start w:val="1"/>
      <w:numFmt w:val="upperRoman"/>
      <w:pStyle w:val="naglo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58025C">
      <w:start w:val="1"/>
      <w:numFmt w:val="decimal"/>
      <w:pStyle w:val="naglowek3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108524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77581A"/>
    <w:multiLevelType w:val="hybridMultilevel"/>
    <w:tmpl w:val="4650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46FA0"/>
    <w:multiLevelType w:val="hybridMultilevel"/>
    <w:tmpl w:val="1AA6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14"/>
  </w:num>
  <w:num w:numId="7">
    <w:abstractNumId w:val="12"/>
  </w:num>
  <w:num w:numId="8">
    <w:abstractNumId w:val="13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17"/>
  </w:num>
  <w:num w:numId="15">
    <w:abstractNumId w:val="18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8"/>
    <w:rsid w:val="00001E20"/>
    <w:rsid w:val="00003CCD"/>
    <w:rsid w:val="00004982"/>
    <w:rsid w:val="000051D3"/>
    <w:rsid w:val="00006135"/>
    <w:rsid w:val="00006DE0"/>
    <w:rsid w:val="000070A4"/>
    <w:rsid w:val="00007525"/>
    <w:rsid w:val="00007B2C"/>
    <w:rsid w:val="00011A8B"/>
    <w:rsid w:val="00014A02"/>
    <w:rsid w:val="00014EDC"/>
    <w:rsid w:val="000165DA"/>
    <w:rsid w:val="00020FBC"/>
    <w:rsid w:val="00026AD6"/>
    <w:rsid w:val="00027656"/>
    <w:rsid w:val="0003246E"/>
    <w:rsid w:val="000344B2"/>
    <w:rsid w:val="000350E0"/>
    <w:rsid w:val="000356E7"/>
    <w:rsid w:val="000373AE"/>
    <w:rsid w:val="00040D8A"/>
    <w:rsid w:val="00050DB5"/>
    <w:rsid w:val="000512F4"/>
    <w:rsid w:val="000522B7"/>
    <w:rsid w:val="00055DB0"/>
    <w:rsid w:val="00056566"/>
    <w:rsid w:val="00060792"/>
    <w:rsid w:val="000611F7"/>
    <w:rsid w:val="0006156F"/>
    <w:rsid w:val="00061C97"/>
    <w:rsid w:val="0006395F"/>
    <w:rsid w:val="00064E25"/>
    <w:rsid w:val="00065E3E"/>
    <w:rsid w:val="00065E74"/>
    <w:rsid w:val="00066C53"/>
    <w:rsid w:val="00067FCA"/>
    <w:rsid w:val="00070694"/>
    <w:rsid w:val="00071DE6"/>
    <w:rsid w:val="00072D14"/>
    <w:rsid w:val="000734F2"/>
    <w:rsid w:val="000743C3"/>
    <w:rsid w:val="000758EF"/>
    <w:rsid w:val="00075A33"/>
    <w:rsid w:val="00076CA4"/>
    <w:rsid w:val="0007713E"/>
    <w:rsid w:val="00082171"/>
    <w:rsid w:val="00083722"/>
    <w:rsid w:val="00085563"/>
    <w:rsid w:val="000859C4"/>
    <w:rsid w:val="00085DFF"/>
    <w:rsid w:val="00086367"/>
    <w:rsid w:val="00086CCD"/>
    <w:rsid w:val="00087829"/>
    <w:rsid w:val="00087A75"/>
    <w:rsid w:val="00091858"/>
    <w:rsid w:val="00091DC9"/>
    <w:rsid w:val="000943F0"/>
    <w:rsid w:val="00095259"/>
    <w:rsid w:val="000960AC"/>
    <w:rsid w:val="000A006F"/>
    <w:rsid w:val="000A1806"/>
    <w:rsid w:val="000A37D3"/>
    <w:rsid w:val="000A5656"/>
    <w:rsid w:val="000A5E55"/>
    <w:rsid w:val="000B014E"/>
    <w:rsid w:val="000B1357"/>
    <w:rsid w:val="000B4478"/>
    <w:rsid w:val="000B4D45"/>
    <w:rsid w:val="000B5543"/>
    <w:rsid w:val="000B5DB9"/>
    <w:rsid w:val="000B5F24"/>
    <w:rsid w:val="000B668C"/>
    <w:rsid w:val="000B6A0E"/>
    <w:rsid w:val="000B7372"/>
    <w:rsid w:val="000B75BF"/>
    <w:rsid w:val="000C25E6"/>
    <w:rsid w:val="000C2702"/>
    <w:rsid w:val="000C448B"/>
    <w:rsid w:val="000C664E"/>
    <w:rsid w:val="000C6988"/>
    <w:rsid w:val="000C6E89"/>
    <w:rsid w:val="000C7026"/>
    <w:rsid w:val="000D0681"/>
    <w:rsid w:val="000D089B"/>
    <w:rsid w:val="000D259B"/>
    <w:rsid w:val="000D4E6F"/>
    <w:rsid w:val="000D5E18"/>
    <w:rsid w:val="000D5E70"/>
    <w:rsid w:val="000D62EB"/>
    <w:rsid w:val="000D6C57"/>
    <w:rsid w:val="000D7E4C"/>
    <w:rsid w:val="000E1EBD"/>
    <w:rsid w:val="000E4010"/>
    <w:rsid w:val="000E5820"/>
    <w:rsid w:val="000E75A7"/>
    <w:rsid w:val="000F39FE"/>
    <w:rsid w:val="000F4DEE"/>
    <w:rsid w:val="000F53B9"/>
    <w:rsid w:val="000F567A"/>
    <w:rsid w:val="000F7B3E"/>
    <w:rsid w:val="00100214"/>
    <w:rsid w:val="00101960"/>
    <w:rsid w:val="001022ED"/>
    <w:rsid w:val="0010232F"/>
    <w:rsid w:val="00103205"/>
    <w:rsid w:val="00105B17"/>
    <w:rsid w:val="00105FED"/>
    <w:rsid w:val="00111A39"/>
    <w:rsid w:val="001122D0"/>
    <w:rsid w:val="00112DF8"/>
    <w:rsid w:val="00117326"/>
    <w:rsid w:val="00120B0D"/>
    <w:rsid w:val="0012159A"/>
    <w:rsid w:val="00121D10"/>
    <w:rsid w:val="00122459"/>
    <w:rsid w:val="00132510"/>
    <w:rsid w:val="00135193"/>
    <w:rsid w:val="00141620"/>
    <w:rsid w:val="00142770"/>
    <w:rsid w:val="001429B3"/>
    <w:rsid w:val="00144E21"/>
    <w:rsid w:val="00146123"/>
    <w:rsid w:val="00147D5C"/>
    <w:rsid w:val="0015189A"/>
    <w:rsid w:val="00151AE6"/>
    <w:rsid w:val="00153933"/>
    <w:rsid w:val="00154509"/>
    <w:rsid w:val="0015479F"/>
    <w:rsid w:val="0015501D"/>
    <w:rsid w:val="00155BC9"/>
    <w:rsid w:val="001637F9"/>
    <w:rsid w:val="00166A4F"/>
    <w:rsid w:val="001727F3"/>
    <w:rsid w:val="00173E27"/>
    <w:rsid w:val="0017560D"/>
    <w:rsid w:val="001776CF"/>
    <w:rsid w:val="0017770B"/>
    <w:rsid w:val="00180FE0"/>
    <w:rsid w:val="00180FFD"/>
    <w:rsid w:val="001818EB"/>
    <w:rsid w:val="001857AE"/>
    <w:rsid w:val="00187123"/>
    <w:rsid w:val="001876F7"/>
    <w:rsid w:val="00190838"/>
    <w:rsid w:val="00192EE5"/>
    <w:rsid w:val="001932D9"/>
    <w:rsid w:val="001946B9"/>
    <w:rsid w:val="00197CBC"/>
    <w:rsid w:val="001A004D"/>
    <w:rsid w:val="001A1A71"/>
    <w:rsid w:val="001A3342"/>
    <w:rsid w:val="001A66BC"/>
    <w:rsid w:val="001A6FE4"/>
    <w:rsid w:val="001B1014"/>
    <w:rsid w:val="001B1057"/>
    <w:rsid w:val="001B1762"/>
    <w:rsid w:val="001B1933"/>
    <w:rsid w:val="001B217B"/>
    <w:rsid w:val="001B244E"/>
    <w:rsid w:val="001B3374"/>
    <w:rsid w:val="001B78BB"/>
    <w:rsid w:val="001C00C8"/>
    <w:rsid w:val="001C1486"/>
    <w:rsid w:val="001C20F8"/>
    <w:rsid w:val="001C24DC"/>
    <w:rsid w:val="001C42C5"/>
    <w:rsid w:val="001D27EB"/>
    <w:rsid w:val="001D368F"/>
    <w:rsid w:val="001D37AE"/>
    <w:rsid w:val="001D6D71"/>
    <w:rsid w:val="001E2C95"/>
    <w:rsid w:val="001E2F4C"/>
    <w:rsid w:val="001E3C25"/>
    <w:rsid w:val="001E3F9C"/>
    <w:rsid w:val="001E4EBD"/>
    <w:rsid w:val="001E5236"/>
    <w:rsid w:val="001E76D0"/>
    <w:rsid w:val="001E7E71"/>
    <w:rsid w:val="001F479D"/>
    <w:rsid w:val="001F48D7"/>
    <w:rsid w:val="002004F8"/>
    <w:rsid w:val="002014DE"/>
    <w:rsid w:val="00201854"/>
    <w:rsid w:val="0020368C"/>
    <w:rsid w:val="00203A89"/>
    <w:rsid w:val="00203F5B"/>
    <w:rsid w:val="00207869"/>
    <w:rsid w:val="00211B4F"/>
    <w:rsid w:val="0021306C"/>
    <w:rsid w:val="00213E6F"/>
    <w:rsid w:val="00214618"/>
    <w:rsid w:val="00214CAD"/>
    <w:rsid w:val="00216E96"/>
    <w:rsid w:val="00221791"/>
    <w:rsid w:val="00222908"/>
    <w:rsid w:val="002229FB"/>
    <w:rsid w:val="00225464"/>
    <w:rsid w:val="00225A13"/>
    <w:rsid w:val="00226EA2"/>
    <w:rsid w:val="0022759A"/>
    <w:rsid w:val="00230D2B"/>
    <w:rsid w:val="00230DBD"/>
    <w:rsid w:val="00231257"/>
    <w:rsid w:val="00233E94"/>
    <w:rsid w:val="00233F69"/>
    <w:rsid w:val="00234243"/>
    <w:rsid w:val="00235072"/>
    <w:rsid w:val="00236D72"/>
    <w:rsid w:val="0024249B"/>
    <w:rsid w:val="00244264"/>
    <w:rsid w:val="00246D5A"/>
    <w:rsid w:val="0025028C"/>
    <w:rsid w:val="0025137E"/>
    <w:rsid w:val="00251401"/>
    <w:rsid w:val="00254CA0"/>
    <w:rsid w:val="0025529C"/>
    <w:rsid w:val="0025728F"/>
    <w:rsid w:val="0025765D"/>
    <w:rsid w:val="0025770E"/>
    <w:rsid w:val="00261F25"/>
    <w:rsid w:val="00263CEF"/>
    <w:rsid w:val="00267EF9"/>
    <w:rsid w:val="002750BA"/>
    <w:rsid w:val="00276241"/>
    <w:rsid w:val="002764B1"/>
    <w:rsid w:val="00276993"/>
    <w:rsid w:val="00282FF3"/>
    <w:rsid w:val="00287A19"/>
    <w:rsid w:val="002916E2"/>
    <w:rsid w:val="002930A8"/>
    <w:rsid w:val="00293B36"/>
    <w:rsid w:val="00293EB0"/>
    <w:rsid w:val="00297B78"/>
    <w:rsid w:val="002A01C1"/>
    <w:rsid w:val="002A138B"/>
    <w:rsid w:val="002A1D6C"/>
    <w:rsid w:val="002A2ED5"/>
    <w:rsid w:val="002A41E9"/>
    <w:rsid w:val="002A6694"/>
    <w:rsid w:val="002A6D67"/>
    <w:rsid w:val="002A6EC0"/>
    <w:rsid w:val="002A7596"/>
    <w:rsid w:val="002A7BCB"/>
    <w:rsid w:val="002B116C"/>
    <w:rsid w:val="002B1B6F"/>
    <w:rsid w:val="002B44C0"/>
    <w:rsid w:val="002B4577"/>
    <w:rsid w:val="002C04BC"/>
    <w:rsid w:val="002C0618"/>
    <w:rsid w:val="002C18E4"/>
    <w:rsid w:val="002C2503"/>
    <w:rsid w:val="002C3345"/>
    <w:rsid w:val="002C5476"/>
    <w:rsid w:val="002C6557"/>
    <w:rsid w:val="002C7424"/>
    <w:rsid w:val="002D3AD5"/>
    <w:rsid w:val="002D47E0"/>
    <w:rsid w:val="002D5368"/>
    <w:rsid w:val="002E192F"/>
    <w:rsid w:val="002E20A8"/>
    <w:rsid w:val="002E242F"/>
    <w:rsid w:val="002E4967"/>
    <w:rsid w:val="002E6662"/>
    <w:rsid w:val="002E6A9C"/>
    <w:rsid w:val="002F052D"/>
    <w:rsid w:val="002F0B0B"/>
    <w:rsid w:val="002F1161"/>
    <w:rsid w:val="002F31C7"/>
    <w:rsid w:val="002F51F0"/>
    <w:rsid w:val="002F6235"/>
    <w:rsid w:val="0030005C"/>
    <w:rsid w:val="0030248D"/>
    <w:rsid w:val="00303244"/>
    <w:rsid w:val="003037B2"/>
    <w:rsid w:val="00304BBB"/>
    <w:rsid w:val="00304F19"/>
    <w:rsid w:val="0030574D"/>
    <w:rsid w:val="00305D24"/>
    <w:rsid w:val="0030714C"/>
    <w:rsid w:val="003076E8"/>
    <w:rsid w:val="003106F2"/>
    <w:rsid w:val="00310790"/>
    <w:rsid w:val="00311B38"/>
    <w:rsid w:val="00313034"/>
    <w:rsid w:val="00315F14"/>
    <w:rsid w:val="00316AC4"/>
    <w:rsid w:val="00317FD7"/>
    <w:rsid w:val="0032117E"/>
    <w:rsid w:val="0033132B"/>
    <w:rsid w:val="003325CB"/>
    <w:rsid w:val="00336171"/>
    <w:rsid w:val="00337459"/>
    <w:rsid w:val="00347442"/>
    <w:rsid w:val="003500F7"/>
    <w:rsid w:val="00350AC2"/>
    <w:rsid w:val="00355C53"/>
    <w:rsid w:val="00356859"/>
    <w:rsid w:val="00360104"/>
    <w:rsid w:val="003604CF"/>
    <w:rsid w:val="003608D1"/>
    <w:rsid w:val="003616E9"/>
    <w:rsid w:val="00362A8E"/>
    <w:rsid w:val="0036417F"/>
    <w:rsid w:val="0037084A"/>
    <w:rsid w:val="00370BA1"/>
    <w:rsid w:val="0037148F"/>
    <w:rsid w:val="00371D02"/>
    <w:rsid w:val="00372C86"/>
    <w:rsid w:val="003732B2"/>
    <w:rsid w:val="0037348B"/>
    <w:rsid w:val="00373C6F"/>
    <w:rsid w:val="00374027"/>
    <w:rsid w:val="003743A3"/>
    <w:rsid w:val="0037643E"/>
    <w:rsid w:val="00377B6D"/>
    <w:rsid w:val="00380501"/>
    <w:rsid w:val="00380656"/>
    <w:rsid w:val="00382792"/>
    <w:rsid w:val="00384C5E"/>
    <w:rsid w:val="00384F2A"/>
    <w:rsid w:val="00386AC3"/>
    <w:rsid w:val="00386CF8"/>
    <w:rsid w:val="00386E65"/>
    <w:rsid w:val="0038754B"/>
    <w:rsid w:val="003901DC"/>
    <w:rsid w:val="0039584C"/>
    <w:rsid w:val="00395CA7"/>
    <w:rsid w:val="003A01E5"/>
    <w:rsid w:val="003A2E9A"/>
    <w:rsid w:val="003A3A0C"/>
    <w:rsid w:val="003A5CD9"/>
    <w:rsid w:val="003A6A4C"/>
    <w:rsid w:val="003A77CE"/>
    <w:rsid w:val="003B0D77"/>
    <w:rsid w:val="003B2DAB"/>
    <w:rsid w:val="003B68A4"/>
    <w:rsid w:val="003C0606"/>
    <w:rsid w:val="003C0E6C"/>
    <w:rsid w:val="003C14EF"/>
    <w:rsid w:val="003C3C43"/>
    <w:rsid w:val="003C4576"/>
    <w:rsid w:val="003C616D"/>
    <w:rsid w:val="003C69B7"/>
    <w:rsid w:val="003C7191"/>
    <w:rsid w:val="003D022B"/>
    <w:rsid w:val="003D0BB2"/>
    <w:rsid w:val="003D11C2"/>
    <w:rsid w:val="003D17F9"/>
    <w:rsid w:val="003D593B"/>
    <w:rsid w:val="003E22BA"/>
    <w:rsid w:val="003E3AA3"/>
    <w:rsid w:val="003E4047"/>
    <w:rsid w:val="003E6B4D"/>
    <w:rsid w:val="003F1539"/>
    <w:rsid w:val="003F1C1C"/>
    <w:rsid w:val="003F3FEE"/>
    <w:rsid w:val="003F4BB4"/>
    <w:rsid w:val="003F5310"/>
    <w:rsid w:val="004032D7"/>
    <w:rsid w:val="004052C7"/>
    <w:rsid w:val="00406C2B"/>
    <w:rsid w:val="00411046"/>
    <w:rsid w:val="00411BA1"/>
    <w:rsid w:val="00415168"/>
    <w:rsid w:val="00417F06"/>
    <w:rsid w:val="00421147"/>
    <w:rsid w:val="00421848"/>
    <w:rsid w:val="00421FA3"/>
    <w:rsid w:val="004223F6"/>
    <w:rsid w:val="00422D25"/>
    <w:rsid w:val="00423BA3"/>
    <w:rsid w:val="00425907"/>
    <w:rsid w:val="00426334"/>
    <w:rsid w:val="00430C41"/>
    <w:rsid w:val="0043397E"/>
    <w:rsid w:val="004361BD"/>
    <w:rsid w:val="00437132"/>
    <w:rsid w:val="00437F18"/>
    <w:rsid w:val="004424E2"/>
    <w:rsid w:val="00444BBB"/>
    <w:rsid w:val="004513AE"/>
    <w:rsid w:val="00452F83"/>
    <w:rsid w:val="00453A4C"/>
    <w:rsid w:val="004567FF"/>
    <w:rsid w:val="00457204"/>
    <w:rsid w:val="00461D9F"/>
    <w:rsid w:val="00466852"/>
    <w:rsid w:val="00467956"/>
    <w:rsid w:val="00467B8D"/>
    <w:rsid w:val="004720E9"/>
    <w:rsid w:val="00472E45"/>
    <w:rsid w:val="004751B4"/>
    <w:rsid w:val="00477AA3"/>
    <w:rsid w:val="00481464"/>
    <w:rsid w:val="00483405"/>
    <w:rsid w:val="00483BD2"/>
    <w:rsid w:val="00487777"/>
    <w:rsid w:val="00487A60"/>
    <w:rsid w:val="00490BAC"/>
    <w:rsid w:val="00491153"/>
    <w:rsid w:val="00494B49"/>
    <w:rsid w:val="0049631D"/>
    <w:rsid w:val="00496559"/>
    <w:rsid w:val="004A07E9"/>
    <w:rsid w:val="004A0F29"/>
    <w:rsid w:val="004A29F5"/>
    <w:rsid w:val="004A686A"/>
    <w:rsid w:val="004A790E"/>
    <w:rsid w:val="004A7B7E"/>
    <w:rsid w:val="004B1046"/>
    <w:rsid w:val="004B18E6"/>
    <w:rsid w:val="004B2475"/>
    <w:rsid w:val="004B2A5A"/>
    <w:rsid w:val="004B63FA"/>
    <w:rsid w:val="004B6ACB"/>
    <w:rsid w:val="004B7FE8"/>
    <w:rsid w:val="004C1C42"/>
    <w:rsid w:val="004C2DFD"/>
    <w:rsid w:val="004C61AF"/>
    <w:rsid w:val="004C7C09"/>
    <w:rsid w:val="004D0B8D"/>
    <w:rsid w:val="004D1DFC"/>
    <w:rsid w:val="004D5C66"/>
    <w:rsid w:val="004D6264"/>
    <w:rsid w:val="004D75C6"/>
    <w:rsid w:val="004E3974"/>
    <w:rsid w:val="004F0272"/>
    <w:rsid w:val="004F0AEE"/>
    <w:rsid w:val="004F1129"/>
    <w:rsid w:val="004F19FA"/>
    <w:rsid w:val="004F3885"/>
    <w:rsid w:val="004F3ADB"/>
    <w:rsid w:val="004F5024"/>
    <w:rsid w:val="004F5961"/>
    <w:rsid w:val="004F7630"/>
    <w:rsid w:val="00501DF2"/>
    <w:rsid w:val="005027A3"/>
    <w:rsid w:val="00505000"/>
    <w:rsid w:val="00505141"/>
    <w:rsid w:val="00505F2D"/>
    <w:rsid w:val="00506B0C"/>
    <w:rsid w:val="00507577"/>
    <w:rsid w:val="005125C3"/>
    <w:rsid w:val="005162E4"/>
    <w:rsid w:val="005222D0"/>
    <w:rsid w:val="00527367"/>
    <w:rsid w:val="00527541"/>
    <w:rsid w:val="005275DA"/>
    <w:rsid w:val="00527B54"/>
    <w:rsid w:val="00530EA0"/>
    <w:rsid w:val="00532CB4"/>
    <w:rsid w:val="0053387E"/>
    <w:rsid w:val="00535C20"/>
    <w:rsid w:val="005367C5"/>
    <w:rsid w:val="005379AF"/>
    <w:rsid w:val="00540BA2"/>
    <w:rsid w:val="00541F58"/>
    <w:rsid w:val="0054283B"/>
    <w:rsid w:val="00543D8C"/>
    <w:rsid w:val="00543FA6"/>
    <w:rsid w:val="005455C9"/>
    <w:rsid w:val="005457A9"/>
    <w:rsid w:val="005522DB"/>
    <w:rsid w:val="005532DC"/>
    <w:rsid w:val="005547C2"/>
    <w:rsid w:val="0055551D"/>
    <w:rsid w:val="00557B8D"/>
    <w:rsid w:val="00557E3F"/>
    <w:rsid w:val="00561AA3"/>
    <w:rsid w:val="00562604"/>
    <w:rsid w:val="005663F8"/>
    <w:rsid w:val="00567624"/>
    <w:rsid w:val="0057008B"/>
    <w:rsid w:val="00570D65"/>
    <w:rsid w:val="00571176"/>
    <w:rsid w:val="00571764"/>
    <w:rsid w:val="00572731"/>
    <w:rsid w:val="00572F69"/>
    <w:rsid w:val="005742D8"/>
    <w:rsid w:val="005742F0"/>
    <w:rsid w:val="00575C35"/>
    <w:rsid w:val="0057748E"/>
    <w:rsid w:val="00581E60"/>
    <w:rsid w:val="0058372D"/>
    <w:rsid w:val="0059081F"/>
    <w:rsid w:val="00591755"/>
    <w:rsid w:val="00592B78"/>
    <w:rsid w:val="0059344D"/>
    <w:rsid w:val="00594270"/>
    <w:rsid w:val="00596D72"/>
    <w:rsid w:val="00596EF2"/>
    <w:rsid w:val="00597E2E"/>
    <w:rsid w:val="005A1818"/>
    <w:rsid w:val="005A4400"/>
    <w:rsid w:val="005A5016"/>
    <w:rsid w:val="005A5121"/>
    <w:rsid w:val="005A542D"/>
    <w:rsid w:val="005A71B3"/>
    <w:rsid w:val="005B0215"/>
    <w:rsid w:val="005B08E9"/>
    <w:rsid w:val="005B0CC8"/>
    <w:rsid w:val="005B1F00"/>
    <w:rsid w:val="005B2320"/>
    <w:rsid w:val="005B3C3C"/>
    <w:rsid w:val="005B6D4E"/>
    <w:rsid w:val="005B7037"/>
    <w:rsid w:val="005C0C99"/>
    <w:rsid w:val="005C109F"/>
    <w:rsid w:val="005C34F8"/>
    <w:rsid w:val="005C5C93"/>
    <w:rsid w:val="005C690A"/>
    <w:rsid w:val="005C7614"/>
    <w:rsid w:val="005D0B10"/>
    <w:rsid w:val="005D174F"/>
    <w:rsid w:val="005D2766"/>
    <w:rsid w:val="005D2F44"/>
    <w:rsid w:val="005D3FE9"/>
    <w:rsid w:val="005D5321"/>
    <w:rsid w:val="005D5AA8"/>
    <w:rsid w:val="005D5C1D"/>
    <w:rsid w:val="005D5D6B"/>
    <w:rsid w:val="005D5F16"/>
    <w:rsid w:val="005E178D"/>
    <w:rsid w:val="005E2917"/>
    <w:rsid w:val="005F29C6"/>
    <w:rsid w:val="005F2C85"/>
    <w:rsid w:val="005F3BF7"/>
    <w:rsid w:val="005F5C46"/>
    <w:rsid w:val="005F6862"/>
    <w:rsid w:val="005F692C"/>
    <w:rsid w:val="006005E1"/>
    <w:rsid w:val="00603497"/>
    <w:rsid w:val="00606187"/>
    <w:rsid w:val="00606233"/>
    <w:rsid w:val="00607433"/>
    <w:rsid w:val="006075A8"/>
    <w:rsid w:val="006133F9"/>
    <w:rsid w:val="006143F7"/>
    <w:rsid w:val="00614A8A"/>
    <w:rsid w:val="00614D93"/>
    <w:rsid w:val="00615E2F"/>
    <w:rsid w:val="00616197"/>
    <w:rsid w:val="0061692C"/>
    <w:rsid w:val="00617EE7"/>
    <w:rsid w:val="00620102"/>
    <w:rsid w:val="00621EED"/>
    <w:rsid w:val="00621F80"/>
    <w:rsid w:val="0062332F"/>
    <w:rsid w:val="006236B5"/>
    <w:rsid w:val="0062408A"/>
    <w:rsid w:val="0062459B"/>
    <w:rsid w:val="006256B3"/>
    <w:rsid w:val="0063159F"/>
    <w:rsid w:val="00632C39"/>
    <w:rsid w:val="00634903"/>
    <w:rsid w:val="00635529"/>
    <w:rsid w:val="00636993"/>
    <w:rsid w:val="006369F5"/>
    <w:rsid w:val="00641393"/>
    <w:rsid w:val="00643C1D"/>
    <w:rsid w:val="006442A8"/>
    <w:rsid w:val="00645F81"/>
    <w:rsid w:val="006464DF"/>
    <w:rsid w:val="0064772C"/>
    <w:rsid w:val="00660FE6"/>
    <w:rsid w:val="006614AB"/>
    <w:rsid w:val="00664417"/>
    <w:rsid w:val="00664A7C"/>
    <w:rsid w:val="00664CB0"/>
    <w:rsid w:val="0067060A"/>
    <w:rsid w:val="0067139A"/>
    <w:rsid w:val="006718DE"/>
    <w:rsid w:val="00671A28"/>
    <w:rsid w:val="00672B39"/>
    <w:rsid w:val="006754B1"/>
    <w:rsid w:val="00677BC1"/>
    <w:rsid w:val="00677D65"/>
    <w:rsid w:val="0068136D"/>
    <w:rsid w:val="006855F9"/>
    <w:rsid w:val="00686634"/>
    <w:rsid w:val="00686C85"/>
    <w:rsid w:val="00687894"/>
    <w:rsid w:val="00690B46"/>
    <w:rsid w:val="00691495"/>
    <w:rsid w:val="00692C8D"/>
    <w:rsid w:val="006937A9"/>
    <w:rsid w:val="006937FF"/>
    <w:rsid w:val="00694076"/>
    <w:rsid w:val="0069713C"/>
    <w:rsid w:val="006971EB"/>
    <w:rsid w:val="00697332"/>
    <w:rsid w:val="0069753B"/>
    <w:rsid w:val="006A0C3F"/>
    <w:rsid w:val="006A1F00"/>
    <w:rsid w:val="006A4CE7"/>
    <w:rsid w:val="006A5BE3"/>
    <w:rsid w:val="006A77DA"/>
    <w:rsid w:val="006A7842"/>
    <w:rsid w:val="006B268C"/>
    <w:rsid w:val="006B3CFF"/>
    <w:rsid w:val="006B5C26"/>
    <w:rsid w:val="006C0202"/>
    <w:rsid w:val="006C4495"/>
    <w:rsid w:val="006C5424"/>
    <w:rsid w:val="006C72D1"/>
    <w:rsid w:val="006C7E5C"/>
    <w:rsid w:val="006D0781"/>
    <w:rsid w:val="006D36A4"/>
    <w:rsid w:val="006D3C5E"/>
    <w:rsid w:val="006D682A"/>
    <w:rsid w:val="006D6CE7"/>
    <w:rsid w:val="006E0D73"/>
    <w:rsid w:val="006E1B57"/>
    <w:rsid w:val="006E26C8"/>
    <w:rsid w:val="006E3E1C"/>
    <w:rsid w:val="006E444B"/>
    <w:rsid w:val="006E5E94"/>
    <w:rsid w:val="00700547"/>
    <w:rsid w:val="007035B7"/>
    <w:rsid w:val="007041FA"/>
    <w:rsid w:val="007052C6"/>
    <w:rsid w:val="00712CB2"/>
    <w:rsid w:val="007170B8"/>
    <w:rsid w:val="007204C6"/>
    <w:rsid w:val="0072052C"/>
    <w:rsid w:val="0072291F"/>
    <w:rsid w:val="00722BA3"/>
    <w:rsid w:val="0072483E"/>
    <w:rsid w:val="0072628F"/>
    <w:rsid w:val="00731037"/>
    <w:rsid w:val="00733D65"/>
    <w:rsid w:val="00733DB8"/>
    <w:rsid w:val="00734B3A"/>
    <w:rsid w:val="007350F8"/>
    <w:rsid w:val="00740681"/>
    <w:rsid w:val="00743D2D"/>
    <w:rsid w:val="0075022D"/>
    <w:rsid w:val="0075098F"/>
    <w:rsid w:val="00751418"/>
    <w:rsid w:val="007518A0"/>
    <w:rsid w:val="007562CD"/>
    <w:rsid w:val="0075679B"/>
    <w:rsid w:val="0075722A"/>
    <w:rsid w:val="00760BBC"/>
    <w:rsid w:val="00764656"/>
    <w:rsid w:val="0076540C"/>
    <w:rsid w:val="00766DBF"/>
    <w:rsid w:val="00767333"/>
    <w:rsid w:val="00771D34"/>
    <w:rsid w:val="00774C73"/>
    <w:rsid w:val="007758E5"/>
    <w:rsid w:val="00775C7D"/>
    <w:rsid w:val="00776DCD"/>
    <w:rsid w:val="00776E2B"/>
    <w:rsid w:val="007810FB"/>
    <w:rsid w:val="00783F95"/>
    <w:rsid w:val="007848B0"/>
    <w:rsid w:val="00784EE2"/>
    <w:rsid w:val="00792412"/>
    <w:rsid w:val="00792B54"/>
    <w:rsid w:val="00792D06"/>
    <w:rsid w:val="00794862"/>
    <w:rsid w:val="00795347"/>
    <w:rsid w:val="00795A1F"/>
    <w:rsid w:val="00796405"/>
    <w:rsid w:val="007A05DA"/>
    <w:rsid w:val="007A1A33"/>
    <w:rsid w:val="007A6C2D"/>
    <w:rsid w:val="007A76D8"/>
    <w:rsid w:val="007A7C1B"/>
    <w:rsid w:val="007A7C86"/>
    <w:rsid w:val="007B0625"/>
    <w:rsid w:val="007B1359"/>
    <w:rsid w:val="007B2A0D"/>
    <w:rsid w:val="007B3EE3"/>
    <w:rsid w:val="007B4AC8"/>
    <w:rsid w:val="007B5CD0"/>
    <w:rsid w:val="007B5FFB"/>
    <w:rsid w:val="007B733A"/>
    <w:rsid w:val="007C04B3"/>
    <w:rsid w:val="007C09AE"/>
    <w:rsid w:val="007C28DC"/>
    <w:rsid w:val="007C30E0"/>
    <w:rsid w:val="007D0A2C"/>
    <w:rsid w:val="007D1212"/>
    <w:rsid w:val="007D179D"/>
    <w:rsid w:val="007D5795"/>
    <w:rsid w:val="007D5E31"/>
    <w:rsid w:val="007D66BC"/>
    <w:rsid w:val="007D676F"/>
    <w:rsid w:val="007D6C26"/>
    <w:rsid w:val="007E2203"/>
    <w:rsid w:val="007E28C5"/>
    <w:rsid w:val="007E2BE3"/>
    <w:rsid w:val="007E2F2E"/>
    <w:rsid w:val="007E359D"/>
    <w:rsid w:val="007E6293"/>
    <w:rsid w:val="007E667F"/>
    <w:rsid w:val="007F0B7D"/>
    <w:rsid w:val="007F1105"/>
    <w:rsid w:val="007F2F7A"/>
    <w:rsid w:val="007F60E4"/>
    <w:rsid w:val="007F65A8"/>
    <w:rsid w:val="007F7947"/>
    <w:rsid w:val="00801D8E"/>
    <w:rsid w:val="00801F66"/>
    <w:rsid w:val="00802C5F"/>
    <w:rsid w:val="00803538"/>
    <w:rsid w:val="00804B09"/>
    <w:rsid w:val="00804DCD"/>
    <w:rsid w:val="00806A8C"/>
    <w:rsid w:val="00807688"/>
    <w:rsid w:val="00811E72"/>
    <w:rsid w:val="008132B0"/>
    <w:rsid w:val="008161A3"/>
    <w:rsid w:val="008171C0"/>
    <w:rsid w:val="008175B7"/>
    <w:rsid w:val="00820F4A"/>
    <w:rsid w:val="008222E1"/>
    <w:rsid w:val="008223D2"/>
    <w:rsid w:val="00822F4A"/>
    <w:rsid w:val="008235D1"/>
    <w:rsid w:val="00823C76"/>
    <w:rsid w:val="008246B9"/>
    <w:rsid w:val="00826F9E"/>
    <w:rsid w:val="008305DA"/>
    <w:rsid w:val="00831090"/>
    <w:rsid w:val="00831BC6"/>
    <w:rsid w:val="00832224"/>
    <w:rsid w:val="008325BE"/>
    <w:rsid w:val="00833140"/>
    <w:rsid w:val="00833A57"/>
    <w:rsid w:val="00833BC0"/>
    <w:rsid w:val="008347E5"/>
    <w:rsid w:val="00840636"/>
    <w:rsid w:val="0084239D"/>
    <w:rsid w:val="0084583D"/>
    <w:rsid w:val="008460F4"/>
    <w:rsid w:val="00847D28"/>
    <w:rsid w:val="00851175"/>
    <w:rsid w:val="00851C66"/>
    <w:rsid w:val="00851E5D"/>
    <w:rsid w:val="0085205A"/>
    <w:rsid w:val="008578FC"/>
    <w:rsid w:val="00857A77"/>
    <w:rsid w:val="00861E76"/>
    <w:rsid w:val="008621B4"/>
    <w:rsid w:val="00863347"/>
    <w:rsid w:val="0086414A"/>
    <w:rsid w:val="00864B47"/>
    <w:rsid w:val="00865555"/>
    <w:rsid w:val="00867823"/>
    <w:rsid w:val="00867AF6"/>
    <w:rsid w:val="00871EBE"/>
    <w:rsid w:val="00872D5A"/>
    <w:rsid w:val="00875A89"/>
    <w:rsid w:val="00876A47"/>
    <w:rsid w:val="00876E50"/>
    <w:rsid w:val="00880954"/>
    <w:rsid w:val="00883805"/>
    <w:rsid w:val="00884C05"/>
    <w:rsid w:val="00890A87"/>
    <w:rsid w:val="0089131D"/>
    <w:rsid w:val="0089529C"/>
    <w:rsid w:val="008978EC"/>
    <w:rsid w:val="00897E0D"/>
    <w:rsid w:val="008A1935"/>
    <w:rsid w:val="008A25A6"/>
    <w:rsid w:val="008A2C06"/>
    <w:rsid w:val="008A45C5"/>
    <w:rsid w:val="008A5331"/>
    <w:rsid w:val="008A5A40"/>
    <w:rsid w:val="008B0B14"/>
    <w:rsid w:val="008B0ED4"/>
    <w:rsid w:val="008B298B"/>
    <w:rsid w:val="008B3E06"/>
    <w:rsid w:val="008B500A"/>
    <w:rsid w:val="008C0826"/>
    <w:rsid w:val="008C0F8A"/>
    <w:rsid w:val="008C12D9"/>
    <w:rsid w:val="008C3AED"/>
    <w:rsid w:val="008C4E80"/>
    <w:rsid w:val="008C72F6"/>
    <w:rsid w:val="008D3AEB"/>
    <w:rsid w:val="008D3C12"/>
    <w:rsid w:val="008D5788"/>
    <w:rsid w:val="008D724C"/>
    <w:rsid w:val="008E13D1"/>
    <w:rsid w:val="008E1C95"/>
    <w:rsid w:val="008E4987"/>
    <w:rsid w:val="008E55EF"/>
    <w:rsid w:val="008E64F7"/>
    <w:rsid w:val="008F1470"/>
    <w:rsid w:val="008F14BD"/>
    <w:rsid w:val="008F20CA"/>
    <w:rsid w:val="008F224B"/>
    <w:rsid w:val="008F2FFB"/>
    <w:rsid w:val="008F32CB"/>
    <w:rsid w:val="008F34CA"/>
    <w:rsid w:val="008F4A74"/>
    <w:rsid w:val="008F4F4E"/>
    <w:rsid w:val="008F5BB3"/>
    <w:rsid w:val="008F7832"/>
    <w:rsid w:val="008F799C"/>
    <w:rsid w:val="008F7C30"/>
    <w:rsid w:val="00901840"/>
    <w:rsid w:val="00901D5A"/>
    <w:rsid w:val="009054F2"/>
    <w:rsid w:val="00911BA2"/>
    <w:rsid w:val="00912815"/>
    <w:rsid w:val="0091427B"/>
    <w:rsid w:val="00916DFF"/>
    <w:rsid w:val="00917220"/>
    <w:rsid w:val="00917484"/>
    <w:rsid w:val="009204AC"/>
    <w:rsid w:val="00920945"/>
    <w:rsid w:val="00921C05"/>
    <w:rsid w:val="009224EE"/>
    <w:rsid w:val="00922C44"/>
    <w:rsid w:val="00926C91"/>
    <w:rsid w:val="00926E6C"/>
    <w:rsid w:val="00926FE1"/>
    <w:rsid w:val="00930B3B"/>
    <w:rsid w:val="009330DC"/>
    <w:rsid w:val="00933249"/>
    <w:rsid w:val="00934F31"/>
    <w:rsid w:val="0093638C"/>
    <w:rsid w:val="00942525"/>
    <w:rsid w:val="009457AE"/>
    <w:rsid w:val="009478A2"/>
    <w:rsid w:val="009500AA"/>
    <w:rsid w:val="009508A9"/>
    <w:rsid w:val="00951409"/>
    <w:rsid w:val="009544F3"/>
    <w:rsid w:val="00955151"/>
    <w:rsid w:val="00956001"/>
    <w:rsid w:val="00963F0A"/>
    <w:rsid w:val="009652BF"/>
    <w:rsid w:val="00965CED"/>
    <w:rsid w:val="00966127"/>
    <w:rsid w:val="00967CE4"/>
    <w:rsid w:val="00972363"/>
    <w:rsid w:val="009732A0"/>
    <w:rsid w:val="00973FF9"/>
    <w:rsid w:val="00974E46"/>
    <w:rsid w:val="00975330"/>
    <w:rsid w:val="00975882"/>
    <w:rsid w:val="00976D44"/>
    <w:rsid w:val="00977F5E"/>
    <w:rsid w:val="009806DF"/>
    <w:rsid w:val="00981F46"/>
    <w:rsid w:val="0098286F"/>
    <w:rsid w:val="009847F3"/>
    <w:rsid w:val="00985902"/>
    <w:rsid w:val="00986836"/>
    <w:rsid w:val="009911C2"/>
    <w:rsid w:val="00995C82"/>
    <w:rsid w:val="009A03A6"/>
    <w:rsid w:val="009A0966"/>
    <w:rsid w:val="009A115F"/>
    <w:rsid w:val="009A1ECE"/>
    <w:rsid w:val="009A2086"/>
    <w:rsid w:val="009A2888"/>
    <w:rsid w:val="009A3A55"/>
    <w:rsid w:val="009A4EDE"/>
    <w:rsid w:val="009A70DA"/>
    <w:rsid w:val="009B130F"/>
    <w:rsid w:val="009B1859"/>
    <w:rsid w:val="009C0DC5"/>
    <w:rsid w:val="009C2BE6"/>
    <w:rsid w:val="009C2C17"/>
    <w:rsid w:val="009C33AB"/>
    <w:rsid w:val="009C44CB"/>
    <w:rsid w:val="009D1C6E"/>
    <w:rsid w:val="009D3374"/>
    <w:rsid w:val="009D4FEA"/>
    <w:rsid w:val="009D53E9"/>
    <w:rsid w:val="009D60BC"/>
    <w:rsid w:val="009D6337"/>
    <w:rsid w:val="009D69F0"/>
    <w:rsid w:val="009D7A59"/>
    <w:rsid w:val="009E264F"/>
    <w:rsid w:val="009E33DD"/>
    <w:rsid w:val="009E5175"/>
    <w:rsid w:val="009E576E"/>
    <w:rsid w:val="009E6C37"/>
    <w:rsid w:val="009E75B8"/>
    <w:rsid w:val="009F057C"/>
    <w:rsid w:val="009F084B"/>
    <w:rsid w:val="009F0C0F"/>
    <w:rsid w:val="009F2ABF"/>
    <w:rsid w:val="009F4F09"/>
    <w:rsid w:val="009F4F5C"/>
    <w:rsid w:val="009F70FE"/>
    <w:rsid w:val="009F7100"/>
    <w:rsid w:val="009F767D"/>
    <w:rsid w:val="00A00129"/>
    <w:rsid w:val="00A023CF"/>
    <w:rsid w:val="00A078A4"/>
    <w:rsid w:val="00A101BD"/>
    <w:rsid w:val="00A11E94"/>
    <w:rsid w:val="00A1236E"/>
    <w:rsid w:val="00A14802"/>
    <w:rsid w:val="00A179EF"/>
    <w:rsid w:val="00A17C12"/>
    <w:rsid w:val="00A20503"/>
    <w:rsid w:val="00A21FBB"/>
    <w:rsid w:val="00A22319"/>
    <w:rsid w:val="00A25BA2"/>
    <w:rsid w:val="00A2635F"/>
    <w:rsid w:val="00A30B03"/>
    <w:rsid w:val="00A30B54"/>
    <w:rsid w:val="00A310A5"/>
    <w:rsid w:val="00A4065E"/>
    <w:rsid w:val="00A41124"/>
    <w:rsid w:val="00A43316"/>
    <w:rsid w:val="00A43401"/>
    <w:rsid w:val="00A4763E"/>
    <w:rsid w:val="00A50C75"/>
    <w:rsid w:val="00A55041"/>
    <w:rsid w:val="00A63957"/>
    <w:rsid w:val="00A6508D"/>
    <w:rsid w:val="00A7060E"/>
    <w:rsid w:val="00A708A6"/>
    <w:rsid w:val="00A75B92"/>
    <w:rsid w:val="00A77A23"/>
    <w:rsid w:val="00A806C8"/>
    <w:rsid w:val="00A86EEF"/>
    <w:rsid w:val="00A90172"/>
    <w:rsid w:val="00A91209"/>
    <w:rsid w:val="00A91F17"/>
    <w:rsid w:val="00A9294E"/>
    <w:rsid w:val="00A92A7C"/>
    <w:rsid w:val="00A96F0F"/>
    <w:rsid w:val="00AA000D"/>
    <w:rsid w:val="00AA23EC"/>
    <w:rsid w:val="00AA33D7"/>
    <w:rsid w:val="00AA538E"/>
    <w:rsid w:val="00AB0753"/>
    <w:rsid w:val="00AC0EEC"/>
    <w:rsid w:val="00AC46E9"/>
    <w:rsid w:val="00AC487C"/>
    <w:rsid w:val="00AD054E"/>
    <w:rsid w:val="00AD7265"/>
    <w:rsid w:val="00AE01D3"/>
    <w:rsid w:val="00AE0CB3"/>
    <w:rsid w:val="00AE2F1F"/>
    <w:rsid w:val="00AE3EAF"/>
    <w:rsid w:val="00AE579A"/>
    <w:rsid w:val="00AE635A"/>
    <w:rsid w:val="00AF0332"/>
    <w:rsid w:val="00AF1921"/>
    <w:rsid w:val="00AF1B79"/>
    <w:rsid w:val="00AF2BBB"/>
    <w:rsid w:val="00AF46E9"/>
    <w:rsid w:val="00AF6B3C"/>
    <w:rsid w:val="00AF6FA8"/>
    <w:rsid w:val="00AF7F35"/>
    <w:rsid w:val="00B0025A"/>
    <w:rsid w:val="00B01065"/>
    <w:rsid w:val="00B0411E"/>
    <w:rsid w:val="00B04FEF"/>
    <w:rsid w:val="00B07DA4"/>
    <w:rsid w:val="00B1063C"/>
    <w:rsid w:val="00B11859"/>
    <w:rsid w:val="00B128FC"/>
    <w:rsid w:val="00B13461"/>
    <w:rsid w:val="00B13575"/>
    <w:rsid w:val="00B150E0"/>
    <w:rsid w:val="00B160B6"/>
    <w:rsid w:val="00B1736C"/>
    <w:rsid w:val="00B17BB1"/>
    <w:rsid w:val="00B17F12"/>
    <w:rsid w:val="00B2062C"/>
    <w:rsid w:val="00B22F7B"/>
    <w:rsid w:val="00B23DB9"/>
    <w:rsid w:val="00B300DB"/>
    <w:rsid w:val="00B34025"/>
    <w:rsid w:val="00B35A13"/>
    <w:rsid w:val="00B37F26"/>
    <w:rsid w:val="00B419FB"/>
    <w:rsid w:val="00B41FB8"/>
    <w:rsid w:val="00B442CA"/>
    <w:rsid w:val="00B4731C"/>
    <w:rsid w:val="00B4789C"/>
    <w:rsid w:val="00B51B54"/>
    <w:rsid w:val="00B524A4"/>
    <w:rsid w:val="00B5463E"/>
    <w:rsid w:val="00B54D77"/>
    <w:rsid w:val="00B55CC4"/>
    <w:rsid w:val="00B57CF2"/>
    <w:rsid w:val="00B60268"/>
    <w:rsid w:val="00B60377"/>
    <w:rsid w:val="00B60B6E"/>
    <w:rsid w:val="00B61D42"/>
    <w:rsid w:val="00B635B5"/>
    <w:rsid w:val="00B63824"/>
    <w:rsid w:val="00B640CF"/>
    <w:rsid w:val="00B708FB"/>
    <w:rsid w:val="00B724AE"/>
    <w:rsid w:val="00B76D56"/>
    <w:rsid w:val="00B81A87"/>
    <w:rsid w:val="00B86E05"/>
    <w:rsid w:val="00B916E6"/>
    <w:rsid w:val="00B920B6"/>
    <w:rsid w:val="00B93A74"/>
    <w:rsid w:val="00B969DE"/>
    <w:rsid w:val="00BA005B"/>
    <w:rsid w:val="00BA18E9"/>
    <w:rsid w:val="00BA18F9"/>
    <w:rsid w:val="00BA3FBE"/>
    <w:rsid w:val="00BA44B1"/>
    <w:rsid w:val="00BA4B07"/>
    <w:rsid w:val="00BA6D28"/>
    <w:rsid w:val="00BA7628"/>
    <w:rsid w:val="00BA795E"/>
    <w:rsid w:val="00BB118F"/>
    <w:rsid w:val="00BB2C5A"/>
    <w:rsid w:val="00BB3B12"/>
    <w:rsid w:val="00BB511B"/>
    <w:rsid w:val="00BB62F1"/>
    <w:rsid w:val="00BC02E9"/>
    <w:rsid w:val="00BC035D"/>
    <w:rsid w:val="00BC03EC"/>
    <w:rsid w:val="00BC6D9B"/>
    <w:rsid w:val="00BC7B8B"/>
    <w:rsid w:val="00BD0CC8"/>
    <w:rsid w:val="00BD1961"/>
    <w:rsid w:val="00BD26D9"/>
    <w:rsid w:val="00BD30BD"/>
    <w:rsid w:val="00BD3632"/>
    <w:rsid w:val="00BD3C84"/>
    <w:rsid w:val="00BD4871"/>
    <w:rsid w:val="00BD4912"/>
    <w:rsid w:val="00BD6981"/>
    <w:rsid w:val="00BD7537"/>
    <w:rsid w:val="00BD7AF6"/>
    <w:rsid w:val="00BE0918"/>
    <w:rsid w:val="00BE0FFA"/>
    <w:rsid w:val="00BE1D07"/>
    <w:rsid w:val="00BE2E3A"/>
    <w:rsid w:val="00BE3722"/>
    <w:rsid w:val="00BE6082"/>
    <w:rsid w:val="00BE6C9E"/>
    <w:rsid w:val="00BF0170"/>
    <w:rsid w:val="00BF0D4D"/>
    <w:rsid w:val="00BF2FDC"/>
    <w:rsid w:val="00BF5FBA"/>
    <w:rsid w:val="00BF63C3"/>
    <w:rsid w:val="00BF79A8"/>
    <w:rsid w:val="00C01E96"/>
    <w:rsid w:val="00C02843"/>
    <w:rsid w:val="00C04191"/>
    <w:rsid w:val="00C07E95"/>
    <w:rsid w:val="00C10F2A"/>
    <w:rsid w:val="00C1768B"/>
    <w:rsid w:val="00C177A0"/>
    <w:rsid w:val="00C17CA1"/>
    <w:rsid w:val="00C17F9C"/>
    <w:rsid w:val="00C2142F"/>
    <w:rsid w:val="00C21A68"/>
    <w:rsid w:val="00C22A8F"/>
    <w:rsid w:val="00C25C59"/>
    <w:rsid w:val="00C2679C"/>
    <w:rsid w:val="00C2722D"/>
    <w:rsid w:val="00C27928"/>
    <w:rsid w:val="00C31B8A"/>
    <w:rsid w:val="00C31E6D"/>
    <w:rsid w:val="00C36077"/>
    <w:rsid w:val="00C37175"/>
    <w:rsid w:val="00C40925"/>
    <w:rsid w:val="00C42578"/>
    <w:rsid w:val="00C43C62"/>
    <w:rsid w:val="00C447B0"/>
    <w:rsid w:val="00C45EA3"/>
    <w:rsid w:val="00C46265"/>
    <w:rsid w:val="00C47596"/>
    <w:rsid w:val="00C51F54"/>
    <w:rsid w:val="00C5437F"/>
    <w:rsid w:val="00C57EB1"/>
    <w:rsid w:val="00C60649"/>
    <w:rsid w:val="00C61008"/>
    <w:rsid w:val="00C6124F"/>
    <w:rsid w:val="00C628AD"/>
    <w:rsid w:val="00C64DC7"/>
    <w:rsid w:val="00C65076"/>
    <w:rsid w:val="00C6639B"/>
    <w:rsid w:val="00C716EE"/>
    <w:rsid w:val="00C71A54"/>
    <w:rsid w:val="00C73866"/>
    <w:rsid w:val="00C76DC3"/>
    <w:rsid w:val="00C777FC"/>
    <w:rsid w:val="00C80061"/>
    <w:rsid w:val="00C801BA"/>
    <w:rsid w:val="00C8022D"/>
    <w:rsid w:val="00C80870"/>
    <w:rsid w:val="00C80B0C"/>
    <w:rsid w:val="00C81E0D"/>
    <w:rsid w:val="00C82C45"/>
    <w:rsid w:val="00C8375F"/>
    <w:rsid w:val="00C86A86"/>
    <w:rsid w:val="00C903A4"/>
    <w:rsid w:val="00C93144"/>
    <w:rsid w:val="00C94A07"/>
    <w:rsid w:val="00C9583B"/>
    <w:rsid w:val="00C97122"/>
    <w:rsid w:val="00C97CFA"/>
    <w:rsid w:val="00CA0161"/>
    <w:rsid w:val="00CA01B5"/>
    <w:rsid w:val="00CA0BE7"/>
    <w:rsid w:val="00CA3204"/>
    <w:rsid w:val="00CA3F6B"/>
    <w:rsid w:val="00CA473C"/>
    <w:rsid w:val="00CA558E"/>
    <w:rsid w:val="00CA59CA"/>
    <w:rsid w:val="00CA6B4B"/>
    <w:rsid w:val="00CB47D4"/>
    <w:rsid w:val="00CB5E0B"/>
    <w:rsid w:val="00CB60F8"/>
    <w:rsid w:val="00CB7F42"/>
    <w:rsid w:val="00CC1B06"/>
    <w:rsid w:val="00CC1C1F"/>
    <w:rsid w:val="00CC3039"/>
    <w:rsid w:val="00CC585A"/>
    <w:rsid w:val="00CC5A69"/>
    <w:rsid w:val="00CC5ABE"/>
    <w:rsid w:val="00CC687F"/>
    <w:rsid w:val="00CD1DB1"/>
    <w:rsid w:val="00CD2AFC"/>
    <w:rsid w:val="00CD2B42"/>
    <w:rsid w:val="00CD30D3"/>
    <w:rsid w:val="00CD32DA"/>
    <w:rsid w:val="00CD373D"/>
    <w:rsid w:val="00CD3C34"/>
    <w:rsid w:val="00CD3DE0"/>
    <w:rsid w:val="00CD5B74"/>
    <w:rsid w:val="00CD7AF7"/>
    <w:rsid w:val="00CE279B"/>
    <w:rsid w:val="00CE603E"/>
    <w:rsid w:val="00CE7CB5"/>
    <w:rsid w:val="00CF19D0"/>
    <w:rsid w:val="00CF3853"/>
    <w:rsid w:val="00CF436D"/>
    <w:rsid w:val="00CF6857"/>
    <w:rsid w:val="00D019AC"/>
    <w:rsid w:val="00D03D34"/>
    <w:rsid w:val="00D03D97"/>
    <w:rsid w:val="00D03DF0"/>
    <w:rsid w:val="00D052AC"/>
    <w:rsid w:val="00D0570F"/>
    <w:rsid w:val="00D06B13"/>
    <w:rsid w:val="00D075AA"/>
    <w:rsid w:val="00D117D2"/>
    <w:rsid w:val="00D12119"/>
    <w:rsid w:val="00D15A9B"/>
    <w:rsid w:val="00D17E60"/>
    <w:rsid w:val="00D21D94"/>
    <w:rsid w:val="00D21E7B"/>
    <w:rsid w:val="00D221A3"/>
    <w:rsid w:val="00D256FD"/>
    <w:rsid w:val="00D27D29"/>
    <w:rsid w:val="00D30867"/>
    <w:rsid w:val="00D31C80"/>
    <w:rsid w:val="00D324CB"/>
    <w:rsid w:val="00D32719"/>
    <w:rsid w:val="00D3335B"/>
    <w:rsid w:val="00D33AE3"/>
    <w:rsid w:val="00D34B7A"/>
    <w:rsid w:val="00D36BAE"/>
    <w:rsid w:val="00D43011"/>
    <w:rsid w:val="00D50CF5"/>
    <w:rsid w:val="00D518CD"/>
    <w:rsid w:val="00D51B4F"/>
    <w:rsid w:val="00D51B5B"/>
    <w:rsid w:val="00D52A0A"/>
    <w:rsid w:val="00D5335A"/>
    <w:rsid w:val="00D53727"/>
    <w:rsid w:val="00D55D0D"/>
    <w:rsid w:val="00D565C5"/>
    <w:rsid w:val="00D57696"/>
    <w:rsid w:val="00D6393A"/>
    <w:rsid w:val="00D63B6E"/>
    <w:rsid w:val="00D65FE3"/>
    <w:rsid w:val="00D70EF8"/>
    <w:rsid w:val="00D7102D"/>
    <w:rsid w:val="00D756A8"/>
    <w:rsid w:val="00D76F1A"/>
    <w:rsid w:val="00D807E0"/>
    <w:rsid w:val="00D811D8"/>
    <w:rsid w:val="00D82D12"/>
    <w:rsid w:val="00D8356D"/>
    <w:rsid w:val="00D83E13"/>
    <w:rsid w:val="00D86769"/>
    <w:rsid w:val="00D96F7E"/>
    <w:rsid w:val="00D97F31"/>
    <w:rsid w:val="00DA060D"/>
    <w:rsid w:val="00DA142A"/>
    <w:rsid w:val="00DA2B48"/>
    <w:rsid w:val="00DA2BFB"/>
    <w:rsid w:val="00DA515E"/>
    <w:rsid w:val="00DA5B83"/>
    <w:rsid w:val="00DA7878"/>
    <w:rsid w:val="00DB4D2F"/>
    <w:rsid w:val="00DB78DD"/>
    <w:rsid w:val="00DC3780"/>
    <w:rsid w:val="00DD4036"/>
    <w:rsid w:val="00DD5C7C"/>
    <w:rsid w:val="00DE0437"/>
    <w:rsid w:val="00DE3E86"/>
    <w:rsid w:val="00DF2790"/>
    <w:rsid w:val="00DF4B0F"/>
    <w:rsid w:val="00DF4E85"/>
    <w:rsid w:val="00DF59CB"/>
    <w:rsid w:val="00E00852"/>
    <w:rsid w:val="00E00C15"/>
    <w:rsid w:val="00E03C35"/>
    <w:rsid w:val="00E04149"/>
    <w:rsid w:val="00E06605"/>
    <w:rsid w:val="00E12AD4"/>
    <w:rsid w:val="00E137F1"/>
    <w:rsid w:val="00E20F45"/>
    <w:rsid w:val="00E2168B"/>
    <w:rsid w:val="00E273AA"/>
    <w:rsid w:val="00E273B5"/>
    <w:rsid w:val="00E3122B"/>
    <w:rsid w:val="00E35ABB"/>
    <w:rsid w:val="00E36AF7"/>
    <w:rsid w:val="00E37247"/>
    <w:rsid w:val="00E3743D"/>
    <w:rsid w:val="00E37CC9"/>
    <w:rsid w:val="00E40A18"/>
    <w:rsid w:val="00E41F7E"/>
    <w:rsid w:val="00E420E6"/>
    <w:rsid w:val="00E42D2C"/>
    <w:rsid w:val="00E450C3"/>
    <w:rsid w:val="00E45EE0"/>
    <w:rsid w:val="00E46CA5"/>
    <w:rsid w:val="00E47F05"/>
    <w:rsid w:val="00E5256F"/>
    <w:rsid w:val="00E555A6"/>
    <w:rsid w:val="00E55FC9"/>
    <w:rsid w:val="00E601F6"/>
    <w:rsid w:val="00E627DF"/>
    <w:rsid w:val="00E62C34"/>
    <w:rsid w:val="00E62CF2"/>
    <w:rsid w:val="00E640DE"/>
    <w:rsid w:val="00E64640"/>
    <w:rsid w:val="00E670FC"/>
    <w:rsid w:val="00E67D12"/>
    <w:rsid w:val="00E67E9D"/>
    <w:rsid w:val="00E730A4"/>
    <w:rsid w:val="00E76F91"/>
    <w:rsid w:val="00E77587"/>
    <w:rsid w:val="00E806EA"/>
    <w:rsid w:val="00E83768"/>
    <w:rsid w:val="00E84618"/>
    <w:rsid w:val="00E84753"/>
    <w:rsid w:val="00E861A9"/>
    <w:rsid w:val="00E8688C"/>
    <w:rsid w:val="00E8696F"/>
    <w:rsid w:val="00E9456B"/>
    <w:rsid w:val="00E9646E"/>
    <w:rsid w:val="00EA1541"/>
    <w:rsid w:val="00EA39F8"/>
    <w:rsid w:val="00EA6937"/>
    <w:rsid w:val="00EA7F6C"/>
    <w:rsid w:val="00EB1872"/>
    <w:rsid w:val="00EB1C83"/>
    <w:rsid w:val="00EB5684"/>
    <w:rsid w:val="00EC02FD"/>
    <w:rsid w:val="00EC0890"/>
    <w:rsid w:val="00EC10CF"/>
    <w:rsid w:val="00EC2440"/>
    <w:rsid w:val="00EC4C2F"/>
    <w:rsid w:val="00EC78E2"/>
    <w:rsid w:val="00ED0AF0"/>
    <w:rsid w:val="00ED0C5A"/>
    <w:rsid w:val="00ED2703"/>
    <w:rsid w:val="00ED3216"/>
    <w:rsid w:val="00ED59F3"/>
    <w:rsid w:val="00ED61A5"/>
    <w:rsid w:val="00EE19E4"/>
    <w:rsid w:val="00EE5A73"/>
    <w:rsid w:val="00EE676D"/>
    <w:rsid w:val="00EE7C5E"/>
    <w:rsid w:val="00EF0220"/>
    <w:rsid w:val="00EF0747"/>
    <w:rsid w:val="00EF1597"/>
    <w:rsid w:val="00EF3891"/>
    <w:rsid w:val="00EF3FF7"/>
    <w:rsid w:val="00EF402C"/>
    <w:rsid w:val="00EF51B5"/>
    <w:rsid w:val="00F00557"/>
    <w:rsid w:val="00F00AE7"/>
    <w:rsid w:val="00F01CD3"/>
    <w:rsid w:val="00F0239F"/>
    <w:rsid w:val="00F0494B"/>
    <w:rsid w:val="00F04E47"/>
    <w:rsid w:val="00F07569"/>
    <w:rsid w:val="00F124CB"/>
    <w:rsid w:val="00F12644"/>
    <w:rsid w:val="00F13F82"/>
    <w:rsid w:val="00F14F22"/>
    <w:rsid w:val="00F15248"/>
    <w:rsid w:val="00F15F0E"/>
    <w:rsid w:val="00F16DA3"/>
    <w:rsid w:val="00F21E80"/>
    <w:rsid w:val="00F22424"/>
    <w:rsid w:val="00F22D03"/>
    <w:rsid w:val="00F22EE6"/>
    <w:rsid w:val="00F23231"/>
    <w:rsid w:val="00F2550A"/>
    <w:rsid w:val="00F255AE"/>
    <w:rsid w:val="00F27916"/>
    <w:rsid w:val="00F30160"/>
    <w:rsid w:val="00F30F4E"/>
    <w:rsid w:val="00F3103B"/>
    <w:rsid w:val="00F31B4F"/>
    <w:rsid w:val="00F3220D"/>
    <w:rsid w:val="00F336A9"/>
    <w:rsid w:val="00F338D8"/>
    <w:rsid w:val="00F34ECE"/>
    <w:rsid w:val="00F35757"/>
    <w:rsid w:val="00F36F33"/>
    <w:rsid w:val="00F3736A"/>
    <w:rsid w:val="00F40465"/>
    <w:rsid w:val="00F42825"/>
    <w:rsid w:val="00F42955"/>
    <w:rsid w:val="00F42D44"/>
    <w:rsid w:val="00F43B11"/>
    <w:rsid w:val="00F44D8B"/>
    <w:rsid w:val="00F4598F"/>
    <w:rsid w:val="00F52207"/>
    <w:rsid w:val="00F54D05"/>
    <w:rsid w:val="00F55DB9"/>
    <w:rsid w:val="00F6146B"/>
    <w:rsid w:val="00F61BD7"/>
    <w:rsid w:val="00F62579"/>
    <w:rsid w:val="00F65525"/>
    <w:rsid w:val="00F665D5"/>
    <w:rsid w:val="00F67369"/>
    <w:rsid w:val="00F710A6"/>
    <w:rsid w:val="00F7651D"/>
    <w:rsid w:val="00F8771E"/>
    <w:rsid w:val="00F91F18"/>
    <w:rsid w:val="00F929F6"/>
    <w:rsid w:val="00F92EE3"/>
    <w:rsid w:val="00F93F6E"/>
    <w:rsid w:val="00F96B2B"/>
    <w:rsid w:val="00FA0720"/>
    <w:rsid w:val="00FA27A3"/>
    <w:rsid w:val="00FA5E3E"/>
    <w:rsid w:val="00FA61F9"/>
    <w:rsid w:val="00FA7276"/>
    <w:rsid w:val="00FA7FEE"/>
    <w:rsid w:val="00FB253B"/>
    <w:rsid w:val="00FB2B85"/>
    <w:rsid w:val="00FB5511"/>
    <w:rsid w:val="00FC2597"/>
    <w:rsid w:val="00FC3EF7"/>
    <w:rsid w:val="00FC4C41"/>
    <w:rsid w:val="00FC5ADC"/>
    <w:rsid w:val="00FC6943"/>
    <w:rsid w:val="00FD0108"/>
    <w:rsid w:val="00FD1C18"/>
    <w:rsid w:val="00FD48FD"/>
    <w:rsid w:val="00FD5501"/>
    <w:rsid w:val="00FD5C18"/>
    <w:rsid w:val="00FD7213"/>
    <w:rsid w:val="00FD7AEC"/>
    <w:rsid w:val="00FE0052"/>
    <w:rsid w:val="00FE534B"/>
    <w:rsid w:val="00FE635A"/>
    <w:rsid w:val="00FF075F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qFormat/>
    <w:rsid w:val="00F665D5"/>
    <w:pPr>
      <w:keepNext/>
      <w:outlineLvl w:val="0"/>
    </w:pPr>
    <w:rPr>
      <w:rFonts w:ascii="Calibri" w:hAnsi="Calibri" w:cs="Arial"/>
      <w:b/>
      <w:bCs/>
      <w:color w:val="00206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F665D5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F665D5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65D5"/>
    <w:pPr>
      <w:spacing w:before="100" w:beforeAutospacing="1" w:after="100" w:afterAutospacing="1"/>
      <w:jc w:val="both"/>
    </w:pPr>
    <w:rPr>
      <w:rFonts w:asciiTheme="minorHAnsi" w:hAnsiTheme="minorHAnsi"/>
      <w:sz w:val="28"/>
      <w:szCs w:val="24"/>
    </w:rPr>
  </w:style>
  <w:style w:type="paragraph" w:styleId="Nagwek1">
    <w:name w:val="heading 1"/>
    <w:basedOn w:val="Normalny"/>
    <w:next w:val="Normalny"/>
    <w:qFormat/>
    <w:rsid w:val="00F665D5"/>
    <w:pPr>
      <w:keepNext/>
      <w:outlineLvl w:val="0"/>
    </w:pPr>
    <w:rPr>
      <w:rFonts w:ascii="Calibri" w:hAnsi="Calibri" w:cs="Arial"/>
      <w:b/>
      <w:bCs/>
      <w:color w:val="00206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  <w:style w:type="character" w:customStyle="1" w:styleId="ListParagraphChar">
    <w:name w:val="List Paragraph Char"/>
    <w:aliases w:val="Yellow Bullet Char,Normal bullet 2 Char"/>
    <w:basedOn w:val="Domylnaczcionkaakapitu"/>
    <w:link w:val="Akapitzlist1"/>
    <w:uiPriority w:val="34"/>
    <w:rsid w:val="006C0202"/>
    <w:rPr>
      <w:lang w:eastAsia="en-GB"/>
    </w:rPr>
  </w:style>
  <w:style w:type="paragraph" w:customStyle="1" w:styleId="Akapitzlist1">
    <w:name w:val="Akapit z listą1"/>
    <w:aliases w:val="Yellow Bullet,Normal bullet 2"/>
    <w:basedOn w:val="Normalny"/>
    <w:link w:val="ListParagraphChar"/>
    <w:uiPriority w:val="34"/>
    <w:rsid w:val="006C0202"/>
    <w:pPr>
      <w:spacing w:before="0" w:after="0"/>
      <w:ind w:left="720"/>
      <w:jc w:val="left"/>
    </w:pPr>
    <w:rPr>
      <w:rFonts w:ascii="Times New Roman" w:hAnsi="Times New Roman"/>
      <w:sz w:val="20"/>
      <w:szCs w:val="20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C82C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F665D5"/>
    <w:pPr>
      <w:pBdr>
        <w:bottom w:val="single" w:sz="8" w:space="4" w:color="4F81BD" w:themeColor="accent1"/>
      </w:pBdr>
      <w:contextualSpacing/>
      <w:jc w:val="left"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F665D5"/>
    <w:rPr>
      <w:rFonts w:asciiTheme="minorHAnsi" w:eastAsiaTheme="majorEastAsia" w:hAnsiTheme="minorHAnsi" w:cstheme="majorBidi"/>
      <w:b/>
      <w:color w:val="17365D" w:themeColor="text2" w:themeShade="BF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ir.gov.pl" TargetMode="External"/><Relationship Id="rId1" Type="http://schemas.openxmlformats.org/officeDocument/2006/relationships/hyperlink" Target="mailto:media@m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3873-9290-4D93-BEF5-9A807024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1875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13100</CharactersWithSpaces>
  <SharedDoc>false</SharedDoc>
  <HLinks>
    <vt:vector size="12" baseType="variant">
      <vt:variant>
        <vt:i4>4522051</vt:i4>
      </vt:variant>
      <vt:variant>
        <vt:i4>8</vt:i4>
      </vt:variant>
      <vt:variant>
        <vt:i4>0</vt:i4>
      </vt:variant>
      <vt:variant>
        <vt:i4>5</vt:i4>
      </vt:variant>
      <vt:variant>
        <vt:lpwstr>http://www.mr.gov.pl/</vt:lpwstr>
      </vt:variant>
      <vt:variant>
        <vt:lpwstr/>
      </vt:variant>
      <vt:variant>
        <vt:i4>6553621</vt:i4>
      </vt:variant>
      <vt:variant>
        <vt:i4>5</vt:i4>
      </vt:variant>
      <vt:variant>
        <vt:i4>0</vt:i4>
      </vt:variant>
      <vt:variant>
        <vt:i4>5</vt:i4>
      </vt:variant>
      <vt:variant>
        <vt:lpwstr>mailto:media@mr.gov.pl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2019-05-24T15:34:00Z</dcterms:created>
  <dcterms:modified xsi:type="dcterms:W3CDTF">2019-05-24T15:34:00Z</dcterms:modified>
</cp:coreProperties>
</file>