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C6D4" w14:textId="77777777" w:rsidR="004733BF" w:rsidRDefault="004733BF" w:rsidP="004733BF">
      <w:pPr>
        <w:autoSpaceDE w:val="0"/>
        <w:autoSpaceDN w:val="0"/>
        <w:adjustRightInd w:val="0"/>
        <w:spacing w:after="0"/>
        <w:ind w:left="-113"/>
        <w:jc w:val="right"/>
        <w:rPr>
          <w:rFonts w:ascii="Tahoma" w:eastAsia="Times New Roman" w:hAnsi="Tahoma" w:cs="Tahoma"/>
          <w:lang w:eastAsia="pl-PL"/>
        </w:rPr>
      </w:pPr>
    </w:p>
    <w:p w14:paraId="26785E40" w14:textId="77777777" w:rsidR="004A28DE" w:rsidRPr="005036EC" w:rsidRDefault="004A28DE" w:rsidP="004A28DE">
      <w:pPr>
        <w:spacing w:line="360" w:lineRule="auto"/>
        <w:jc w:val="both"/>
        <w:rPr>
          <w:rFonts w:ascii="Tahoma" w:hAnsi="Tahoma" w:cs="Tahoma"/>
          <w:b/>
        </w:rPr>
      </w:pPr>
      <w:r w:rsidRPr="005036EC">
        <w:rPr>
          <w:rFonts w:ascii="Tahoma" w:hAnsi="Tahoma" w:cs="Tahoma"/>
          <w:b/>
        </w:rPr>
        <w:t xml:space="preserve">Grupa BUDIMEX </w:t>
      </w:r>
    </w:p>
    <w:p w14:paraId="72C48FAB" w14:textId="175A3458" w:rsidR="004A28DE" w:rsidRPr="005036EC" w:rsidRDefault="004A28DE" w:rsidP="004A28DE">
      <w:pPr>
        <w:spacing w:line="360" w:lineRule="auto"/>
        <w:jc w:val="both"/>
        <w:rPr>
          <w:rFonts w:ascii="Tahoma" w:hAnsi="Tahoma" w:cs="Tahoma"/>
        </w:rPr>
      </w:pPr>
      <w:r w:rsidRPr="005036EC">
        <w:rPr>
          <w:rFonts w:ascii="Tahoma" w:hAnsi="Tahoma" w:cs="Tahoma"/>
        </w:rPr>
        <w:t>Wybrane dane finansowe ze skonsolidowanego sprawozdania Grupy Budimex sporządzonego zgodnie z Międzynarodowymi Standardami Sprawozdawczości Finansowej (MSSF) za 201</w:t>
      </w:r>
      <w:r w:rsidR="00A15BF8">
        <w:rPr>
          <w:rFonts w:ascii="Tahoma" w:hAnsi="Tahoma" w:cs="Tahoma"/>
        </w:rPr>
        <w:t>9</w:t>
      </w:r>
      <w:r w:rsidRPr="005036EC">
        <w:rPr>
          <w:rFonts w:ascii="Tahoma" w:hAnsi="Tahoma" w:cs="Tahoma"/>
        </w:rPr>
        <w:t xml:space="preserve"> rok</w:t>
      </w:r>
      <w:r w:rsidR="00A15562">
        <w:rPr>
          <w:rFonts w:ascii="Tahoma" w:hAnsi="Tahoma" w:cs="Tahoma"/>
        </w:rPr>
        <w:t xml:space="preserve"> oraz porównywalne dane za </w:t>
      </w:r>
      <w:r w:rsidR="00FF1AD8">
        <w:rPr>
          <w:rFonts w:ascii="Tahoma" w:hAnsi="Tahoma" w:cs="Tahoma"/>
        </w:rPr>
        <w:t xml:space="preserve">rok </w:t>
      </w:r>
      <w:r w:rsidRPr="005036EC">
        <w:rPr>
          <w:rFonts w:ascii="Tahoma" w:hAnsi="Tahoma" w:cs="Tahoma"/>
        </w:rPr>
        <w:t>201</w:t>
      </w:r>
      <w:r w:rsidR="00A15BF8">
        <w:rPr>
          <w:rFonts w:ascii="Tahoma" w:hAnsi="Tahoma" w:cs="Tahoma"/>
        </w:rPr>
        <w:t>8</w:t>
      </w:r>
      <w:r w:rsidRPr="005036EC">
        <w:rPr>
          <w:rFonts w:ascii="Tahoma" w:hAnsi="Tahoma" w:cs="Tahoma"/>
        </w:rPr>
        <w:t xml:space="preserve">. </w:t>
      </w:r>
    </w:p>
    <w:p w14:paraId="79C88BD4" w14:textId="04B35A7F" w:rsidR="004A28DE" w:rsidRPr="005036EC" w:rsidRDefault="004A28DE" w:rsidP="004A28DE">
      <w:pPr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5036EC">
        <w:rPr>
          <w:rFonts w:ascii="Tahoma" w:hAnsi="Tahoma" w:cs="Tahoma"/>
          <w:u w:val="single"/>
        </w:rPr>
        <w:t xml:space="preserve">Wyniki segmentów sprawozdawczych </w:t>
      </w:r>
      <w:r w:rsidRPr="005036EC">
        <w:rPr>
          <w:rFonts w:ascii="Tahoma" w:hAnsi="Tahoma" w:cs="Tahoma"/>
          <w:b/>
          <w:u w:val="single"/>
        </w:rPr>
        <w:t>za 201</w:t>
      </w:r>
      <w:r w:rsidR="00A15BF8">
        <w:rPr>
          <w:rFonts w:ascii="Tahoma" w:hAnsi="Tahoma" w:cs="Tahoma"/>
          <w:b/>
          <w:u w:val="single"/>
        </w:rPr>
        <w:t>9</w:t>
      </w:r>
      <w:r w:rsidR="00B736DD">
        <w:rPr>
          <w:rFonts w:ascii="Tahoma" w:hAnsi="Tahoma" w:cs="Tahoma"/>
          <w:b/>
          <w:u w:val="single"/>
        </w:rPr>
        <w:t xml:space="preserve"> rok</w:t>
      </w:r>
      <w:r w:rsidRPr="005036EC">
        <w:rPr>
          <w:rFonts w:ascii="Tahoma" w:hAnsi="Tahoma" w:cs="Tahoma"/>
          <w:b/>
          <w:u w:val="single"/>
        </w:rPr>
        <w:t xml:space="preserve"> </w:t>
      </w:r>
      <w:r w:rsidRPr="005036EC">
        <w:rPr>
          <w:rFonts w:ascii="Tahoma" w:hAnsi="Tahoma" w:cs="Tahoma"/>
          <w:u w:val="single"/>
        </w:rPr>
        <w:t xml:space="preserve">(w tysiącach złotych):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1253"/>
        <w:gridCol w:w="1253"/>
        <w:gridCol w:w="1109"/>
        <w:gridCol w:w="997"/>
        <w:gridCol w:w="1554"/>
      </w:tblGrid>
      <w:tr w:rsidR="004A28DE" w:rsidRPr="004D61F0" w14:paraId="2954B71D" w14:textId="77777777" w:rsidTr="00B61877">
        <w:trPr>
          <w:trHeight w:val="840"/>
        </w:trPr>
        <w:tc>
          <w:tcPr>
            <w:tcW w:w="2906" w:type="dxa"/>
          </w:tcPr>
          <w:p w14:paraId="1DA935D6" w14:textId="77777777" w:rsidR="004A28DE" w:rsidRPr="00F13ABF" w:rsidRDefault="004A28DE" w:rsidP="00B61877">
            <w:pPr>
              <w:ind w:right="18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F8302EB" w14:textId="77777777" w:rsidR="004A28DE" w:rsidRPr="00F13ABF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F13ABF">
              <w:rPr>
                <w:rFonts w:ascii="Tahoma" w:hAnsi="Tahoma" w:cs="Tahoma"/>
                <w:bCs/>
                <w:sz w:val="16"/>
                <w:szCs w:val="16"/>
              </w:rPr>
              <w:t>Segment budowlany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13E9B4" w14:textId="77777777" w:rsidR="004A28DE" w:rsidRPr="00F13ABF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F13ABF">
              <w:rPr>
                <w:rFonts w:ascii="Tahoma" w:hAnsi="Tahoma" w:cs="Tahoma"/>
                <w:bCs/>
                <w:sz w:val="16"/>
                <w:szCs w:val="16"/>
              </w:rPr>
              <w:t>Segment deweloperski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5C779EC0" w14:textId="77777777" w:rsidR="00E8485D" w:rsidRDefault="00E8485D" w:rsidP="00E8485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Segment </w:t>
            </w:r>
          </w:p>
          <w:p w14:paraId="76F993CD" w14:textId="5E6ED1E8" w:rsidR="004A28DE" w:rsidRPr="00F13ABF" w:rsidRDefault="00E8485D" w:rsidP="00E8485D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usług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FA81183" w14:textId="77777777" w:rsidR="004A28DE" w:rsidRPr="00F13ABF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F13ABF">
              <w:rPr>
                <w:rFonts w:ascii="Tahoma" w:hAnsi="Tahoma" w:cs="Tahoma"/>
                <w:bCs/>
                <w:sz w:val="16"/>
                <w:szCs w:val="16"/>
              </w:rPr>
              <w:t>Wyłączenia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4DB4BA1D" w14:textId="77777777" w:rsidR="004A28DE" w:rsidRPr="00F13ABF" w:rsidRDefault="004A28DE" w:rsidP="00B61877">
            <w:pPr>
              <w:ind w:left="137"/>
              <w:jc w:val="both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F13A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Dane skonsolidowane </w:t>
            </w:r>
          </w:p>
        </w:tc>
      </w:tr>
      <w:tr w:rsidR="008B371E" w:rsidRPr="004D61F0" w14:paraId="3D5EC037" w14:textId="77777777" w:rsidTr="00B61877">
        <w:trPr>
          <w:trHeight w:val="57"/>
        </w:trPr>
        <w:tc>
          <w:tcPr>
            <w:tcW w:w="2906" w:type="dxa"/>
            <w:vAlign w:val="center"/>
          </w:tcPr>
          <w:p w14:paraId="32019F70" w14:textId="77777777" w:rsidR="008B371E" w:rsidRPr="00925C8F" w:rsidRDefault="008B371E" w:rsidP="008B371E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Przychody netto ze sprzedaży  produktów, towarów i materiałów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659B" w14:textId="340406A9" w:rsidR="008B371E" w:rsidRPr="00925C8F" w:rsidRDefault="0050032D" w:rsidP="00167B97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7 151 978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C9D95" w14:textId="6B72C937" w:rsidR="008B371E" w:rsidRPr="00925C8F" w:rsidRDefault="0050032D" w:rsidP="00167B97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557 811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58C4" w14:textId="51F5C8A8" w:rsidR="008B371E" w:rsidRPr="00925C8F" w:rsidRDefault="0050032D" w:rsidP="00167B97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278 281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1685" w14:textId="552181ED" w:rsidR="008B371E" w:rsidRPr="00925C8F" w:rsidRDefault="008B371E" w:rsidP="00167B97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418 407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B274" w14:textId="27185B39" w:rsidR="008B371E" w:rsidRPr="00925C8F" w:rsidRDefault="0050032D" w:rsidP="00167B97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7 569 663</w:t>
            </w:r>
          </w:p>
        </w:tc>
      </w:tr>
      <w:tr w:rsidR="002E164B" w:rsidRPr="004D61F0" w14:paraId="216A1D7F" w14:textId="77777777" w:rsidTr="00B61877">
        <w:trPr>
          <w:trHeight w:val="196"/>
        </w:trPr>
        <w:tc>
          <w:tcPr>
            <w:tcW w:w="2906" w:type="dxa"/>
            <w:vAlign w:val="center"/>
          </w:tcPr>
          <w:p w14:paraId="7700E108" w14:textId="77777777" w:rsidR="002E164B" w:rsidRPr="00925C8F" w:rsidRDefault="002E164B" w:rsidP="002E164B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Zysk brutto ze sprzedaży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F50D" w14:textId="322D67C2" w:rsidR="002E164B" w:rsidRPr="00925C8F" w:rsidRDefault="0050032D" w:rsidP="007D3C7A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418 189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6EB63" w14:textId="0B6C29BC" w:rsidR="002E164B" w:rsidRPr="00925C8F" w:rsidRDefault="0050032D" w:rsidP="007D3C7A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137 115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EB97" w14:textId="0508BC06" w:rsidR="002E164B" w:rsidRPr="00925C8F" w:rsidRDefault="0050032D" w:rsidP="007D3C7A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39 303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AC34B" w14:textId="1E0A3996" w:rsidR="002E164B" w:rsidRPr="00925C8F" w:rsidRDefault="002E164B" w:rsidP="007D3C7A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43 055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2E863" w14:textId="4C527091" w:rsidR="002E164B" w:rsidRPr="00925C8F" w:rsidRDefault="0050032D" w:rsidP="007D3C7A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551 552</w:t>
            </w:r>
          </w:p>
        </w:tc>
      </w:tr>
      <w:tr w:rsidR="00920129" w:rsidRPr="004D61F0" w14:paraId="2BE6D7A0" w14:textId="77777777" w:rsidTr="00B61877">
        <w:trPr>
          <w:trHeight w:val="196"/>
        </w:trPr>
        <w:tc>
          <w:tcPr>
            <w:tcW w:w="2906" w:type="dxa"/>
            <w:vAlign w:val="center"/>
          </w:tcPr>
          <w:p w14:paraId="7EFA4A74" w14:textId="77777777" w:rsidR="00920129" w:rsidRPr="00925C8F" w:rsidRDefault="00920129" w:rsidP="00920129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Koszty sprzedaży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429E" w14:textId="66205FFE" w:rsidR="00920129" w:rsidRPr="00925C8F" w:rsidRDefault="00920129" w:rsidP="008E560B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8E560B" w:rsidRPr="00925C8F">
              <w:rPr>
                <w:rFonts w:ascii="Tahoma" w:hAnsi="Tahoma" w:cs="Tahoma"/>
                <w:sz w:val="16"/>
                <w:szCs w:val="16"/>
              </w:rPr>
              <w:t>10</w:t>
            </w:r>
            <w:r w:rsidRPr="00925C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721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989E" w14:textId="3B4705D5" w:rsidR="00920129" w:rsidRPr="00925C8F" w:rsidRDefault="00920129" w:rsidP="008E560B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19 757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AA7C" w14:textId="55F07E29" w:rsidR="00920129" w:rsidRPr="00925C8F" w:rsidRDefault="0050032D" w:rsidP="00920129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31CA8" w14:textId="77777777" w:rsidR="00920129" w:rsidRPr="00925C8F" w:rsidRDefault="00920129" w:rsidP="00920129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290E" w14:textId="0D35520A" w:rsidR="00920129" w:rsidRPr="00925C8F" w:rsidRDefault="00920129" w:rsidP="008E560B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560B" w:rsidRPr="00925C8F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925C8F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 w:rsidR="0050032D" w:rsidRPr="00925C8F">
              <w:rPr>
                <w:rFonts w:ascii="Tahoma" w:hAnsi="Tahoma" w:cs="Tahoma"/>
                <w:b/>
                <w:sz w:val="16"/>
                <w:szCs w:val="16"/>
              </w:rPr>
              <w:t>478</w:t>
            </w:r>
            <w:r w:rsidRPr="00925C8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A42BE0" w:rsidRPr="004D61F0" w14:paraId="6FC35327" w14:textId="77777777" w:rsidTr="00B61877">
        <w:trPr>
          <w:trHeight w:val="196"/>
        </w:trPr>
        <w:tc>
          <w:tcPr>
            <w:tcW w:w="2906" w:type="dxa"/>
            <w:vAlign w:val="center"/>
          </w:tcPr>
          <w:p w14:paraId="51EAF149" w14:textId="77777777" w:rsidR="00A42BE0" w:rsidRPr="00925C8F" w:rsidRDefault="00A42BE0" w:rsidP="00A42BE0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Koszty ogólnego zarządu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76765" w14:textId="09C8893D" w:rsidR="00A42BE0" w:rsidRPr="00925C8F" w:rsidRDefault="00A42BE0" w:rsidP="004D39D6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173 135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65A6C" w14:textId="6A5A5D46" w:rsidR="00A42BE0" w:rsidRPr="00925C8F" w:rsidRDefault="00A42BE0" w:rsidP="004D39D6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26 183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794B5" w14:textId="1C25A02B" w:rsidR="00A42BE0" w:rsidRPr="00925C8F" w:rsidRDefault="00A42BE0" w:rsidP="004D39D6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14 157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DBCA" w14:textId="41793893" w:rsidR="00A42BE0" w:rsidRPr="00925C8F" w:rsidRDefault="0050032D" w:rsidP="004D39D6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14 483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ADC6" w14:textId="58A177A6" w:rsidR="00A42BE0" w:rsidRPr="00925C8F" w:rsidRDefault="00A42BE0" w:rsidP="004D39D6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b/>
                <w:sz w:val="16"/>
                <w:szCs w:val="16"/>
              </w:rPr>
              <w:t>198 992</w:t>
            </w:r>
            <w:r w:rsidRPr="00925C8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6525F5" w:rsidRPr="004D61F0" w14:paraId="16C57D9D" w14:textId="77777777" w:rsidTr="00B61877">
        <w:trPr>
          <w:trHeight w:val="196"/>
        </w:trPr>
        <w:tc>
          <w:tcPr>
            <w:tcW w:w="2906" w:type="dxa"/>
            <w:vAlign w:val="center"/>
          </w:tcPr>
          <w:p w14:paraId="3359F149" w14:textId="77777777" w:rsidR="006525F5" w:rsidRPr="00925C8F" w:rsidRDefault="006525F5" w:rsidP="006525F5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Zysk z działalności operacyjnej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4993" w14:textId="2D5656E8" w:rsidR="006525F5" w:rsidRPr="00925C8F" w:rsidRDefault="0050032D" w:rsidP="004155E7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206 994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54DE5" w14:textId="304DAF68" w:rsidR="006525F5" w:rsidRPr="00925C8F" w:rsidRDefault="0050032D" w:rsidP="004155E7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116 785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9F43B" w14:textId="122857A3" w:rsidR="006525F5" w:rsidRPr="00925C8F" w:rsidRDefault="0050032D" w:rsidP="004155E7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23 187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B2B16" w14:textId="5D4E4927" w:rsidR="006525F5" w:rsidRPr="00925C8F" w:rsidRDefault="004155E7" w:rsidP="004155E7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28 572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E748" w14:textId="4BB2BE38" w:rsidR="006525F5" w:rsidRPr="00925C8F" w:rsidRDefault="0050032D" w:rsidP="004155E7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318 394</w:t>
            </w:r>
          </w:p>
        </w:tc>
      </w:tr>
      <w:tr w:rsidR="004A28DE" w:rsidRPr="004D61F0" w14:paraId="6DDA2CEC" w14:textId="77777777" w:rsidTr="00B61877">
        <w:trPr>
          <w:trHeight w:val="159"/>
        </w:trPr>
        <w:tc>
          <w:tcPr>
            <w:tcW w:w="2906" w:type="dxa"/>
            <w:vAlign w:val="center"/>
          </w:tcPr>
          <w:p w14:paraId="3170BC50" w14:textId="77777777" w:rsidR="004A28DE" w:rsidRPr="00925C8F" w:rsidRDefault="004A28DE" w:rsidP="00B61877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Zysk brutto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CF51F74" w14:textId="54994ED2" w:rsidR="004A28DE" w:rsidRPr="00925C8F" w:rsidRDefault="0050032D" w:rsidP="00843B63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188 461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2C48F89" w14:textId="36F3ECCF" w:rsidR="004A28DE" w:rsidRPr="00925C8F" w:rsidRDefault="0050032D" w:rsidP="00843B63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120 146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79C37845" w14:textId="592ECB54" w:rsidR="004A28DE" w:rsidRPr="00925C8F" w:rsidRDefault="0050032D" w:rsidP="00843B63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52 075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5AE9F8DC" w14:textId="0F643047" w:rsidR="004A28DE" w:rsidRPr="00925C8F" w:rsidRDefault="00843B63" w:rsidP="00843B63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28 325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5CFCEB42" w14:textId="42B8D2C9" w:rsidR="004A28DE" w:rsidRPr="00925C8F" w:rsidRDefault="0050032D" w:rsidP="00843B63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332 357</w:t>
            </w:r>
          </w:p>
        </w:tc>
      </w:tr>
      <w:tr w:rsidR="004A28DE" w:rsidRPr="004D61F0" w14:paraId="5FC986EC" w14:textId="77777777" w:rsidTr="00B61877">
        <w:trPr>
          <w:trHeight w:val="159"/>
        </w:trPr>
        <w:tc>
          <w:tcPr>
            <w:tcW w:w="2906" w:type="dxa"/>
            <w:vAlign w:val="center"/>
          </w:tcPr>
          <w:p w14:paraId="65FA53CA" w14:textId="77777777" w:rsidR="004A28DE" w:rsidRPr="00925C8F" w:rsidRDefault="004A28DE" w:rsidP="00B61877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 xml:space="preserve">Zysk netto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D688A" w14:textId="38541E46" w:rsidR="004A28DE" w:rsidRPr="00925C8F" w:rsidRDefault="0050032D" w:rsidP="009832A2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106 794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4F26" w14:textId="21FF99DD" w:rsidR="004A28DE" w:rsidRPr="00925C8F" w:rsidRDefault="0050032D" w:rsidP="009832A2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97 056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9368E" w14:textId="6B066AD6" w:rsidR="004A28DE" w:rsidRPr="00925C8F" w:rsidRDefault="0050032D" w:rsidP="009832A2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47 946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E9F95" w14:textId="4F62EB99" w:rsidR="004A28DE" w:rsidRPr="00925C8F" w:rsidRDefault="009832A2" w:rsidP="009832A2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50032D" w:rsidRPr="00925C8F">
              <w:rPr>
                <w:rFonts w:ascii="Tahoma" w:hAnsi="Tahoma" w:cs="Tahoma"/>
                <w:sz w:val="16"/>
                <w:szCs w:val="16"/>
              </w:rPr>
              <w:t>22 945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E13D" w14:textId="20B0D528" w:rsidR="004A28DE" w:rsidRPr="00925C8F" w:rsidRDefault="0050032D" w:rsidP="009832A2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228 851</w:t>
            </w:r>
          </w:p>
        </w:tc>
      </w:tr>
      <w:tr w:rsidR="004A28DE" w:rsidRPr="004D61F0" w14:paraId="2EA30EDA" w14:textId="77777777" w:rsidTr="00B61877">
        <w:trPr>
          <w:trHeight w:val="159"/>
        </w:trPr>
        <w:tc>
          <w:tcPr>
            <w:tcW w:w="2906" w:type="dxa"/>
            <w:vAlign w:val="center"/>
          </w:tcPr>
          <w:p w14:paraId="5149FA8D" w14:textId="77777777" w:rsidR="004A28DE" w:rsidRPr="00925C8F" w:rsidRDefault="004A28DE" w:rsidP="00B61877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Zysk przypadający akcjonariuszom Jednostki Dominującej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E5DE" w14:textId="747E1399" w:rsidR="004A28DE" w:rsidRPr="00925C8F" w:rsidRDefault="0050032D" w:rsidP="005B17D0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106 794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25AD" w14:textId="4DD348D3" w:rsidR="004A28DE" w:rsidRPr="00925C8F" w:rsidRDefault="0050032D" w:rsidP="005B17D0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97 056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483F" w14:textId="7063FE86" w:rsidR="004A28DE" w:rsidRPr="00925C8F" w:rsidRDefault="00925C8F" w:rsidP="005B17D0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45 10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27007" w14:textId="15DF3125" w:rsidR="004A28DE" w:rsidRPr="00925C8F" w:rsidRDefault="005B17D0" w:rsidP="005B17D0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5C8F">
              <w:rPr>
                <w:rFonts w:ascii="Tahoma" w:hAnsi="Tahoma" w:cs="Tahoma"/>
                <w:sz w:val="16"/>
                <w:szCs w:val="16"/>
              </w:rPr>
              <w:t>(</w:t>
            </w:r>
            <w:r w:rsidR="00925C8F" w:rsidRPr="00925C8F">
              <w:rPr>
                <w:rFonts w:ascii="Tahoma" w:hAnsi="Tahoma" w:cs="Tahoma"/>
                <w:sz w:val="16"/>
                <w:szCs w:val="16"/>
              </w:rPr>
              <w:t>22 945</w:t>
            </w:r>
            <w:r w:rsidRPr="00925C8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09FE5" w14:textId="6353919B" w:rsidR="004A28DE" w:rsidRPr="00925C8F" w:rsidRDefault="00925C8F" w:rsidP="005B17D0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5C8F">
              <w:rPr>
                <w:rFonts w:ascii="Tahoma" w:hAnsi="Tahoma" w:cs="Tahoma"/>
                <w:b/>
                <w:sz w:val="16"/>
                <w:szCs w:val="16"/>
              </w:rPr>
              <w:t>226 014</w:t>
            </w:r>
          </w:p>
        </w:tc>
      </w:tr>
    </w:tbl>
    <w:p w14:paraId="407D8202" w14:textId="77777777" w:rsidR="004A28DE" w:rsidRPr="004D61F0" w:rsidRDefault="004A28DE" w:rsidP="004A28DE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  <w:u w:val="single"/>
        </w:rPr>
      </w:pPr>
    </w:p>
    <w:p w14:paraId="29F16523" w14:textId="6B88B384" w:rsidR="004A28DE" w:rsidRPr="005036EC" w:rsidRDefault="004A28DE" w:rsidP="004A28DE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5036EC">
        <w:rPr>
          <w:rFonts w:ascii="Tahoma" w:hAnsi="Tahoma" w:cs="Tahoma"/>
          <w:u w:val="single"/>
        </w:rPr>
        <w:t xml:space="preserve">Wyniki segmentów sprawozdawczych </w:t>
      </w:r>
      <w:r w:rsidRPr="005036EC">
        <w:rPr>
          <w:rFonts w:ascii="Tahoma" w:hAnsi="Tahoma" w:cs="Tahoma"/>
          <w:b/>
          <w:u w:val="single"/>
        </w:rPr>
        <w:t>za 201</w:t>
      </w:r>
      <w:r w:rsidR="00A15BF8">
        <w:rPr>
          <w:rFonts w:ascii="Tahoma" w:hAnsi="Tahoma" w:cs="Tahoma"/>
          <w:b/>
          <w:u w:val="single"/>
        </w:rPr>
        <w:t>8</w:t>
      </w:r>
      <w:r w:rsidRPr="005036EC">
        <w:rPr>
          <w:rFonts w:ascii="Tahoma" w:hAnsi="Tahoma" w:cs="Tahoma"/>
          <w:b/>
          <w:u w:val="single"/>
        </w:rPr>
        <w:t xml:space="preserve"> rok </w:t>
      </w:r>
      <w:r w:rsidRPr="005036EC">
        <w:rPr>
          <w:rFonts w:ascii="Tahoma" w:hAnsi="Tahoma" w:cs="Tahoma"/>
          <w:u w:val="single"/>
        </w:rPr>
        <w:t xml:space="preserve">(w tysiącach złotych): </w:t>
      </w:r>
      <w:r w:rsidRPr="005036EC">
        <w:rPr>
          <w:rFonts w:ascii="Tahoma" w:hAnsi="Tahoma" w:cs="Tahoma"/>
          <w:b/>
          <w:sz w:val="24"/>
          <w:szCs w:val="24"/>
        </w:rPr>
        <w:tab/>
      </w:r>
      <w:r w:rsidRPr="005036EC">
        <w:rPr>
          <w:rFonts w:ascii="Tahoma" w:hAnsi="Tahoma" w:cs="Tahoma"/>
          <w:b/>
          <w:sz w:val="24"/>
          <w:szCs w:val="24"/>
        </w:rPr>
        <w:tab/>
      </w:r>
      <w:r w:rsidRPr="005036EC">
        <w:rPr>
          <w:rFonts w:ascii="Tahoma" w:hAnsi="Tahoma" w:cs="Tahoma"/>
          <w:b/>
          <w:sz w:val="24"/>
          <w:szCs w:val="24"/>
        </w:rPr>
        <w:tab/>
      </w:r>
      <w:r w:rsidRPr="005036EC">
        <w:rPr>
          <w:rFonts w:ascii="Tahoma" w:hAnsi="Tahoma" w:cs="Tahoma"/>
          <w:b/>
          <w:sz w:val="24"/>
          <w:szCs w:val="24"/>
        </w:rPr>
        <w:tab/>
      </w:r>
    </w:p>
    <w:tbl>
      <w:tblPr>
        <w:tblW w:w="906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242"/>
        <w:gridCol w:w="1242"/>
        <w:gridCol w:w="1299"/>
        <w:gridCol w:w="997"/>
        <w:gridCol w:w="1396"/>
      </w:tblGrid>
      <w:tr w:rsidR="004A28DE" w:rsidRPr="005036EC" w14:paraId="2BC6239D" w14:textId="77777777" w:rsidTr="00B61877">
        <w:trPr>
          <w:trHeight w:val="840"/>
        </w:trPr>
        <w:tc>
          <w:tcPr>
            <w:tcW w:w="2890" w:type="dxa"/>
          </w:tcPr>
          <w:p w14:paraId="2CC1C476" w14:textId="77777777" w:rsidR="004A28DE" w:rsidRPr="005036EC" w:rsidRDefault="004A28DE" w:rsidP="00B61877">
            <w:pPr>
              <w:ind w:right="180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09AA70E" w14:textId="77777777" w:rsidR="004A28DE" w:rsidRPr="005036EC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5036EC">
              <w:rPr>
                <w:rFonts w:ascii="Tahoma" w:hAnsi="Tahoma" w:cs="Tahoma"/>
                <w:bCs/>
                <w:sz w:val="16"/>
                <w:szCs w:val="16"/>
              </w:rPr>
              <w:t>Segment budowlany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80782CC" w14:textId="77777777" w:rsidR="004A28DE" w:rsidRPr="005036EC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5036EC">
              <w:rPr>
                <w:rFonts w:ascii="Tahoma" w:hAnsi="Tahoma" w:cs="Tahoma"/>
                <w:bCs/>
                <w:sz w:val="16"/>
                <w:szCs w:val="16"/>
              </w:rPr>
              <w:t>Segment deweloperski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6AD34C3C" w14:textId="77777777" w:rsidR="00E8485D" w:rsidRDefault="00E8485D" w:rsidP="00E8485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Segment </w:t>
            </w:r>
          </w:p>
          <w:p w14:paraId="0331CD97" w14:textId="472097C0" w:rsidR="004A28DE" w:rsidRPr="005036EC" w:rsidRDefault="00E8485D" w:rsidP="00E8485D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usług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8A8C88A" w14:textId="77777777" w:rsidR="004A28DE" w:rsidRPr="005036EC" w:rsidRDefault="004A28DE" w:rsidP="00B61877">
            <w:pPr>
              <w:jc w:val="center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5036EC">
              <w:rPr>
                <w:rFonts w:ascii="Tahoma" w:hAnsi="Tahoma" w:cs="Tahoma"/>
                <w:bCs/>
                <w:sz w:val="16"/>
                <w:szCs w:val="16"/>
              </w:rPr>
              <w:t>Wyłączenia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6E220FD4" w14:textId="77777777" w:rsidR="004A28DE" w:rsidRPr="005036EC" w:rsidRDefault="004A28DE" w:rsidP="00B61877">
            <w:pPr>
              <w:ind w:left="51"/>
              <w:jc w:val="both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5036E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Dane skonsolidowane </w:t>
            </w:r>
          </w:p>
        </w:tc>
      </w:tr>
      <w:tr w:rsidR="00A15BF8" w:rsidRPr="005036EC" w14:paraId="7883D2D0" w14:textId="77777777" w:rsidTr="00B61877">
        <w:trPr>
          <w:trHeight w:val="57"/>
        </w:trPr>
        <w:tc>
          <w:tcPr>
            <w:tcW w:w="2890" w:type="dxa"/>
            <w:vAlign w:val="center"/>
          </w:tcPr>
          <w:p w14:paraId="6B511194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>Przychody netto ze sprzedaży  produktów, towarów i materiałów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C48EA" w14:textId="08953B75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B5313D">
              <w:rPr>
                <w:rFonts w:ascii="Tahoma" w:hAnsi="Tahoma" w:cs="Tahoma"/>
                <w:sz w:val="16"/>
                <w:szCs w:val="16"/>
              </w:rPr>
              <w:t> 0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  <w:r w:rsidRPr="00B531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643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5ED14" w14:textId="5F262250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548</w:t>
            </w:r>
            <w:r w:rsidRPr="008B37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069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21AF" w14:textId="5FD55F21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Pr="008B37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8B371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1581" w14:textId="3B954B02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743C4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309</w:t>
            </w:r>
            <w:r w:rsidRPr="008743C4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229</w:t>
            </w:r>
            <w:r w:rsidRPr="008743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FB63" w14:textId="55CB7860" w:rsidR="00A15BF8" w:rsidRPr="005036EC" w:rsidRDefault="00A15BF8" w:rsidP="00A15BF8">
            <w:pPr>
              <w:spacing w:before="40" w:after="60"/>
              <w:ind w:right="13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8743C4">
              <w:rPr>
                <w:rFonts w:ascii="Tahoma" w:hAnsi="Tahoma" w:cs="Tahoma"/>
                <w:b/>
                <w:sz w:val="16"/>
                <w:szCs w:val="16"/>
              </w:rPr>
              <w:t> 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87</w:t>
            </w:r>
            <w:r w:rsidRPr="008743C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137</w:t>
            </w:r>
          </w:p>
        </w:tc>
      </w:tr>
      <w:tr w:rsidR="00A15BF8" w:rsidRPr="005036EC" w14:paraId="5DB12392" w14:textId="77777777" w:rsidTr="00B61877">
        <w:trPr>
          <w:trHeight w:val="196"/>
        </w:trPr>
        <w:tc>
          <w:tcPr>
            <w:tcW w:w="2890" w:type="dxa"/>
            <w:vAlign w:val="center"/>
          </w:tcPr>
          <w:p w14:paraId="743B6B32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>Zysk brutto ze sprzedaży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6443" w14:textId="1DD5050E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507</w:t>
            </w:r>
            <w:r w:rsidRPr="002E16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279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24FF" w14:textId="1273B8AC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Pr="002E16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B2F7D" w14:textId="61176493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E164B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2E16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2E164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BB22" w14:textId="40CC5806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344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803440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540</w:t>
            </w:r>
            <w:r w:rsidRPr="0080344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D055" w14:textId="5D2F3DEC" w:rsidR="00A15BF8" w:rsidRPr="005036EC" w:rsidRDefault="00A15BF8" w:rsidP="00A15BF8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629</w:t>
            </w:r>
            <w:r w:rsidRPr="0080344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089</w:t>
            </w:r>
          </w:p>
        </w:tc>
      </w:tr>
      <w:tr w:rsidR="00A15BF8" w:rsidRPr="005036EC" w14:paraId="3E799B19" w14:textId="77777777" w:rsidTr="00B61877">
        <w:trPr>
          <w:trHeight w:val="196"/>
        </w:trPr>
        <w:tc>
          <w:tcPr>
            <w:tcW w:w="2890" w:type="dxa"/>
            <w:vAlign w:val="center"/>
          </w:tcPr>
          <w:p w14:paraId="6FAE77F2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>Koszty sprzedaży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C6BF0" w14:textId="30B73BA9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012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9201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738</w:t>
            </w:r>
            <w:r w:rsidRPr="0092012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594C2" w14:textId="2EDD7229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20129">
              <w:rPr>
                <w:rFonts w:ascii="Tahoma" w:hAnsi="Tahoma" w:cs="Tahoma"/>
                <w:sz w:val="16"/>
                <w:szCs w:val="16"/>
              </w:rPr>
              <w:t>(1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92012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158</w:t>
            </w:r>
            <w:r w:rsidRPr="0092012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7D4A" w14:textId="1581C2E0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82B75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B82B75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754</w:t>
            </w:r>
            <w:r w:rsidRPr="00B82B7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B5D2B" w14:textId="48840389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2B75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19EE" w14:textId="0B1DC627" w:rsidR="00A15BF8" w:rsidRPr="005036EC" w:rsidRDefault="00A15BF8" w:rsidP="00A15BF8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82B75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82B75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650</w:t>
            </w:r>
            <w:r w:rsidRPr="00B82B7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A15BF8" w:rsidRPr="005036EC" w14:paraId="0530B9E1" w14:textId="77777777" w:rsidTr="00B61877">
        <w:trPr>
          <w:trHeight w:val="196"/>
        </w:trPr>
        <w:tc>
          <w:tcPr>
            <w:tcW w:w="2890" w:type="dxa"/>
            <w:vAlign w:val="center"/>
          </w:tcPr>
          <w:p w14:paraId="5A3FED8A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>Koszty ogólnego zarządu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8B0B4" w14:textId="218E1B0E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42BE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214</w:t>
            </w:r>
            <w:r w:rsidRPr="00A42B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628</w:t>
            </w:r>
            <w:r w:rsidRPr="00A42BE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FE6F8" w14:textId="0B6BFC8C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42BE0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A42B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233</w:t>
            </w:r>
            <w:r w:rsidRPr="00A42BE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CA26B" w14:textId="292FFBBD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42BE0">
              <w:rPr>
                <w:rFonts w:ascii="Tahoma" w:hAnsi="Tahoma" w:cs="Tahoma"/>
                <w:sz w:val="16"/>
                <w:szCs w:val="16"/>
              </w:rPr>
              <w:t>(4 0</w:t>
            </w:r>
            <w:r>
              <w:rPr>
                <w:rFonts w:ascii="Tahoma" w:hAnsi="Tahoma" w:cs="Tahoma"/>
                <w:sz w:val="16"/>
                <w:szCs w:val="16"/>
              </w:rPr>
              <w:t>96</w:t>
            </w:r>
            <w:r w:rsidRPr="00A42BE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FB30C" w14:textId="19791EA3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Pr="00EF051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364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9479" w14:textId="4A010AAF" w:rsidR="00A15BF8" w:rsidRPr="005036EC" w:rsidRDefault="00A15BF8" w:rsidP="00A15BF8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051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229</w:t>
            </w:r>
            <w:r w:rsidRPr="00EF051C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593</w:t>
            </w:r>
            <w:r w:rsidRPr="00EF051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A15BF8" w:rsidRPr="005036EC" w14:paraId="3D95D06B" w14:textId="77777777" w:rsidTr="00B61877">
        <w:trPr>
          <w:trHeight w:val="196"/>
        </w:trPr>
        <w:tc>
          <w:tcPr>
            <w:tcW w:w="2890" w:type="dxa"/>
            <w:vAlign w:val="center"/>
          </w:tcPr>
          <w:p w14:paraId="3957B100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>Zysk z działalności operacyjnej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E12AE" w14:textId="1C2DBFD8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525F5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6525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6525F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F9A91" w14:textId="13884821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</w:t>
            </w:r>
            <w:r w:rsidRPr="006525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9822B" w14:textId="3CF9DFB3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Pr="006525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383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38F20" w14:textId="18571949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(2 151)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6A0DA" w14:textId="09A9F415" w:rsidR="00A15BF8" w:rsidRPr="005036EC" w:rsidRDefault="00A15BF8" w:rsidP="00A15BF8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417</w:t>
            </w:r>
            <w:r w:rsidRPr="0040033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010</w:t>
            </w:r>
          </w:p>
        </w:tc>
      </w:tr>
      <w:tr w:rsidR="00A15BF8" w:rsidRPr="005036EC" w14:paraId="454218EE" w14:textId="77777777" w:rsidTr="00B61877">
        <w:trPr>
          <w:trHeight w:val="159"/>
        </w:trPr>
        <w:tc>
          <w:tcPr>
            <w:tcW w:w="2890" w:type="dxa"/>
            <w:vAlign w:val="center"/>
          </w:tcPr>
          <w:p w14:paraId="37697136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>Zysk brutto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3290460" w14:textId="670D35ED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261</w:t>
            </w:r>
            <w:r w:rsidRPr="00065C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769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799B5F6" w14:textId="5F6EDF14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</w:t>
            </w:r>
            <w:r w:rsidRPr="00065C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932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EE6651A" w14:textId="78CC1A7C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</w:t>
            </w:r>
            <w:r w:rsidRPr="00065C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247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07C15BE8" w14:textId="146A8534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(2 560)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1FEF955F" w14:textId="63113AF3" w:rsidR="00A15BF8" w:rsidRPr="005036EC" w:rsidRDefault="00A15BF8" w:rsidP="00A15BF8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403</w:t>
            </w:r>
            <w:r w:rsidRPr="00065C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388</w:t>
            </w:r>
          </w:p>
        </w:tc>
      </w:tr>
      <w:tr w:rsidR="00A15BF8" w:rsidRPr="005036EC" w14:paraId="03973F03" w14:textId="77777777" w:rsidTr="00B61877">
        <w:trPr>
          <w:trHeight w:val="159"/>
        </w:trPr>
        <w:tc>
          <w:tcPr>
            <w:tcW w:w="2890" w:type="dxa"/>
            <w:vAlign w:val="center"/>
          </w:tcPr>
          <w:p w14:paraId="13C33DE0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 xml:space="preserve">Zysk netto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84EE" w14:textId="12F4683D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0F56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6E0A" w14:textId="1916B420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0F56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255C" w14:textId="4BC38531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Pr="000F56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2F4F" w14:textId="04C5991A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(2 073)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CD154" w14:textId="3099549F" w:rsidR="00A15BF8" w:rsidRPr="005036EC" w:rsidRDefault="00A15BF8" w:rsidP="00A15BF8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305</w:t>
            </w:r>
            <w:r w:rsidRPr="000F563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484</w:t>
            </w:r>
          </w:p>
        </w:tc>
      </w:tr>
      <w:tr w:rsidR="00A15BF8" w:rsidRPr="004D61F0" w14:paraId="62F67C2A" w14:textId="77777777" w:rsidTr="00B61877">
        <w:trPr>
          <w:trHeight w:val="159"/>
        </w:trPr>
        <w:tc>
          <w:tcPr>
            <w:tcW w:w="2890" w:type="dxa"/>
            <w:vAlign w:val="center"/>
          </w:tcPr>
          <w:p w14:paraId="5C59121C" w14:textId="77777777" w:rsidR="00A15BF8" w:rsidRPr="005036EC" w:rsidRDefault="00A15BF8" w:rsidP="00A15BF8">
            <w:pPr>
              <w:spacing w:before="40" w:after="60"/>
              <w:rPr>
                <w:rFonts w:ascii="Tahoma" w:hAnsi="Tahoma" w:cs="Tahoma"/>
                <w:sz w:val="16"/>
                <w:szCs w:val="16"/>
              </w:rPr>
            </w:pPr>
            <w:r w:rsidRPr="005036EC">
              <w:rPr>
                <w:rFonts w:ascii="Tahoma" w:hAnsi="Tahoma" w:cs="Tahoma"/>
                <w:sz w:val="16"/>
                <w:szCs w:val="16"/>
              </w:rPr>
              <w:t>Zysk przypadający akcjonariuszom Jednostki Dominującej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89999" w14:textId="6DF9703B" w:rsidR="00A15BF8" w:rsidRPr="005036EC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F13A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608B" w14:textId="3E28C52D" w:rsidR="00A15BF8" w:rsidRPr="003B1380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F13A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139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985CC" w14:textId="3A391F00" w:rsidR="00A15BF8" w:rsidRPr="00257336" w:rsidRDefault="00A15BF8" w:rsidP="00A15BF8">
            <w:pPr>
              <w:spacing w:before="40" w:after="60"/>
              <w:ind w:right="31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Pr="00F13A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328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E99A8" w14:textId="5ACD15A6" w:rsidR="00A15BF8" w:rsidRPr="005036EC" w:rsidRDefault="00A15BF8" w:rsidP="00A15BF8">
            <w:pPr>
              <w:spacing w:before="40" w:after="6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(2 068)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9A4DC" w14:textId="6F3A1400" w:rsidR="00A15BF8" w:rsidRPr="005036EC" w:rsidRDefault="00A15BF8" w:rsidP="00A15BF8">
            <w:pPr>
              <w:spacing w:before="40" w:after="60"/>
              <w:ind w:right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305</w:t>
            </w:r>
            <w:r w:rsidRPr="00F13AB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424</w:t>
            </w:r>
          </w:p>
        </w:tc>
      </w:tr>
    </w:tbl>
    <w:p w14:paraId="250634FF" w14:textId="77777777" w:rsidR="004A28DE" w:rsidRPr="004D61F0" w:rsidRDefault="004A28DE" w:rsidP="004A28DE">
      <w:pPr>
        <w:spacing w:after="120" w:line="240" w:lineRule="auto"/>
        <w:jc w:val="both"/>
        <w:rPr>
          <w:rFonts w:ascii="Tahoma" w:hAnsi="Tahoma" w:cs="Tahoma"/>
          <w:b/>
          <w:highlight w:val="yellow"/>
          <w:lang w:val="en-US"/>
        </w:rPr>
      </w:pPr>
    </w:p>
    <w:p w14:paraId="7A2BD707" w14:textId="77777777" w:rsidR="004A28DE" w:rsidRPr="004A28DE" w:rsidRDefault="004A28DE">
      <w:pPr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14:paraId="7EE510D0" w14:textId="77777777" w:rsidR="004A28DE" w:rsidRPr="004A28DE" w:rsidRDefault="004A28DE">
      <w:pPr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sectPr w:rsidR="004A28DE" w:rsidRPr="004A28DE" w:rsidSect="004733BF">
      <w:headerReference w:type="default" r:id="rId7"/>
      <w:footerReference w:type="default" r:id="rId8"/>
      <w:pgSz w:w="11906" w:h="16838"/>
      <w:pgMar w:top="181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3308" w14:textId="77777777" w:rsidR="003F6E8A" w:rsidRDefault="003F6E8A">
      <w:pPr>
        <w:spacing w:after="0" w:line="240" w:lineRule="auto"/>
      </w:pPr>
      <w:r>
        <w:separator/>
      </w:r>
    </w:p>
  </w:endnote>
  <w:endnote w:type="continuationSeparator" w:id="0">
    <w:p w14:paraId="7B3EB1A9" w14:textId="77777777" w:rsidR="003F6E8A" w:rsidRDefault="003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852918"/>
      <w:docPartObj>
        <w:docPartGallery w:val="Page Numbers (Bottom of Page)"/>
        <w:docPartUnique/>
      </w:docPartObj>
    </w:sdtPr>
    <w:sdtEndPr/>
    <w:sdtContent>
      <w:p w14:paraId="7B5CAB3E" w14:textId="77777777" w:rsidR="00443E75" w:rsidRDefault="0044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DE">
          <w:rPr>
            <w:noProof/>
          </w:rPr>
          <w:t>1</w:t>
        </w:r>
        <w:r>
          <w:fldChar w:fldCharType="end"/>
        </w:r>
      </w:p>
    </w:sdtContent>
  </w:sdt>
  <w:p w14:paraId="2D225798" w14:textId="77777777" w:rsidR="00443E75" w:rsidRPr="00812704" w:rsidRDefault="00443E75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03B5" w14:textId="77777777" w:rsidR="003F6E8A" w:rsidRDefault="003F6E8A">
      <w:pPr>
        <w:spacing w:after="0" w:line="240" w:lineRule="auto"/>
      </w:pPr>
      <w:r>
        <w:separator/>
      </w:r>
    </w:p>
  </w:footnote>
  <w:footnote w:type="continuationSeparator" w:id="0">
    <w:p w14:paraId="0B32A60D" w14:textId="77777777" w:rsidR="003F6E8A" w:rsidRDefault="003F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4E42" w14:textId="77777777" w:rsidR="00443E75" w:rsidRPr="00BE1469" w:rsidRDefault="00443E75">
    <w:pPr>
      <w:pStyle w:val="Nagwek"/>
      <w:rPr>
        <w:rFonts w:ascii="Tahoma" w:hAnsi="Tahoma" w:cs="Tahoma"/>
        <w:b/>
        <w:color w:val="808080"/>
        <w:sz w:val="28"/>
        <w:szCs w:val="28"/>
      </w:rPr>
    </w:pPr>
    <w:r>
      <w:rPr>
        <w:noProof/>
      </w:rPr>
      <w:drawing>
        <wp:inline distT="0" distB="0" distL="0" distR="0" wp14:anchorId="46E3350E" wp14:editId="15772E88">
          <wp:extent cx="1714500" cy="495300"/>
          <wp:effectExtent l="0" t="0" r="0" b="0"/>
          <wp:docPr id="1" name="Obraz 1" descr="Opis: budimex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udimex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E1469">
      <w:rPr>
        <w:color w:val="808080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6D"/>
    <w:rsid w:val="00000ADD"/>
    <w:rsid w:val="00002445"/>
    <w:rsid w:val="00002D8D"/>
    <w:rsid w:val="0000547F"/>
    <w:rsid w:val="00005B00"/>
    <w:rsid w:val="00006DAD"/>
    <w:rsid w:val="00006F16"/>
    <w:rsid w:val="00007CED"/>
    <w:rsid w:val="00012BD3"/>
    <w:rsid w:val="00013DDC"/>
    <w:rsid w:val="000143E1"/>
    <w:rsid w:val="00015571"/>
    <w:rsid w:val="00015D17"/>
    <w:rsid w:val="00015E18"/>
    <w:rsid w:val="0001686D"/>
    <w:rsid w:val="0002472B"/>
    <w:rsid w:val="0002512E"/>
    <w:rsid w:val="00027A0D"/>
    <w:rsid w:val="00031B45"/>
    <w:rsid w:val="00035187"/>
    <w:rsid w:val="00035E44"/>
    <w:rsid w:val="00043FAD"/>
    <w:rsid w:val="00046A59"/>
    <w:rsid w:val="0005186F"/>
    <w:rsid w:val="000536CC"/>
    <w:rsid w:val="000544AB"/>
    <w:rsid w:val="0005636C"/>
    <w:rsid w:val="000611CA"/>
    <w:rsid w:val="00065CCE"/>
    <w:rsid w:val="00066CBA"/>
    <w:rsid w:val="00070F13"/>
    <w:rsid w:val="0007273E"/>
    <w:rsid w:val="000750B2"/>
    <w:rsid w:val="00083BF1"/>
    <w:rsid w:val="00086502"/>
    <w:rsid w:val="0009546B"/>
    <w:rsid w:val="0009571E"/>
    <w:rsid w:val="0009760A"/>
    <w:rsid w:val="000A393E"/>
    <w:rsid w:val="000A50D8"/>
    <w:rsid w:val="000A6A68"/>
    <w:rsid w:val="000A79F5"/>
    <w:rsid w:val="000B0499"/>
    <w:rsid w:val="000C1D7C"/>
    <w:rsid w:val="000C492C"/>
    <w:rsid w:val="000C73E9"/>
    <w:rsid w:val="000D186E"/>
    <w:rsid w:val="000D608F"/>
    <w:rsid w:val="000D7B55"/>
    <w:rsid w:val="000E11F1"/>
    <w:rsid w:val="000E1CB9"/>
    <w:rsid w:val="000E77C2"/>
    <w:rsid w:val="000F1C3A"/>
    <w:rsid w:val="000F40FA"/>
    <w:rsid w:val="000F563F"/>
    <w:rsid w:val="000F6389"/>
    <w:rsid w:val="000F7013"/>
    <w:rsid w:val="00102994"/>
    <w:rsid w:val="00103B50"/>
    <w:rsid w:val="001046F9"/>
    <w:rsid w:val="00106EE5"/>
    <w:rsid w:val="00106FBD"/>
    <w:rsid w:val="0011139D"/>
    <w:rsid w:val="001146D1"/>
    <w:rsid w:val="001146F9"/>
    <w:rsid w:val="001158F2"/>
    <w:rsid w:val="00117D8D"/>
    <w:rsid w:val="00120F83"/>
    <w:rsid w:val="001212FE"/>
    <w:rsid w:val="00123AF4"/>
    <w:rsid w:val="001263A7"/>
    <w:rsid w:val="00126412"/>
    <w:rsid w:val="0012672F"/>
    <w:rsid w:val="001309E7"/>
    <w:rsid w:val="00131185"/>
    <w:rsid w:val="00132808"/>
    <w:rsid w:val="001365F7"/>
    <w:rsid w:val="0014150D"/>
    <w:rsid w:val="00143B9B"/>
    <w:rsid w:val="001446B7"/>
    <w:rsid w:val="00151EF0"/>
    <w:rsid w:val="001550D9"/>
    <w:rsid w:val="00160247"/>
    <w:rsid w:val="0016357F"/>
    <w:rsid w:val="00167B97"/>
    <w:rsid w:val="001701E4"/>
    <w:rsid w:val="00171025"/>
    <w:rsid w:val="00171462"/>
    <w:rsid w:val="00171CFD"/>
    <w:rsid w:val="00172E2A"/>
    <w:rsid w:val="00175351"/>
    <w:rsid w:val="001769D2"/>
    <w:rsid w:val="00180E54"/>
    <w:rsid w:val="0018339B"/>
    <w:rsid w:val="00184A9C"/>
    <w:rsid w:val="001866B8"/>
    <w:rsid w:val="001873A7"/>
    <w:rsid w:val="00187FF6"/>
    <w:rsid w:val="00192730"/>
    <w:rsid w:val="00196274"/>
    <w:rsid w:val="00196CAA"/>
    <w:rsid w:val="00197E8F"/>
    <w:rsid w:val="001A1B8E"/>
    <w:rsid w:val="001A1E40"/>
    <w:rsid w:val="001A5A1E"/>
    <w:rsid w:val="001B00DD"/>
    <w:rsid w:val="001B2EDD"/>
    <w:rsid w:val="001C2AAD"/>
    <w:rsid w:val="001C2EED"/>
    <w:rsid w:val="001C30C8"/>
    <w:rsid w:val="001D6505"/>
    <w:rsid w:val="001E3DA9"/>
    <w:rsid w:val="001E652D"/>
    <w:rsid w:val="001E7B6A"/>
    <w:rsid w:val="001F2849"/>
    <w:rsid w:val="00201C91"/>
    <w:rsid w:val="00202BB1"/>
    <w:rsid w:val="002069D0"/>
    <w:rsid w:val="0021394F"/>
    <w:rsid w:val="00217295"/>
    <w:rsid w:val="002209DF"/>
    <w:rsid w:val="00220BC5"/>
    <w:rsid w:val="002239DC"/>
    <w:rsid w:val="00223DD5"/>
    <w:rsid w:val="00226A09"/>
    <w:rsid w:val="002271BF"/>
    <w:rsid w:val="00227D05"/>
    <w:rsid w:val="00230259"/>
    <w:rsid w:val="00230F45"/>
    <w:rsid w:val="00236F88"/>
    <w:rsid w:val="00237D9D"/>
    <w:rsid w:val="00240F97"/>
    <w:rsid w:val="002418A0"/>
    <w:rsid w:val="00255AD1"/>
    <w:rsid w:val="00255CDE"/>
    <w:rsid w:val="00257336"/>
    <w:rsid w:val="00261350"/>
    <w:rsid w:val="002618A9"/>
    <w:rsid w:val="00266D7C"/>
    <w:rsid w:val="00266DA1"/>
    <w:rsid w:val="00270C40"/>
    <w:rsid w:val="00271673"/>
    <w:rsid w:val="0027327E"/>
    <w:rsid w:val="002737DD"/>
    <w:rsid w:val="00274011"/>
    <w:rsid w:val="0027459B"/>
    <w:rsid w:val="00285E8D"/>
    <w:rsid w:val="00292F3C"/>
    <w:rsid w:val="002A46CA"/>
    <w:rsid w:val="002B0751"/>
    <w:rsid w:val="002B273E"/>
    <w:rsid w:val="002B604F"/>
    <w:rsid w:val="002B6328"/>
    <w:rsid w:val="002B65CF"/>
    <w:rsid w:val="002B6DE2"/>
    <w:rsid w:val="002C0BAE"/>
    <w:rsid w:val="002C3751"/>
    <w:rsid w:val="002C7EA0"/>
    <w:rsid w:val="002D2D9E"/>
    <w:rsid w:val="002D41C8"/>
    <w:rsid w:val="002D7B56"/>
    <w:rsid w:val="002E164B"/>
    <w:rsid w:val="002F1239"/>
    <w:rsid w:val="002F320E"/>
    <w:rsid w:val="002F39F8"/>
    <w:rsid w:val="002F66D3"/>
    <w:rsid w:val="002F7553"/>
    <w:rsid w:val="003013FE"/>
    <w:rsid w:val="003125A0"/>
    <w:rsid w:val="00320E63"/>
    <w:rsid w:val="00320F7D"/>
    <w:rsid w:val="0032728F"/>
    <w:rsid w:val="00343849"/>
    <w:rsid w:val="00345D46"/>
    <w:rsid w:val="00350DFB"/>
    <w:rsid w:val="0035393A"/>
    <w:rsid w:val="003625B3"/>
    <w:rsid w:val="00387E4F"/>
    <w:rsid w:val="00390E52"/>
    <w:rsid w:val="003911DC"/>
    <w:rsid w:val="00391573"/>
    <w:rsid w:val="003917A7"/>
    <w:rsid w:val="003921DB"/>
    <w:rsid w:val="003A3BFA"/>
    <w:rsid w:val="003A3ED2"/>
    <w:rsid w:val="003A5CC0"/>
    <w:rsid w:val="003A7AD8"/>
    <w:rsid w:val="003B1380"/>
    <w:rsid w:val="003B3BB5"/>
    <w:rsid w:val="003B666E"/>
    <w:rsid w:val="003B7263"/>
    <w:rsid w:val="003C0E35"/>
    <w:rsid w:val="003C546E"/>
    <w:rsid w:val="003C743F"/>
    <w:rsid w:val="003C7745"/>
    <w:rsid w:val="003C7DAE"/>
    <w:rsid w:val="003C7FEB"/>
    <w:rsid w:val="003D053E"/>
    <w:rsid w:val="003D3A09"/>
    <w:rsid w:val="003D6766"/>
    <w:rsid w:val="003E1404"/>
    <w:rsid w:val="003E20ED"/>
    <w:rsid w:val="003E70EB"/>
    <w:rsid w:val="003F12A9"/>
    <w:rsid w:val="003F4E6A"/>
    <w:rsid w:val="003F6E8A"/>
    <w:rsid w:val="00400334"/>
    <w:rsid w:val="00401364"/>
    <w:rsid w:val="0040156F"/>
    <w:rsid w:val="00402CA9"/>
    <w:rsid w:val="00404D4D"/>
    <w:rsid w:val="00405284"/>
    <w:rsid w:val="00414552"/>
    <w:rsid w:val="004155E7"/>
    <w:rsid w:val="00415B37"/>
    <w:rsid w:val="00417B2A"/>
    <w:rsid w:val="00422DF4"/>
    <w:rsid w:val="0042402D"/>
    <w:rsid w:val="00426056"/>
    <w:rsid w:val="004274CF"/>
    <w:rsid w:val="00427E4C"/>
    <w:rsid w:val="00427F41"/>
    <w:rsid w:val="0043101D"/>
    <w:rsid w:val="00432029"/>
    <w:rsid w:val="004341FE"/>
    <w:rsid w:val="00435CEF"/>
    <w:rsid w:val="004376CD"/>
    <w:rsid w:val="00437DCD"/>
    <w:rsid w:val="00443E75"/>
    <w:rsid w:val="00450576"/>
    <w:rsid w:val="0045542F"/>
    <w:rsid w:val="00461A10"/>
    <w:rsid w:val="00464C4B"/>
    <w:rsid w:val="00465A5B"/>
    <w:rsid w:val="00466CDD"/>
    <w:rsid w:val="00467234"/>
    <w:rsid w:val="0047065A"/>
    <w:rsid w:val="004733BF"/>
    <w:rsid w:val="00473904"/>
    <w:rsid w:val="00484BEB"/>
    <w:rsid w:val="00494154"/>
    <w:rsid w:val="00495C61"/>
    <w:rsid w:val="0049789C"/>
    <w:rsid w:val="004A28DE"/>
    <w:rsid w:val="004B1AC3"/>
    <w:rsid w:val="004B43E2"/>
    <w:rsid w:val="004B49E9"/>
    <w:rsid w:val="004B71B6"/>
    <w:rsid w:val="004B79EF"/>
    <w:rsid w:val="004D39D6"/>
    <w:rsid w:val="004D57DA"/>
    <w:rsid w:val="004D61F0"/>
    <w:rsid w:val="004D7A08"/>
    <w:rsid w:val="004E19C7"/>
    <w:rsid w:val="004E4D86"/>
    <w:rsid w:val="004E53A7"/>
    <w:rsid w:val="004E6ABA"/>
    <w:rsid w:val="004E7128"/>
    <w:rsid w:val="004F0D34"/>
    <w:rsid w:val="004F5E83"/>
    <w:rsid w:val="004F6359"/>
    <w:rsid w:val="004F716D"/>
    <w:rsid w:val="0050032D"/>
    <w:rsid w:val="005036EC"/>
    <w:rsid w:val="00503F0A"/>
    <w:rsid w:val="00511D05"/>
    <w:rsid w:val="0051496D"/>
    <w:rsid w:val="00517ED1"/>
    <w:rsid w:val="005239F5"/>
    <w:rsid w:val="00526E50"/>
    <w:rsid w:val="0052788E"/>
    <w:rsid w:val="0053642A"/>
    <w:rsid w:val="005378B7"/>
    <w:rsid w:val="00543A5F"/>
    <w:rsid w:val="005445B0"/>
    <w:rsid w:val="00545373"/>
    <w:rsid w:val="00550487"/>
    <w:rsid w:val="005523FB"/>
    <w:rsid w:val="00552A77"/>
    <w:rsid w:val="005552E8"/>
    <w:rsid w:val="0055549A"/>
    <w:rsid w:val="00563764"/>
    <w:rsid w:val="0056395E"/>
    <w:rsid w:val="00565A88"/>
    <w:rsid w:val="0057085C"/>
    <w:rsid w:val="00571082"/>
    <w:rsid w:val="005769DE"/>
    <w:rsid w:val="00581EC0"/>
    <w:rsid w:val="00586155"/>
    <w:rsid w:val="00590C93"/>
    <w:rsid w:val="00591A89"/>
    <w:rsid w:val="005A267F"/>
    <w:rsid w:val="005A67D6"/>
    <w:rsid w:val="005A68B3"/>
    <w:rsid w:val="005B17D0"/>
    <w:rsid w:val="005B1F9D"/>
    <w:rsid w:val="005B40D7"/>
    <w:rsid w:val="005B56BA"/>
    <w:rsid w:val="005C21BF"/>
    <w:rsid w:val="005C3AC2"/>
    <w:rsid w:val="005C4971"/>
    <w:rsid w:val="005C4C1C"/>
    <w:rsid w:val="005C5517"/>
    <w:rsid w:val="005D184D"/>
    <w:rsid w:val="005D594B"/>
    <w:rsid w:val="005D6C3A"/>
    <w:rsid w:val="005E06E8"/>
    <w:rsid w:val="005E0B46"/>
    <w:rsid w:val="005E213B"/>
    <w:rsid w:val="005E4820"/>
    <w:rsid w:val="005F04D5"/>
    <w:rsid w:val="005F50A3"/>
    <w:rsid w:val="005F7C96"/>
    <w:rsid w:val="00601A95"/>
    <w:rsid w:val="0060225D"/>
    <w:rsid w:val="006038DA"/>
    <w:rsid w:val="006068B3"/>
    <w:rsid w:val="006125A0"/>
    <w:rsid w:val="00615211"/>
    <w:rsid w:val="006278A7"/>
    <w:rsid w:val="0063676F"/>
    <w:rsid w:val="006379E1"/>
    <w:rsid w:val="00645098"/>
    <w:rsid w:val="006455B1"/>
    <w:rsid w:val="0064767A"/>
    <w:rsid w:val="00650D89"/>
    <w:rsid w:val="006525F5"/>
    <w:rsid w:val="006616DF"/>
    <w:rsid w:val="00662014"/>
    <w:rsid w:val="00663074"/>
    <w:rsid w:val="00666B10"/>
    <w:rsid w:val="00666E9D"/>
    <w:rsid w:val="006716FA"/>
    <w:rsid w:val="006731FF"/>
    <w:rsid w:val="00673984"/>
    <w:rsid w:val="00674597"/>
    <w:rsid w:val="00676DDD"/>
    <w:rsid w:val="00687AB8"/>
    <w:rsid w:val="006A0669"/>
    <w:rsid w:val="006A0B22"/>
    <w:rsid w:val="006A5A7F"/>
    <w:rsid w:val="006C2A03"/>
    <w:rsid w:val="006C5BA9"/>
    <w:rsid w:val="006D49A6"/>
    <w:rsid w:val="006E1B69"/>
    <w:rsid w:val="006E2D42"/>
    <w:rsid w:val="006E7BB7"/>
    <w:rsid w:val="006F321E"/>
    <w:rsid w:val="006F3909"/>
    <w:rsid w:val="007055FD"/>
    <w:rsid w:val="007069E7"/>
    <w:rsid w:val="00716F73"/>
    <w:rsid w:val="007227C2"/>
    <w:rsid w:val="007243DF"/>
    <w:rsid w:val="00725742"/>
    <w:rsid w:val="007272D9"/>
    <w:rsid w:val="007305AF"/>
    <w:rsid w:val="00732FD4"/>
    <w:rsid w:val="00733601"/>
    <w:rsid w:val="00735186"/>
    <w:rsid w:val="00737AC9"/>
    <w:rsid w:val="00737B0D"/>
    <w:rsid w:val="007410AD"/>
    <w:rsid w:val="007412B7"/>
    <w:rsid w:val="00741DA4"/>
    <w:rsid w:val="00743B88"/>
    <w:rsid w:val="0074769E"/>
    <w:rsid w:val="00747AC9"/>
    <w:rsid w:val="007535DE"/>
    <w:rsid w:val="00762FD6"/>
    <w:rsid w:val="00764F27"/>
    <w:rsid w:val="00765CC0"/>
    <w:rsid w:val="007676C8"/>
    <w:rsid w:val="007707AB"/>
    <w:rsid w:val="00771A10"/>
    <w:rsid w:val="00772941"/>
    <w:rsid w:val="00773CE1"/>
    <w:rsid w:val="007756CB"/>
    <w:rsid w:val="00775C6E"/>
    <w:rsid w:val="007774EF"/>
    <w:rsid w:val="00777E0F"/>
    <w:rsid w:val="00783CAC"/>
    <w:rsid w:val="00786953"/>
    <w:rsid w:val="0079320D"/>
    <w:rsid w:val="00793765"/>
    <w:rsid w:val="0079618E"/>
    <w:rsid w:val="00796AAE"/>
    <w:rsid w:val="007A0268"/>
    <w:rsid w:val="007A0AFF"/>
    <w:rsid w:val="007A0E74"/>
    <w:rsid w:val="007B2A08"/>
    <w:rsid w:val="007B7905"/>
    <w:rsid w:val="007C1633"/>
    <w:rsid w:val="007C18BA"/>
    <w:rsid w:val="007C4188"/>
    <w:rsid w:val="007C5BA2"/>
    <w:rsid w:val="007D076F"/>
    <w:rsid w:val="007D1269"/>
    <w:rsid w:val="007D2594"/>
    <w:rsid w:val="007D3C7A"/>
    <w:rsid w:val="007D3FAE"/>
    <w:rsid w:val="007D44F3"/>
    <w:rsid w:val="007D4E38"/>
    <w:rsid w:val="007D5FD9"/>
    <w:rsid w:val="007E2F00"/>
    <w:rsid w:val="007E54BA"/>
    <w:rsid w:val="007F0EEF"/>
    <w:rsid w:val="007F430C"/>
    <w:rsid w:val="007F493C"/>
    <w:rsid w:val="007F5386"/>
    <w:rsid w:val="007F5483"/>
    <w:rsid w:val="007F7EC9"/>
    <w:rsid w:val="008018A5"/>
    <w:rsid w:val="0080306A"/>
    <w:rsid w:val="00803440"/>
    <w:rsid w:val="008046A2"/>
    <w:rsid w:val="00805427"/>
    <w:rsid w:val="0080767C"/>
    <w:rsid w:val="00814A23"/>
    <w:rsid w:val="008177ED"/>
    <w:rsid w:val="00820525"/>
    <w:rsid w:val="008231E8"/>
    <w:rsid w:val="00823566"/>
    <w:rsid w:val="00825759"/>
    <w:rsid w:val="0083391F"/>
    <w:rsid w:val="00834891"/>
    <w:rsid w:val="008349FF"/>
    <w:rsid w:val="00837162"/>
    <w:rsid w:val="00841D2F"/>
    <w:rsid w:val="00843B63"/>
    <w:rsid w:val="00844977"/>
    <w:rsid w:val="00845C70"/>
    <w:rsid w:val="00845FCD"/>
    <w:rsid w:val="0084678D"/>
    <w:rsid w:val="00850053"/>
    <w:rsid w:val="008502BF"/>
    <w:rsid w:val="00851251"/>
    <w:rsid w:val="008513AF"/>
    <w:rsid w:val="00851A30"/>
    <w:rsid w:val="00855F59"/>
    <w:rsid w:val="008614DA"/>
    <w:rsid w:val="0086234F"/>
    <w:rsid w:val="00864CB7"/>
    <w:rsid w:val="00870948"/>
    <w:rsid w:val="00873E1B"/>
    <w:rsid w:val="0087436B"/>
    <w:rsid w:val="008743C4"/>
    <w:rsid w:val="008768DC"/>
    <w:rsid w:val="008828B1"/>
    <w:rsid w:val="0088299E"/>
    <w:rsid w:val="00885A5F"/>
    <w:rsid w:val="00886BFA"/>
    <w:rsid w:val="00891BC6"/>
    <w:rsid w:val="008925ED"/>
    <w:rsid w:val="00893DDF"/>
    <w:rsid w:val="00896939"/>
    <w:rsid w:val="008A05D0"/>
    <w:rsid w:val="008A090D"/>
    <w:rsid w:val="008A4845"/>
    <w:rsid w:val="008B18B6"/>
    <w:rsid w:val="008B371E"/>
    <w:rsid w:val="008B4DFB"/>
    <w:rsid w:val="008B5897"/>
    <w:rsid w:val="008B672E"/>
    <w:rsid w:val="008B7238"/>
    <w:rsid w:val="008C1324"/>
    <w:rsid w:val="008C2B2D"/>
    <w:rsid w:val="008C3BD5"/>
    <w:rsid w:val="008C4905"/>
    <w:rsid w:val="008C58DC"/>
    <w:rsid w:val="008D0BD1"/>
    <w:rsid w:val="008D3E62"/>
    <w:rsid w:val="008D46F0"/>
    <w:rsid w:val="008D5A20"/>
    <w:rsid w:val="008D7A4B"/>
    <w:rsid w:val="008D7B87"/>
    <w:rsid w:val="008E560B"/>
    <w:rsid w:val="008F0A04"/>
    <w:rsid w:val="008F3149"/>
    <w:rsid w:val="00906E75"/>
    <w:rsid w:val="009116B8"/>
    <w:rsid w:val="00914A70"/>
    <w:rsid w:val="00920129"/>
    <w:rsid w:val="009211B4"/>
    <w:rsid w:val="00924B42"/>
    <w:rsid w:val="009253D7"/>
    <w:rsid w:val="00925BCC"/>
    <w:rsid w:val="00925C8F"/>
    <w:rsid w:val="00935DE0"/>
    <w:rsid w:val="00936001"/>
    <w:rsid w:val="00936CEA"/>
    <w:rsid w:val="00943DFD"/>
    <w:rsid w:val="00944ABB"/>
    <w:rsid w:val="0094542B"/>
    <w:rsid w:val="00946629"/>
    <w:rsid w:val="00947ACD"/>
    <w:rsid w:val="009525B6"/>
    <w:rsid w:val="00953FC2"/>
    <w:rsid w:val="00957B70"/>
    <w:rsid w:val="009626EB"/>
    <w:rsid w:val="009648BE"/>
    <w:rsid w:val="009741AE"/>
    <w:rsid w:val="00974D7B"/>
    <w:rsid w:val="009832A2"/>
    <w:rsid w:val="00985183"/>
    <w:rsid w:val="009874C9"/>
    <w:rsid w:val="00990D53"/>
    <w:rsid w:val="00990E3F"/>
    <w:rsid w:val="00991E76"/>
    <w:rsid w:val="009921F9"/>
    <w:rsid w:val="00994CA9"/>
    <w:rsid w:val="0099546B"/>
    <w:rsid w:val="00995AC3"/>
    <w:rsid w:val="00995DDF"/>
    <w:rsid w:val="00997670"/>
    <w:rsid w:val="009978D9"/>
    <w:rsid w:val="009A1B96"/>
    <w:rsid w:val="009A1F35"/>
    <w:rsid w:val="009A2133"/>
    <w:rsid w:val="009A4A46"/>
    <w:rsid w:val="009A78CB"/>
    <w:rsid w:val="009B2AE5"/>
    <w:rsid w:val="009B4653"/>
    <w:rsid w:val="009B49B7"/>
    <w:rsid w:val="009B5C97"/>
    <w:rsid w:val="009B7CC4"/>
    <w:rsid w:val="009C0287"/>
    <w:rsid w:val="009C7D4B"/>
    <w:rsid w:val="009D1C3C"/>
    <w:rsid w:val="009D1D40"/>
    <w:rsid w:val="009D4E83"/>
    <w:rsid w:val="009D6366"/>
    <w:rsid w:val="009D6E6E"/>
    <w:rsid w:val="009D77B7"/>
    <w:rsid w:val="009E05B3"/>
    <w:rsid w:val="009F0CBF"/>
    <w:rsid w:val="009F440E"/>
    <w:rsid w:val="009F7F82"/>
    <w:rsid w:val="00A0030F"/>
    <w:rsid w:val="00A019C4"/>
    <w:rsid w:val="00A057E2"/>
    <w:rsid w:val="00A070BF"/>
    <w:rsid w:val="00A15562"/>
    <w:rsid w:val="00A15BF8"/>
    <w:rsid w:val="00A1729E"/>
    <w:rsid w:val="00A23CB6"/>
    <w:rsid w:val="00A2434D"/>
    <w:rsid w:val="00A27ACA"/>
    <w:rsid w:val="00A27C16"/>
    <w:rsid w:val="00A30F27"/>
    <w:rsid w:val="00A31FFE"/>
    <w:rsid w:val="00A3311B"/>
    <w:rsid w:val="00A41AE4"/>
    <w:rsid w:val="00A42220"/>
    <w:rsid w:val="00A42B05"/>
    <w:rsid w:val="00A42BE0"/>
    <w:rsid w:val="00A4335D"/>
    <w:rsid w:val="00A44B91"/>
    <w:rsid w:val="00A46C60"/>
    <w:rsid w:val="00A470A2"/>
    <w:rsid w:val="00A523B2"/>
    <w:rsid w:val="00A52FB6"/>
    <w:rsid w:val="00A53C6E"/>
    <w:rsid w:val="00A57B31"/>
    <w:rsid w:val="00A63B09"/>
    <w:rsid w:val="00A67FFE"/>
    <w:rsid w:val="00A75DD8"/>
    <w:rsid w:val="00A83C08"/>
    <w:rsid w:val="00A86520"/>
    <w:rsid w:val="00A87833"/>
    <w:rsid w:val="00A919A8"/>
    <w:rsid w:val="00A944D6"/>
    <w:rsid w:val="00A949F2"/>
    <w:rsid w:val="00AA4F33"/>
    <w:rsid w:val="00AA6543"/>
    <w:rsid w:val="00AB18D5"/>
    <w:rsid w:val="00AB4361"/>
    <w:rsid w:val="00AB5436"/>
    <w:rsid w:val="00AC1BE5"/>
    <w:rsid w:val="00AC2733"/>
    <w:rsid w:val="00AC45F5"/>
    <w:rsid w:val="00AC5224"/>
    <w:rsid w:val="00AC6068"/>
    <w:rsid w:val="00AC6E35"/>
    <w:rsid w:val="00AC7EF2"/>
    <w:rsid w:val="00AD1EBD"/>
    <w:rsid w:val="00AD32D7"/>
    <w:rsid w:val="00AD66C5"/>
    <w:rsid w:val="00AE076B"/>
    <w:rsid w:val="00AE112E"/>
    <w:rsid w:val="00AE2BB2"/>
    <w:rsid w:val="00AE412D"/>
    <w:rsid w:val="00AE50B9"/>
    <w:rsid w:val="00AE6B04"/>
    <w:rsid w:val="00AF00AD"/>
    <w:rsid w:val="00AF2D77"/>
    <w:rsid w:val="00AF3579"/>
    <w:rsid w:val="00B058F1"/>
    <w:rsid w:val="00B06C4F"/>
    <w:rsid w:val="00B07908"/>
    <w:rsid w:val="00B10E15"/>
    <w:rsid w:val="00B11C15"/>
    <w:rsid w:val="00B12CB9"/>
    <w:rsid w:val="00B144BF"/>
    <w:rsid w:val="00B23FE4"/>
    <w:rsid w:val="00B2664E"/>
    <w:rsid w:val="00B33C77"/>
    <w:rsid w:val="00B33CDC"/>
    <w:rsid w:val="00B3477A"/>
    <w:rsid w:val="00B34A58"/>
    <w:rsid w:val="00B3789E"/>
    <w:rsid w:val="00B4019F"/>
    <w:rsid w:val="00B460E3"/>
    <w:rsid w:val="00B47816"/>
    <w:rsid w:val="00B5023E"/>
    <w:rsid w:val="00B5313D"/>
    <w:rsid w:val="00B54C63"/>
    <w:rsid w:val="00B56871"/>
    <w:rsid w:val="00B6136B"/>
    <w:rsid w:val="00B6402B"/>
    <w:rsid w:val="00B64F55"/>
    <w:rsid w:val="00B70813"/>
    <w:rsid w:val="00B709E2"/>
    <w:rsid w:val="00B71662"/>
    <w:rsid w:val="00B736DD"/>
    <w:rsid w:val="00B75428"/>
    <w:rsid w:val="00B769C2"/>
    <w:rsid w:val="00B81A1B"/>
    <w:rsid w:val="00B81EED"/>
    <w:rsid w:val="00B8293E"/>
    <w:rsid w:val="00B82B75"/>
    <w:rsid w:val="00B84B34"/>
    <w:rsid w:val="00B863EC"/>
    <w:rsid w:val="00B9199D"/>
    <w:rsid w:val="00B93676"/>
    <w:rsid w:val="00BA1C34"/>
    <w:rsid w:val="00BA3D12"/>
    <w:rsid w:val="00BA4AFB"/>
    <w:rsid w:val="00BA7DA5"/>
    <w:rsid w:val="00BB210C"/>
    <w:rsid w:val="00BB26CB"/>
    <w:rsid w:val="00BB31F8"/>
    <w:rsid w:val="00BB3801"/>
    <w:rsid w:val="00BB58E5"/>
    <w:rsid w:val="00BB7635"/>
    <w:rsid w:val="00BC4A96"/>
    <w:rsid w:val="00BC4BBA"/>
    <w:rsid w:val="00BC558E"/>
    <w:rsid w:val="00BD089C"/>
    <w:rsid w:val="00BD0B89"/>
    <w:rsid w:val="00BD1185"/>
    <w:rsid w:val="00BD32F8"/>
    <w:rsid w:val="00BD3932"/>
    <w:rsid w:val="00BD4173"/>
    <w:rsid w:val="00BE2744"/>
    <w:rsid w:val="00BE6C06"/>
    <w:rsid w:val="00BE753D"/>
    <w:rsid w:val="00BF152A"/>
    <w:rsid w:val="00BF3981"/>
    <w:rsid w:val="00C05647"/>
    <w:rsid w:val="00C108BD"/>
    <w:rsid w:val="00C10AB2"/>
    <w:rsid w:val="00C118DD"/>
    <w:rsid w:val="00C1211F"/>
    <w:rsid w:val="00C13E43"/>
    <w:rsid w:val="00C149AC"/>
    <w:rsid w:val="00C232E2"/>
    <w:rsid w:val="00C24A61"/>
    <w:rsid w:val="00C26C33"/>
    <w:rsid w:val="00C27934"/>
    <w:rsid w:val="00C30472"/>
    <w:rsid w:val="00C323A7"/>
    <w:rsid w:val="00C35BD0"/>
    <w:rsid w:val="00C35D73"/>
    <w:rsid w:val="00C3772B"/>
    <w:rsid w:val="00C40DAD"/>
    <w:rsid w:val="00C4184D"/>
    <w:rsid w:val="00C44632"/>
    <w:rsid w:val="00C46274"/>
    <w:rsid w:val="00C53492"/>
    <w:rsid w:val="00C544C6"/>
    <w:rsid w:val="00C54C69"/>
    <w:rsid w:val="00C573A4"/>
    <w:rsid w:val="00C578FB"/>
    <w:rsid w:val="00C62540"/>
    <w:rsid w:val="00C626D6"/>
    <w:rsid w:val="00C63C79"/>
    <w:rsid w:val="00C652CD"/>
    <w:rsid w:val="00C66D49"/>
    <w:rsid w:val="00C74700"/>
    <w:rsid w:val="00C75CD2"/>
    <w:rsid w:val="00C7664D"/>
    <w:rsid w:val="00C81CFD"/>
    <w:rsid w:val="00C862A3"/>
    <w:rsid w:val="00C93341"/>
    <w:rsid w:val="00C96E50"/>
    <w:rsid w:val="00CA2DC2"/>
    <w:rsid w:val="00CA3E75"/>
    <w:rsid w:val="00CA5282"/>
    <w:rsid w:val="00CA7D2E"/>
    <w:rsid w:val="00CB1AAB"/>
    <w:rsid w:val="00CB4F45"/>
    <w:rsid w:val="00CB6A71"/>
    <w:rsid w:val="00CC1E37"/>
    <w:rsid w:val="00CC1F1F"/>
    <w:rsid w:val="00CC2796"/>
    <w:rsid w:val="00CC4054"/>
    <w:rsid w:val="00CC77F8"/>
    <w:rsid w:val="00CD1391"/>
    <w:rsid w:val="00CD15AC"/>
    <w:rsid w:val="00CD2116"/>
    <w:rsid w:val="00CD26A0"/>
    <w:rsid w:val="00CD468F"/>
    <w:rsid w:val="00CD5CFB"/>
    <w:rsid w:val="00CE46D8"/>
    <w:rsid w:val="00CE571A"/>
    <w:rsid w:val="00CF0E98"/>
    <w:rsid w:val="00CF2A17"/>
    <w:rsid w:val="00CF2C8A"/>
    <w:rsid w:val="00CF4542"/>
    <w:rsid w:val="00CF7E60"/>
    <w:rsid w:val="00D00B76"/>
    <w:rsid w:val="00D042FA"/>
    <w:rsid w:val="00D044F7"/>
    <w:rsid w:val="00D0456B"/>
    <w:rsid w:val="00D05EB5"/>
    <w:rsid w:val="00D07095"/>
    <w:rsid w:val="00D139A0"/>
    <w:rsid w:val="00D1632C"/>
    <w:rsid w:val="00D241EF"/>
    <w:rsid w:val="00D4010D"/>
    <w:rsid w:val="00D40347"/>
    <w:rsid w:val="00D41E13"/>
    <w:rsid w:val="00D41ED8"/>
    <w:rsid w:val="00D42D67"/>
    <w:rsid w:val="00D44F40"/>
    <w:rsid w:val="00D45496"/>
    <w:rsid w:val="00D46424"/>
    <w:rsid w:val="00D540FD"/>
    <w:rsid w:val="00D56B2A"/>
    <w:rsid w:val="00D57359"/>
    <w:rsid w:val="00D616F9"/>
    <w:rsid w:val="00D63FDD"/>
    <w:rsid w:val="00D640FB"/>
    <w:rsid w:val="00D67F13"/>
    <w:rsid w:val="00D7488A"/>
    <w:rsid w:val="00D74CF4"/>
    <w:rsid w:val="00D77C05"/>
    <w:rsid w:val="00D8039F"/>
    <w:rsid w:val="00D8070F"/>
    <w:rsid w:val="00D817AD"/>
    <w:rsid w:val="00D8307B"/>
    <w:rsid w:val="00D909C5"/>
    <w:rsid w:val="00D91F4B"/>
    <w:rsid w:val="00D94267"/>
    <w:rsid w:val="00D9503C"/>
    <w:rsid w:val="00D95DD8"/>
    <w:rsid w:val="00DA1F57"/>
    <w:rsid w:val="00DA39D0"/>
    <w:rsid w:val="00DA62BF"/>
    <w:rsid w:val="00DB2DFE"/>
    <w:rsid w:val="00DB3C4F"/>
    <w:rsid w:val="00DB445F"/>
    <w:rsid w:val="00DB639A"/>
    <w:rsid w:val="00DB702A"/>
    <w:rsid w:val="00DC1BB2"/>
    <w:rsid w:val="00DC212F"/>
    <w:rsid w:val="00DC39F6"/>
    <w:rsid w:val="00DC3BBC"/>
    <w:rsid w:val="00DC6367"/>
    <w:rsid w:val="00DD0DFF"/>
    <w:rsid w:val="00DD1F9B"/>
    <w:rsid w:val="00DD2C35"/>
    <w:rsid w:val="00DD40B4"/>
    <w:rsid w:val="00DD5A26"/>
    <w:rsid w:val="00DE10DD"/>
    <w:rsid w:val="00DE2AA7"/>
    <w:rsid w:val="00DF245F"/>
    <w:rsid w:val="00DF3DAE"/>
    <w:rsid w:val="00DF4C3D"/>
    <w:rsid w:val="00DF5A4A"/>
    <w:rsid w:val="00E00BD6"/>
    <w:rsid w:val="00E01445"/>
    <w:rsid w:val="00E048C3"/>
    <w:rsid w:val="00E070C2"/>
    <w:rsid w:val="00E11B2C"/>
    <w:rsid w:val="00E12144"/>
    <w:rsid w:val="00E1455D"/>
    <w:rsid w:val="00E15565"/>
    <w:rsid w:val="00E17676"/>
    <w:rsid w:val="00E176E3"/>
    <w:rsid w:val="00E17948"/>
    <w:rsid w:val="00E17D5F"/>
    <w:rsid w:val="00E20B3F"/>
    <w:rsid w:val="00E21AEB"/>
    <w:rsid w:val="00E2209A"/>
    <w:rsid w:val="00E27D28"/>
    <w:rsid w:val="00E3372C"/>
    <w:rsid w:val="00E34AD4"/>
    <w:rsid w:val="00E37C10"/>
    <w:rsid w:val="00E402E6"/>
    <w:rsid w:val="00E47D3F"/>
    <w:rsid w:val="00E47E1C"/>
    <w:rsid w:val="00E53CF6"/>
    <w:rsid w:val="00E55467"/>
    <w:rsid w:val="00E55F0A"/>
    <w:rsid w:val="00E56C7E"/>
    <w:rsid w:val="00E60624"/>
    <w:rsid w:val="00E60CF2"/>
    <w:rsid w:val="00E62594"/>
    <w:rsid w:val="00E75C31"/>
    <w:rsid w:val="00E82664"/>
    <w:rsid w:val="00E84601"/>
    <w:rsid w:val="00E8485D"/>
    <w:rsid w:val="00E87DC2"/>
    <w:rsid w:val="00E91CDC"/>
    <w:rsid w:val="00E94203"/>
    <w:rsid w:val="00E94760"/>
    <w:rsid w:val="00EB1FD8"/>
    <w:rsid w:val="00EB2976"/>
    <w:rsid w:val="00EB4109"/>
    <w:rsid w:val="00EB4BED"/>
    <w:rsid w:val="00EB6B9B"/>
    <w:rsid w:val="00EC0518"/>
    <w:rsid w:val="00EC3640"/>
    <w:rsid w:val="00EC5591"/>
    <w:rsid w:val="00EC55A9"/>
    <w:rsid w:val="00ED0A79"/>
    <w:rsid w:val="00ED1919"/>
    <w:rsid w:val="00ED1FB4"/>
    <w:rsid w:val="00ED3FB8"/>
    <w:rsid w:val="00EE34C5"/>
    <w:rsid w:val="00EE4D75"/>
    <w:rsid w:val="00EE6DF4"/>
    <w:rsid w:val="00EE7E75"/>
    <w:rsid w:val="00EF051C"/>
    <w:rsid w:val="00EF06A2"/>
    <w:rsid w:val="00EF3179"/>
    <w:rsid w:val="00F03BDA"/>
    <w:rsid w:val="00F10A01"/>
    <w:rsid w:val="00F1288F"/>
    <w:rsid w:val="00F13ABF"/>
    <w:rsid w:val="00F16930"/>
    <w:rsid w:val="00F175C6"/>
    <w:rsid w:val="00F2076F"/>
    <w:rsid w:val="00F23024"/>
    <w:rsid w:val="00F2359B"/>
    <w:rsid w:val="00F25356"/>
    <w:rsid w:val="00F27703"/>
    <w:rsid w:val="00F33BD9"/>
    <w:rsid w:val="00F42096"/>
    <w:rsid w:val="00F44448"/>
    <w:rsid w:val="00F460D1"/>
    <w:rsid w:val="00F467A0"/>
    <w:rsid w:val="00F47756"/>
    <w:rsid w:val="00F479B7"/>
    <w:rsid w:val="00F53CE9"/>
    <w:rsid w:val="00F55594"/>
    <w:rsid w:val="00F566CD"/>
    <w:rsid w:val="00F6337F"/>
    <w:rsid w:val="00F80AF6"/>
    <w:rsid w:val="00F830BF"/>
    <w:rsid w:val="00F87DAE"/>
    <w:rsid w:val="00F914A1"/>
    <w:rsid w:val="00F95AFB"/>
    <w:rsid w:val="00F95D65"/>
    <w:rsid w:val="00FA02B5"/>
    <w:rsid w:val="00FB000A"/>
    <w:rsid w:val="00FB66BA"/>
    <w:rsid w:val="00FB735A"/>
    <w:rsid w:val="00FD3E5F"/>
    <w:rsid w:val="00FD52B4"/>
    <w:rsid w:val="00FD5D98"/>
    <w:rsid w:val="00FD72AF"/>
    <w:rsid w:val="00FE0059"/>
    <w:rsid w:val="00FF0142"/>
    <w:rsid w:val="00FF1AD8"/>
    <w:rsid w:val="00FF1B5A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2D5"/>
  <w15:docId w15:val="{F59923B0-F4B4-4E45-88F0-3F6D752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16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716D"/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Nagwek1kwartalne">
    <w:name w:val="Nagłówek_1_kwartalne"/>
    <w:basedOn w:val="Nagwek1"/>
    <w:rsid w:val="004F716D"/>
    <w:pPr>
      <w:keepLines w:val="0"/>
      <w:spacing w:before="0" w:line="300" w:lineRule="exact"/>
      <w:jc w:val="both"/>
    </w:pPr>
    <w:rPr>
      <w:rFonts w:ascii="Verdana" w:eastAsia="Times New Roman" w:hAnsi="Verdana" w:cs="Times New Roman"/>
      <w:bCs w:val="0"/>
      <w:color w:val="auto"/>
      <w:sz w:val="1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6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0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0D7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C4F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C4F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64DA-52BE-4CC7-AB59-B06F14D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BUDIMEX S.A.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Kozioł</dc:creator>
  <cp:lastModifiedBy>Kołakowska, Kinga</cp:lastModifiedBy>
  <cp:revision>24</cp:revision>
  <cp:lastPrinted>2019-02-19T15:13:00Z</cp:lastPrinted>
  <dcterms:created xsi:type="dcterms:W3CDTF">2019-02-19T14:19:00Z</dcterms:created>
  <dcterms:modified xsi:type="dcterms:W3CDTF">2020-02-25T21:01:00Z</dcterms:modified>
</cp:coreProperties>
</file>