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D9C60" w14:textId="77777777" w:rsidR="009E1D43" w:rsidRPr="001723B0" w:rsidRDefault="009E1D43" w:rsidP="00497DD5">
      <w:pPr>
        <w:autoSpaceDE w:val="0"/>
        <w:autoSpaceDN w:val="0"/>
        <w:adjustRightInd w:val="0"/>
        <w:spacing w:before="240" w:after="120" w:line="240" w:lineRule="auto"/>
        <w:jc w:val="center"/>
        <w:rPr>
          <w:rFonts w:ascii="Arial" w:hAnsi="Arial" w:cs="Arial"/>
          <w:b/>
          <w:bCs/>
          <w:sz w:val="20"/>
          <w:szCs w:val="20"/>
        </w:rPr>
      </w:pPr>
      <w:bookmarkStart w:id="0" w:name="_Hlk204773810"/>
      <w:r w:rsidRPr="001723B0">
        <w:rPr>
          <w:rFonts w:ascii="Arial" w:hAnsi="Arial" w:cs="Arial"/>
          <w:b/>
          <w:bCs/>
          <w:color w:val="000000"/>
          <w:sz w:val="20"/>
          <w:szCs w:val="20"/>
        </w:rPr>
        <w:t xml:space="preserve">ZASADY </w:t>
      </w:r>
      <w:r w:rsidR="00D749A1" w:rsidRPr="001723B0">
        <w:rPr>
          <w:rFonts w:ascii="Arial" w:hAnsi="Arial" w:cs="Arial"/>
          <w:b/>
          <w:bCs/>
          <w:color w:val="000000"/>
          <w:sz w:val="20"/>
          <w:szCs w:val="20"/>
        </w:rPr>
        <w:t xml:space="preserve">PROWADZENIA </w:t>
      </w:r>
      <w:r w:rsidR="00926594" w:rsidRPr="001723B0">
        <w:rPr>
          <w:rFonts w:ascii="Arial" w:hAnsi="Arial" w:cs="Arial"/>
          <w:b/>
          <w:bCs/>
          <w:color w:val="000000"/>
          <w:sz w:val="20"/>
          <w:szCs w:val="20"/>
        </w:rPr>
        <w:t xml:space="preserve">PROCESU BUDOWY </w:t>
      </w:r>
      <w:r w:rsidR="00D749A1" w:rsidRPr="001723B0">
        <w:rPr>
          <w:rFonts w:ascii="Arial" w:hAnsi="Arial" w:cs="Arial"/>
          <w:b/>
          <w:bCs/>
          <w:color w:val="000000"/>
          <w:sz w:val="20"/>
          <w:szCs w:val="20"/>
        </w:rPr>
        <w:t xml:space="preserve">KSIĘGI POPYTU ORAZ </w:t>
      </w:r>
      <w:r w:rsidRPr="001723B0">
        <w:rPr>
          <w:rFonts w:ascii="Arial" w:hAnsi="Arial" w:cs="Arial"/>
          <w:b/>
          <w:bCs/>
          <w:color w:val="000000"/>
          <w:sz w:val="20"/>
          <w:szCs w:val="20"/>
        </w:rPr>
        <w:t>SUBSKRYPCJI</w:t>
      </w:r>
      <w:r w:rsidR="00D9698C" w:rsidRPr="001723B0">
        <w:rPr>
          <w:rFonts w:ascii="Arial" w:hAnsi="Arial" w:cs="Arial"/>
          <w:b/>
          <w:bCs/>
          <w:color w:val="000000"/>
          <w:sz w:val="20"/>
          <w:szCs w:val="20"/>
        </w:rPr>
        <w:br/>
      </w:r>
      <w:r w:rsidR="00D749A1" w:rsidRPr="001723B0">
        <w:rPr>
          <w:rFonts w:ascii="Arial" w:hAnsi="Arial" w:cs="Arial"/>
          <w:b/>
          <w:bCs/>
          <w:iCs/>
          <w:color w:val="000000"/>
          <w:sz w:val="20"/>
          <w:szCs w:val="20"/>
        </w:rPr>
        <w:t>dla potrzeb rozważanej</w:t>
      </w:r>
      <w:r w:rsidR="00512183" w:rsidRPr="001723B0">
        <w:rPr>
          <w:rFonts w:ascii="Arial" w:hAnsi="Arial" w:cs="Arial"/>
          <w:b/>
          <w:bCs/>
          <w:iCs/>
          <w:color w:val="000000"/>
          <w:sz w:val="20"/>
          <w:szCs w:val="20"/>
        </w:rPr>
        <w:t xml:space="preserve"> emisj</w:t>
      </w:r>
      <w:r w:rsidR="00D749A1" w:rsidRPr="001723B0">
        <w:rPr>
          <w:rFonts w:ascii="Arial" w:hAnsi="Arial" w:cs="Arial"/>
          <w:b/>
          <w:bCs/>
          <w:iCs/>
          <w:color w:val="000000"/>
          <w:sz w:val="20"/>
          <w:szCs w:val="20"/>
        </w:rPr>
        <w:t>i</w:t>
      </w:r>
      <w:r w:rsidR="00512183" w:rsidRPr="001723B0">
        <w:rPr>
          <w:rFonts w:ascii="Arial" w:hAnsi="Arial" w:cs="Arial"/>
          <w:b/>
          <w:bCs/>
          <w:iCs/>
          <w:color w:val="000000"/>
          <w:sz w:val="20"/>
          <w:szCs w:val="20"/>
        </w:rPr>
        <w:t xml:space="preserve"> </w:t>
      </w:r>
      <w:r w:rsidR="0074208B" w:rsidRPr="001723B0">
        <w:rPr>
          <w:rFonts w:ascii="Arial" w:hAnsi="Arial" w:cs="Arial"/>
          <w:b/>
          <w:bCs/>
          <w:iCs/>
          <w:color w:val="000000"/>
          <w:sz w:val="20"/>
          <w:szCs w:val="20"/>
        </w:rPr>
        <w:t>i ofert</w:t>
      </w:r>
      <w:r w:rsidR="00D749A1" w:rsidRPr="001723B0">
        <w:rPr>
          <w:rFonts w:ascii="Arial" w:hAnsi="Arial" w:cs="Arial"/>
          <w:b/>
          <w:bCs/>
          <w:iCs/>
          <w:color w:val="000000"/>
          <w:sz w:val="20"/>
          <w:szCs w:val="20"/>
        </w:rPr>
        <w:t>y</w:t>
      </w:r>
      <w:r w:rsidR="0074208B" w:rsidRPr="001723B0">
        <w:rPr>
          <w:rFonts w:ascii="Arial" w:hAnsi="Arial" w:cs="Arial"/>
          <w:b/>
          <w:bCs/>
          <w:iCs/>
          <w:color w:val="000000"/>
          <w:sz w:val="20"/>
          <w:szCs w:val="20"/>
        </w:rPr>
        <w:t xml:space="preserve"> </w:t>
      </w:r>
      <w:r w:rsidR="00C0704E" w:rsidRPr="001723B0">
        <w:rPr>
          <w:rFonts w:ascii="Arial" w:hAnsi="Arial" w:cs="Arial"/>
          <w:b/>
          <w:bCs/>
          <w:iCs/>
          <w:color w:val="000000"/>
          <w:sz w:val="20"/>
          <w:szCs w:val="20"/>
        </w:rPr>
        <w:t>a</w:t>
      </w:r>
      <w:r w:rsidRPr="001723B0">
        <w:rPr>
          <w:rFonts w:ascii="Arial" w:hAnsi="Arial" w:cs="Arial"/>
          <w:b/>
          <w:bCs/>
          <w:iCs/>
          <w:color w:val="000000"/>
          <w:sz w:val="20"/>
          <w:szCs w:val="20"/>
        </w:rPr>
        <w:t xml:space="preserve">kcji </w:t>
      </w:r>
      <w:r w:rsidR="00C0704E" w:rsidRPr="001723B0">
        <w:rPr>
          <w:rFonts w:ascii="Arial" w:hAnsi="Arial" w:cs="Arial"/>
          <w:b/>
          <w:bCs/>
          <w:iCs/>
          <w:color w:val="000000"/>
          <w:sz w:val="20"/>
          <w:szCs w:val="20"/>
        </w:rPr>
        <w:t xml:space="preserve">zwykłych </w:t>
      </w:r>
      <w:r w:rsidR="00512183" w:rsidRPr="001723B0">
        <w:rPr>
          <w:rFonts w:ascii="Arial" w:hAnsi="Arial" w:cs="Arial"/>
          <w:b/>
          <w:bCs/>
          <w:iCs/>
          <w:color w:val="000000"/>
          <w:sz w:val="20"/>
          <w:szCs w:val="20"/>
        </w:rPr>
        <w:t xml:space="preserve">na okaziciela </w:t>
      </w:r>
      <w:r w:rsidR="001870FA" w:rsidRPr="001723B0">
        <w:rPr>
          <w:rFonts w:ascii="Arial" w:hAnsi="Arial" w:cs="Arial"/>
          <w:b/>
          <w:bCs/>
          <w:iCs/>
          <w:color w:val="000000"/>
          <w:sz w:val="20"/>
          <w:szCs w:val="20"/>
        </w:rPr>
        <w:t xml:space="preserve">serii </w:t>
      </w:r>
      <w:r w:rsidR="00576345">
        <w:rPr>
          <w:rFonts w:ascii="Arial" w:hAnsi="Arial" w:cs="Arial"/>
          <w:b/>
          <w:bCs/>
          <w:iCs/>
          <w:color w:val="000000"/>
          <w:sz w:val="20"/>
          <w:szCs w:val="20"/>
        </w:rPr>
        <w:t>I</w:t>
      </w:r>
      <w:r w:rsidR="00D9698C" w:rsidRPr="001723B0">
        <w:rPr>
          <w:rFonts w:ascii="Arial" w:hAnsi="Arial" w:cs="Arial"/>
          <w:b/>
          <w:bCs/>
          <w:iCs/>
          <w:color w:val="000000"/>
          <w:sz w:val="20"/>
          <w:szCs w:val="20"/>
        </w:rPr>
        <w:br/>
        <w:t xml:space="preserve">spółki </w:t>
      </w:r>
      <w:r w:rsidR="00C0704E" w:rsidRPr="001723B0">
        <w:rPr>
          <w:rFonts w:ascii="Arial" w:hAnsi="Arial" w:cs="Arial"/>
          <w:b/>
          <w:bCs/>
          <w:sz w:val="20"/>
          <w:szCs w:val="20"/>
        </w:rPr>
        <w:t xml:space="preserve">PCF Group </w:t>
      </w:r>
      <w:r w:rsidRPr="001723B0">
        <w:rPr>
          <w:rFonts w:ascii="Arial" w:hAnsi="Arial" w:cs="Arial"/>
          <w:b/>
          <w:bCs/>
          <w:sz w:val="20"/>
          <w:szCs w:val="20"/>
        </w:rPr>
        <w:t>S</w:t>
      </w:r>
      <w:r w:rsidR="00C0704E" w:rsidRPr="001723B0">
        <w:rPr>
          <w:rFonts w:ascii="Arial" w:hAnsi="Arial" w:cs="Arial"/>
          <w:b/>
          <w:bCs/>
          <w:sz w:val="20"/>
          <w:szCs w:val="20"/>
        </w:rPr>
        <w:t xml:space="preserve">.A. </w:t>
      </w:r>
      <w:r w:rsidRPr="001723B0">
        <w:rPr>
          <w:rFonts w:ascii="Arial" w:hAnsi="Arial" w:cs="Arial"/>
          <w:b/>
          <w:bCs/>
          <w:sz w:val="20"/>
          <w:szCs w:val="20"/>
        </w:rPr>
        <w:t xml:space="preserve">z siedzibą w </w:t>
      </w:r>
      <w:r w:rsidR="00774859" w:rsidRPr="001723B0">
        <w:rPr>
          <w:rFonts w:ascii="Arial" w:hAnsi="Arial" w:cs="Arial"/>
          <w:b/>
          <w:bCs/>
          <w:sz w:val="20"/>
          <w:szCs w:val="20"/>
        </w:rPr>
        <w:t>Warszawie</w:t>
      </w:r>
    </w:p>
    <w:bookmarkEnd w:id="0"/>
    <w:p w14:paraId="7B04DB39" w14:textId="77777777" w:rsidR="009E1D43" w:rsidRPr="001723B0" w:rsidRDefault="009E1D43" w:rsidP="000868D7">
      <w:pPr>
        <w:autoSpaceDE w:val="0"/>
        <w:autoSpaceDN w:val="0"/>
        <w:adjustRightInd w:val="0"/>
        <w:spacing w:after="120" w:line="240" w:lineRule="auto"/>
        <w:jc w:val="both"/>
        <w:rPr>
          <w:rFonts w:ascii="Arial" w:hAnsi="Arial" w:cs="Arial"/>
          <w:color w:val="000000"/>
          <w:sz w:val="20"/>
          <w:szCs w:val="20"/>
        </w:rPr>
      </w:pPr>
      <w:r w:rsidRPr="001723B0">
        <w:rPr>
          <w:rFonts w:ascii="Arial" w:hAnsi="Arial" w:cs="Arial"/>
          <w:color w:val="000000"/>
          <w:sz w:val="20"/>
          <w:szCs w:val="20"/>
        </w:rPr>
        <w:t>Niniejsz</w:t>
      </w:r>
      <w:r w:rsidR="00512183" w:rsidRPr="001723B0">
        <w:rPr>
          <w:rFonts w:ascii="Arial" w:hAnsi="Arial" w:cs="Arial"/>
          <w:color w:val="000000"/>
          <w:sz w:val="20"/>
          <w:szCs w:val="20"/>
        </w:rPr>
        <w:t xml:space="preserve">y dokument </w:t>
      </w:r>
      <w:r w:rsidRPr="001723B0">
        <w:rPr>
          <w:rFonts w:ascii="Arial" w:hAnsi="Arial" w:cs="Arial"/>
          <w:color w:val="000000"/>
          <w:sz w:val="20"/>
          <w:szCs w:val="20"/>
        </w:rPr>
        <w:t>(„</w:t>
      </w:r>
      <w:r w:rsidRPr="001723B0">
        <w:rPr>
          <w:rFonts w:ascii="Arial" w:hAnsi="Arial" w:cs="Arial"/>
          <w:b/>
          <w:bCs/>
          <w:color w:val="000000"/>
          <w:sz w:val="20"/>
          <w:szCs w:val="20"/>
        </w:rPr>
        <w:t xml:space="preserve">Zasady </w:t>
      </w:r>
      <w:r w:rsidR="001723B0" w:rsidRPr="001723B0">
        <w:rPr>
          <w:rFonts w:ascii="Arial" w:hAnsi="Arial" w:cs="Arial"/>
          <w:b/>
          <w:bCs/>
          <w:color w:val="000000"/>
          <w:sz w:val="20"/>
          <w:szCs w:val="20"/>
        </w:rPr>
        <w:t xml:space="preserve">Budowy Księgi Popytu i </w:t>
      </w:r>
      <w:r w:rsidRPr="001723B0">
        <w:rPr>
          <w:rFonts w:ascii="Arial" w:hAnsi="Arial" w:cs="Arial"/>
          <w:b/>
          <w:bCs/>
          <w:color w:val="000000"/>
          <w:sz w:val="20"/>
          <w:szCs w:val="20"/>
        </w:rPr>
        <w:t>Subskrypcji</w:t>
      </w:r>
      <w:r w:rsidRPr="001723B0">
        <w:rPr>
          <w:rFonts w:ascii="Arial" w:hAnsi="Arial" w:cs="Arial"/>
          <w:color w:val="000000"/>
          <w:sz w:val="20"/>
          <w:szCs w:val="20"/>
        </w:rPr>
        <w:t>”) został sporządzon</w:t>
      </w:r>
      <w:r w:rsidR="00512183" w:rsidRPr="001723B0">
        <w:rPr>
          <w:rFonts w:ascii="Arial" w:hAnsi="Arial" w:cs="Arial"/>
          <w:color w:val="000000"/>
          <w:sz w:val="20"/>
          <w:szCs w:val="20"/>
        </w:rPr>
        <w:t>y</w:t>
      </w:r>
      <w:r w:rsidRPr="001723B0">
        <w:rPr>
          <w:rFonts w:ascii="Arial" w:hAnsi="Arial" w:cs="Arial"/>
          <w:color w:val="000000"/>
          <w:sz w:val="20"/>
          <w:szCs w:val="20"/>
        </w:rPr>
        <w:t xml:space="preserve"> przez </w:t>
      </w:r>
      <w:r w:rsidR="00512183" w:rsidRPr="001723B0">
        <w:rPr>
          <w:rFonts w:ascii="Arial" w:hAnsi="Arial" w:cs="Arial"/>
          <w:color w:val="000000"/>
          <w:sz w:val="20"/>
          <w:szCs w:val="20"/>
        </w:rPr>
        <w:t xml:space="preserve">PCF Group </w:t>
      </w:r>
      <w:r w:rsidR="009F03FB" w:rsidRPr="001723B0">
        <w:rPr>
          <w:rFonts w:ascii="Arial" w:hAnsi="Arial" w:cs="Arial"/>
          <w:color w:val="000000"/>
          <w:sz w:val="20"/>
          <w:szCs w:val="20"/>
        </w:rPr>
        <w:t>S</w:t>
      </w:r>
      <w:r w:rsidR="0074208B" w:rsidRPr="001723B0">
        <w:rPr>
          <w:rFonts w:ascii="Arial" w:hAnsi="Arial" w:cs="Arial"/>
          <w:color w:val="000000"/>
          <w:sz w:val="20"/>
          <w:szCs w:val="20"/>
        </w:rPr>
        <w:t xml:space="preserve">półka </w:t>
      </w:r>
      <w:r w:rsidR="009F03FB" w:rsidRPr="001723B0">
        <w:rPr>
          <w:rFonts w:ascii="Arial" w:hAnsi="Arial" w:cs="Arial"/>
          <w:color w:val="000000"/>
          <w:sz w:val="20"/>
          <w:szCs w:val="20"/>
        </w:rPr>
        <w:t>A</w:t>
      </w:r>
      <w:r w:rsidR="0074208B" w:rsidRPr="001723B0">
        <w:rPr>
          <w:rFonts w:ascii="Arial" w:hAnsi="Arial" w:cs="Arial"/>
          <w:color w:val="000000"/>
          <w:sz w:val="20"/>
          <w:szCs w:val="20"/>
        </w:rPr>
        <w:t>kcyjna</w:t>
      </w:r>
      <w:r w:rsidR="009F03FB" w:rsidRPr="001723B0">
        <w:rPr>
          <w:rFonts w:ascii="Arial" w:hAnsi="Arial" w:cs="Arial"/>
          <w:color w:val="000000"/>
          <w:sz w:val="20"/>
          <w:szCs w:val="20"/>
        </w:rPr>
        <w:t xml:space="preserve"> </w:t>
      </w:r>
      <w:r w:rsidRPr="001723B0">
        <w:rPr>
          <w:rFonts w:ascii="Arial" w:hAnsi="Arial" w:cs="Arial"/>
          <w:bCs/>
          <w:sz w:val="20"/>
          <w:szCs w:val="20"/>
        </w:rPr>
        <w:t>z</w:t>
      </w:r>
      <w:r w:rsidR="007B4A3F" w:rsidRPr="001723B0">
        <w:rPr>
          <w:rFonts w:ascii="Arial" w:hAnsi="Arial" w:cs="Arial"/>
          <w:bCs/>
          <w:sz w:val="20"/>
          <w:szCs w:val="20"/>
        </w:rPr>
        <w:t> </w:t>
      </w:r>
      <w:r w:rsidRPr="001723B0">
        <w:rPr>
          <w:rFonts w:ascii="Arial" w:hAnsi="Arial" w:cs="Arial"/>
          <w:bCs/>
          <w:sz w:val="20"/>
          <w:szCs w:val="20"/>
        </w:rPr>
        <w:t>siedzibą w</w:t>
      </w:r>
      <w:r w:rsidR="00007738" w:rsidRPr="001723B0">
        <w:rPr>
          <w:rFonts w:ascii="Arial" w:hAnsi="Arial" w:cs="Arial"/>
          <w:bCs/>
          <w:sz w:val="20"/>
          <w:szCs w:val="20"/>
        </w:rPr>
        <w:t> </w:t>
      </w:r>
      <w:r w:rsidR="00774859" w:rsidRPr="001723B0">
        <w:rPr>
          <w:rFonts w:ascii="Arial" w:hAnsi="Arial" w:cs="Arial"/>
          <w:bCs/>
          <w:sz w:val="20"/>
          <w:szCs w:val="20"/>
        </w:rPr>
        <w:t>Warszawie</w:t>
      </w:r>
      <w:r w:rsidRPr="001723B0">
        <w:rPr>
          <w:rFonts w:ascii="Arial" w:hAnsi="Arial" w:cs="Arial"/>
          <w:bCs/>
          <w:sz w:val="20"/>
          <w:szCs w:val="20"/>
        </w:rPr>
        <w:t>,</w:t>
      </w:r>
      <w:r w:rsidRPr="001723B0">
        <w:rPr>
          <w:rFonts w:ascii="Arial" w:hAnsi="Arial" w:cs="Arial"/>
          <w:sz w:val="20"/>
          <w:szCs w:val="20"/>
        </w:rPr>
        <w:t xml:space="preserve"> </w:t>
      </w:r>
      <w:r w:rsidRPr="001723B0">
        <w:rPr>
          <w:rFonts w:ascii="Arial" w:hAnsi="Arial" w:cs="Arial"/>
          <w:color w:val="000000"/>
          <w:sz w:val="20"/>
          <w:szCs w:val="20"/>
        </w:rPr>
        <w:t>adres:</w:t>
      </w:r>
      <w:r w:rsidR="00A90001" w:rsidRPr="001723B0">
        <w:rPr>
          <w:rFonts w:ascii="Arial" w:hAnsi="Arial" w:cs="Arial"/>
          <w:color w:val="000000"/>
          <w:sz w:val="20"/>
          <w:szCs w:val="20"/>
        </w:rPr>
        <w:t xml:space="preserve"> </w:t>
      </w:r>
      <w:r w:rsidR="00F01BD5" w:rsidRPr="001723B0">
        <w:rPr>
          <w:rFonts w:ascii="Arial" w:hAnsi="Arial" w:cs="Arial"/>
          <w:color w:val="000000"/>
          <w:sz w:val="20"/>
          <w:szCs w:val="20"/>
        </w:rPr>
        <w:t>a</w:t>
      </w:r>
      <w:r w:rsidR="00512183" w:rsidRPr="001723B0">
        <w:rPr>
          <w:rFonts w:ascii="Arial" w:hAnsi="Arial" w:cs="Arial"/>
          <w:color w:val="000000"/>
          <w:sz w:val="20"/>
          <w:szCs w:val="20"/>
        </w:rPr>
        <w:t>leja „Solidarności”</w:t>
      </w:r>
      <w:r w:rsidR="00774859" w:rsidRPr="001723B0">
        <w:rPr>
          <w:rFonts w:ascii="Arial" w:hAnsi="Arial" w:cs="Arial"/>
          <w:color w:val="000000"/>
          <w:sz w:val="20"/>
          <w:szCs w:val="20"/>
        </w:rPr>
        <w:t xml:space="preserve"> 1</w:t>
      </w:r>
      <w:r w:rsidR="00512183" w:rsidRPr="001723B0">
        <w:rPr>
          <w:rFonts w:ascii="Arial" w:hAnsi="Arial" w:cs="Arial"/>
          <w:color w:val="000000"/>
          <w:sz w:val="20"/>
          <w:szCs w:val="20"/>
        </w:rPr>
        <w:t>71</w:t>
      </w:r>
      <w:r w:rsidR="00A90001" w:rsidRPr="001723B0">
        <w:rPr>
          <w:rFonts w:ascii="Arial" w:hAnsi="Arial" w:cs="Arial"/>
          <w:color w:val="000000"/>
          <w:sz w:val="20"/>
          <w:szCs w:val="20"/>
        </w:rPr>
        <w:t xml:space="preserve">, </w:t>
      </w:r>
      <w:r w:rsidR="00774859" w:rsidRPr="001723B0">
        <w:rPr>
          <w:rFonts w:ascii="Arial" w:hAnsi="Arial" w:cs="Arial"/>
          <w:color w:val="000000"/>
          <w:sz w:val="20"/>
          <w:szCs w:val="20"/>
        </w:rPr>
        <w:t>00</w:t>
      </w:r>
      <w:r w:rsidR="00A90001" w:rsidRPr="001723B0">
        <w:rPr>
          <w:rFonts w:ascii="Arial" w:hAnsi="Arial" w:cs="Arial"/>
          <w:color w:val="000000"/>
          <w:sz w:val="20"/>
          <w:szCs w:val="20"/>
        </w:rPr>
        <w:t>-</w:t>
      </w:r>
      <w:r w:rsidR="00512183" w:rsidRPr="001723B0">
        <w:rPr>
          <w:rFonts w:ascii="Arial" w:hAnsi="Arial" w:cs="Arial"/>
          <w:color w:val="000000"/>
          <w:sz w:val="20"/>
          <w:szCs w:val="20"/>
        </w:rPr>
        <w:t>877</w:t>
      </w:r>
      <w:r w:rsidR="00710128" w:rsidRPr="001723B0">
        <w:rPr>
          <w:rFonts w:ascii="Arial" w:hAnsi="Arial" w:cs="Arial"/>
          <w:color w:val="000000"/>
          <w:sz w:val="20"/>
          <w:szCs w:val="20"/>
        </w:rPr>
        <w:t xml:space="preserve"> </w:t>
      </w:r>
      <w:r w:rsidR="00774859" w:rsidRPr="001723B0">
        <w:rPr>
          <w:rFonts w:ascii="Arial" w:hAnsi="Arial" w:cs="Arial"/>
          <w:color w:val="000000"/>
          <w:sz w:val="20"/>
          <w:szCs w:val="20"/>
        </w:rPr>
        <w:t>Warszawa</w:t>
      </w:r>
      <w:r w:rsidR="009F03FB" w:rsidRPr="001723B0">
        <w:rPr>
          <w:rFonts w:ascii="Arial" w:hAnsi="Arial" w:cs="Arial"/>
          <w:color w:val="000000"/>
          <w:sz w:val="20"/>
          <w:szCs w:val="20"/>
        </w:rPr>
        <w:t>,</w:t>
      </w:r>
      <w:r w:rsidR="009B52E9" w:rsidRPr="001723B0">
        <w:rPr>
          <w:rFonts w:ascii="Arial" w:hAnsi="Arial" w:cs="Arial"/>
          <w:color w:val="000000"/>
          <w:sz w:val="20"/>
          <w:szCs w:val="20"/>
        </w:rPr>
        <w:t xml:space="preserve"> </w:t>
      </w:r>
      <w:r w:rsidR="00EC4EEC" w:rsidRPr="001723B0">
        <w:rPr>
          <w:rFonts w:ascii="Arial" w:hAnsi="Arial" w:cs="Arial"/>
          <w:sz w:val="20"/>
          <w:szCs w:val="20"/>
        </w:rPr>
        <w:t xml:space="preserve">wpisaną do </w:t>
      </w:r>
      <w:r w:rsidR="00A97FFE" w:rsidRPr="001723B0">
        <w:rPr>
          <w:rFonts w:ascii="Arial" w:hAnsi="Arial" w:cs="Arial"/>
          <w:sz w:val="20"/>
          <w:szCs w:val="20"/>
        </w:rPr>
        <w:t>r</w:t>
      </w:r>
      <w:r w:rsidR="00EC4EEC" w:rsidRPr="001723B0">
        <w:rPr>
          <w:rFonts w:ascii="Arial" w:hAnsi="Arial" w:cs="Arial"/>
          <w:sz w:val="20"/>
          <w:szCs w:val="20"/>
        </w:rPr>
        <w:t xml:space="preserve">ejestru </w:t>
      </w:r>
      <w:r w:rsidR="00A97FFE" w:rsidRPr="001723B0">
        <w:rPr>
          <w:rFonts w:ascii="Arial" w:hAnsi="Arial" w:cs="Arial"/>
          <w:sz w:val="20"/>
          <w:szCs w:val="20"/>
        </w:rPr>
        <w:t>p</w:t>
      </w:r>
      <w:r w:rsidR="00EC4EEC" w:rsidRPr="001723B0">
        <w:rPr>
          <w:rFonts w:ascii="Arial" w:hAnsi="Arial" w:cs="Arial"/>
          <w:sz w:val="20"/>
          <w:szCs w:val="20"/>
        </w:rPr>
        <w:t xml:space="preserve">rzedsiębiorców </w:t>
      </w:r>
      <w:r w:rsidR="00A97FFE" w:rsidRPr="001723B0">
        <w:rPr>
          <w:rFonts w:ascii="Arial" w:hAnsi="Arial" w:cs="Arial"/>
          <w:sz w:val="20"/>
          <w:szCs w:val="20"/>
        </w:rPr>
        <w:t xml:space="preserve">Krajowego Rejestru Sądowego </w:t>
      </w:r>
      <w:r w:rsidR="0074208B" w:rsidRPr="001723B0">
        <w:rPr>
          <w:rFonts w:ascii="Arial" w:hAnsi="Arial" w:cs="Arial"/>
          <w:sz w:val="20"/>
          <w:szCs w:val="20"/>
        </w:rPr>
        <w:t>prowadzonego przez Sąd Rejonowy dla m.st. Warszawy w Warszawie</w:t>
      </w:r>
      <w:r w:rsidR="00F01BD5" w:rsidRPr="001723B0">
        <w:rPr>
          <w:rFonts w:ascii="Arial" w:hAnsi="Arial" w:cs="Arial"/>
          <w:sz w:val="20"/>
          <w:szCs w:val="20"/>
        </w:rPr>
        <w:t>, XIII Wydział Gospodarczy Krajowego Rejestru Sądowego</w:t>
      </w:r>
      <w:r w:rsidR="0074208B" w:rsidRPr="001723B0">
        <w:rPr>
          <w:rFonts w:ascii="Arial" w:hAnsi="Arial" w:cs="Arial"/>
          <w:sz w:val="20"/>
          <w:szCs w:val="20"/>
        </w:rPr>
        <w:t xml:space="preserve"> pod numerem 0000812668</w:t>
      </w:r>
      <w:r w:rsidR="00F01BD5" w:rsidRPr="001723B0">
        <w:rPr>
          <w:rFonts w:ascii="Arial" w:hAnsi="Arial" w:cs="Arial"/>
          <w:sz w:val="20"/>
          <w:szCs w:val="20"/>
        </w:rPr>
        <w:t>, NIP 5213451404, kapitał zakładowy w</w:t>
      </w:r>
      <w:r w:rsidR="00566634" w:rsidRPr="001723B0">
        <w:rPr>
          <w:rFonts w:ascii="Arial" w:hAnsi="Arial" w:cs="Arial"/>
          <w:sz w:val="20"/>
          <w:szCs w:val="20"/>
        </w:rPr>
        <w:t> </w:t>
      </w:r>
      <w:r w:rsidR="00F01BD5" w:rsidRPr="001723B0">
        <w:rPr>
          <w:rFonts w:ascii="Arial" w:hAnsi="Arial" w:cs="Arial"/>
          <w:sz w:val="20"/>
          <w:szCs w:val="20"/>
        </w:rPr>
        <w:t xml:space="preserve">wysokości </w:t>
      </w:r>
      <w:r w:rsidR="00324C4E" w:rsidRPr="00324C4E">
        <w:rPr>
          <w:rFonts w:ascii="Arial" w:hAnsi="Arial" w:cs="Arial"/>
          <w:sz w:val="20"/>
          <w:szCs w:val="20"/>
        </w:rPr>
        <w:t>852</w:t>
      </w:r>
      <w:r w:rsidR="00324C4E">
        <w:rPr>
          <w:rFonts w:ascii="Arial" w:hAnsi="Arial" w:cs="Arial"/>
          <w:sz w:val="20"/>
          <w:szCs w:val="20"/>
        </w:rPr>
        <w:t>.</w:t>
      </w:r>
      <w:r w:rsidR="00324C4E" w:rsidRPr="00324C4E">
        <w:rPr>
          <w:rFonts w:ascii="Arial" w:hAnsi="Arial" w:cs="Arial"/>
          <w:sz w:val="20"/>
          <w:szCs w:val="20"/>
        </w:rPr>
        <w:t>205,42</w:t>
      </w:r>
      <w:r w:rsidR="00324C4E">
        <w:rPr>
          <w:rFonts w:ascii="Arial" w:hAnsi="Arial" w:cs="Arial"/>
          <w:sz w:val="20"/>
          <w:szCs w:val="20"/>
        </w:rPr>
        <w:t xml:space="preserve"> </w:t>
      </w:r>
      <w:r w:rsidR="00F01BD5" w:rsidRPr="001723B0">
        <w:rPr>
          <w:rFonts w:ascii="Arial" w:hAnsi="Arial" w:cs="Arial"/>
          <w:sz w:val="20"/>
          <w:szCs w:val="20"/>
        </w:rPr>
        <w:t>złotych w pełni opłacony</w:t>
      </w:r>
      <w:r w:rsidR="0074208B" w:rsidRPr="001723B0">
        <w:rPr>
          <w:rFonts w:ascii="Arial" w:hAnsi="Arial" w:cs="Arial"/>
          <w:sz w:val="20"/>
          <w:szCs w:val="20"/>
        </w:rPr>
        <w:t xml:space="preserve"> </w:t>
      </w:r>
      <w:r w:rsidR="00742E41" w:rsidRPr="001723B0">
        <w:rPr>
          <w:rFonts w:ascii="Arial" w:hAnsi="Arial" w:cs="Arial"/>
          <w:bCs/>
          <w:sz w:val="20"/>
          <w:szCs w:val="20"/>
        </w:rPr>
        <w:t>(„</w:t>
      </w:r>
      <w:r w:rsidR="00742E41" w:rsidRPr="001723B0">
        <w:rPr>
          <w:rFonts w:ascii="Arial" w:hAnsi="Arial" w:cs="Arial"/>
          <w:b/>
          <w:bCs/>
          <w:sz w:val="20"/>
          <w:szCs w:val="20"/>
        </w:rPr>
        <w:t>Emitent</w:t>
      </w:r>
      <w:r w:rsidR="00742E41" w:rsidRPr="001723B0">
        <w:rPr>
          <w:rFonts w:ascii="Arial" w:hAnsi="Arial" w:cs="Arial"/>
          <w:bCs/>
          <w:sz w:val="20"/>
          <w:szCs w:val="20"/>
        </w:rPr>
        <w:t>” lub „</w:t>
      </w:r>
      <w:r w:rsidR="00742E41" w:rsidRPr="001723B0">
        <w:rPr>
          <w:rFonts w:ascii="Arial" w:hAnsi="Arial" w:cs="Arial"/>
          <w:b/>
          <w:bCs/>
          <w:sz w:val="20"/>
          <w:szCs w:val="20"/>
        </w:rPr>
        <w:t>Spółka</w:t>
      </w:r>
      <w:r w:rsidR="00742E41" w:rsidRPr="001723B0">
        <w:rPr>
          <w:rFonts w:ascii="Arial" w:hAnsi="Arial" w:cs="Arial"/>
          <w:bCs/>
          <w:sz w:val="20"/>
          <w:szCs w:val="20"/>
        </w:rPr>
        <w:t>”)</w:t>
      </w:r>
      <w:r w:rsidR="00EC4EEC" w:rsidRPr="001723B0">
        <w:rPr>
          <w:rFonts w:ascii="Arial" w:hAnsi="Arial" w:cs="Arial"/>
          <w:sz w:val="20"/>
          <w:szCs w:val="20"/>
        </w:rPr>
        <w:t>,</w:t>
      </w:r>
      <w:r w:rsidR="00EC4EEC" w:rsidRPr="001723B0">
        <w:rPr>
          <w:rFonts w:ascii="Arial" w:hAnsi="Arial" w:cs="Arial"/>
          <w:color w:val="000000"/>
          <w:sz w:val="20"/>
          <w:szCs w:val="20"/>
        </w:rPr>
        <w:t xml:space="preserve"> </w:t>
      </w:r>
      <w:r w:rsidR="00D749A1" w:rsidRPr="001723B0">
        <w:rPr>
          <w:rFonts w:ascii="Arial" w:hAnsi="Arial" w:cs="Arial"/>
          <w:color w:val="000000"/>
          <w:sz w:val="20"/>
          <w:szCs w:val="20"/>
        </w:rPr>
        <w:t>dla potrzeb rozważanej</w:t>
      </w:r>
      <w:r w:rsidR="007561B1" w:rsidRPr="001723B0">
        <w:rPr>
          <w:rFonts w:ascii="Arial" w:hAnsi="Arial" w:cs="Arial"/>
          <w:color w:val="000000"/>
          <w:sz w:val="20"/>
          <w:szCs w:val="20"/>
        </w:rPr>
        <w:t xml:space="preserve"> emisj</w:t>
      </w:r>
      <w:r w:rsidR="00D749A1" w:rsidRPr="001723B0">
        <w:rPr>
          <w:rFonts w:ascii="Arial" w:hAnsi="Arial" w:cs="Arial"/>
          <w:color w:val="000000"/>
          <w:sz w:val="20"/>
          <w:szCs w:val="20"/>
        </w:rPr>
        <w:t>i</w:t>
      </w:r>
      <w:r w:rsidR="007561B1" w:rsidRPr="001723B0">
        <w:rPr>
          <w:rFonts w:ascii="Arial" w:hAnsi="Arial" w:cs="Arial"/>
          <w:color w:val="000000"/>
          <w:sz w:val="20"/>
          <w:szCs w:val="20"/>
        </w:rPr>
        <w:t xml:space="preserve"> i</w:t>
      </w:r>
      <w:r w:rsidR="00247990" w:rsidRPr="001723B0">
        <w:rPr>
          <w:rFonts w:ascii="Arial" w:hAnsi="Arial" w:cs="Arial"/>
          <w:color w:val="000000"/>
          <w:sz w:val="20"/>
          <w:szCs w:val="20"/>
        </w:rPr>
        <w:t> </w:t>
      </w:r>
      <w:r w:rsidR="007561B1" w:rsidRPr="001723B0">
        <w:rPr>
          <w:rFonts w:ascii="Arial" w:hAnsi="Arial" w:cs="Arial"/>
          <w:color w:val="000000"/>
          <w:sz w:val="20"/>
          <w:szCs w:val="20"/>
        </w:rPr>
        <w:t>ofert</w:t>
      </w:r>
      <w:r w:rsidR="00D749A1" w:rsidRPr="001723B0">
        <w:rPr>
          <w:rFonts w:ascii="Arial" w:hAnsi="Arial" w:cs="Arial"/>
          <w:color w:val="000000"/>
          <w:sz w:val="20"/>
          <w:szCs w:val="20"/>
        </w:rPr>
        <w:t>y</w:t>
      </w:r>
      <w:r w:rsidR="00247990" w:rsidRPr="001723B0">
        <w:rPr>
          <w:rFonts w:ascii="Arial" w:hAnsi="Arial" w:cs="Arial"/>
          <w:color w:val="000000"/>
          <w:sz w:val="20"/>
          <w:szCs w:val="20"/>
        </w:rPr>
        <w:t xml:space="preserve"> </w:t>
      </w:r>
      <w:r w:rsidR="00905389" w:rsidRPr="001723B0">
        <w:rPr>
          <w:rFonts w:ascii="Arial" w:hAnsi="Arial" w:cs="Arial"/>
          <w:color w:val="000000"/>
          <w:sz w:val="20"/>
          <w:szCs w:val="20"/>
        </w:rPr>
        <w:t>publiczn</w:t>
      </w:r>
      <w:r w:rsidR="00D749A1" w:rsidRPr="001723B0">
        <w:rPr>
          <w:rFonts w:ascii="Arial" w:hAnsi="Arial" w:cs="Arial"/>
          <w:color w:val="000000"/>
          <w:sz w:val="20"/>
          <w:szCs w:val="20"/>
        </w:rPr>
        <w:t>ej</w:t>
      </w:r>
      <w:r w:rsidR="00905389" w:rsidRPr="001723B0">
        <w:rPr>
          <w:rFonts w:ascii="Arial" w:hAnsi="Arial" w:cs="Arial"/>
          <w:color w:val="000000"/>
          <w:sz w:val="20"/>
          <w:szCs w:val="20"/>
        </w:rPr>
        <w:t xml:space="preserve"> </w:t>
      </w:r>
      <w:r w:rsidR="0074208B" w:rsidRPr="001723B0">
        <w:rPr>
          <w:rFonts w:ascii="Arial" w:hAnsi="Arial" w:cs="Arial"/>
          <w:color w:val="000000"/>
          <w:sz w:val="20"/>
          <w:szCs w:val="20"/>
        </w:rPr>
        <w:t xml:space="preserve">nie mniej niż 1 i nie więcej niż </w:t>
      </w:r>
      <w:r w:rsidR="00B22BA6" w:rsidRPr="00B22BA6">
        <w:rPr>
          <w:rFonts w:ascii="Arial" w:hAnsi="Arial" w:cs="Arial"/>
          <w:color w:val="000000"/>
          <w:sz w:val="20"/>
          <w:szCs w:val="20"/>
        </w:rPr>
        <w:t>4.112.081</w:t>
      </w:r>
      <w:r w:rsidR="00B22BA6">
        <w:rPr>
          <w:rFonts w:ascii="Arial" w:hAnsi="Arial" w:cs="Arial"/>
          <w:color w:val="000000"/>
          <w:sz w:val="20"/>
          <w:szCs w:val="20"/>
        </w:rPr>
        <w:t xml:space="preserve"> </w:t>
      </w:r>
      <w:r w:rsidR="0074208B" w:rsidRPr="001723B0">
        <w:rPr>
          <w:rFonts w:ascii="Arial" w:hAnsi="Arial" w:cs="Arial"/>
          <w:color w:val="000000"/>
          <w:sz w:val="20"/>
          <w:szCs w:val="20"/>
        </w:rPr>
        <w:t xml:space="preserve">akcji zwykłych na okaziciela </w:t>
      </w:r>
      <w:r w:rsidR="001870FA" w:rsidRPr="001723B0">
        <w:rPr>
          <w:rFonts w:ascii="Arial" w:hAnsi="Arial" w:cs="Arial"/>
          <w:color w:val="000000"/>
          <w:sz w:val="20"/>
          <w:szCs w:val="20"/>
        </w:rPr>
        <w:t xml:space="preserve">serii </w:t>
      </w:r>
      <w:r w:rsidR="00576345">
        <w:rPr>
          <w:rFonts w:ascii="Arial" w:hAnsi="Arial" w:cs="Arial"/>
          <w:color w:val="000000"/>
          <w:sz w:val="20"/>
          <w:szCs w:val="20"/>
        </w:rPr>
        <w:t>I</w:t>
      </w:r>
      <w:r w:rsidR="00710128" w:rsidRPr="001723B0">
        <w:rPr>
          <w:rFonts w:ascii="Arial" w:hAnsi="Arial" w:cs="Arial"/>
          <w:color w:val="000000"/>
          <w:sz w:val="20"/>
          <w:szCs w:val="20"/>
        </w:rPr>
        <w:t xml:space="preserve"> </w:t>
      </w:r>
      <w:r w:rsidRPr="001723B0">
        <w:rPr>
          <w:rFonts w:ascii="Arial" w:hAnsi="Arial" w:cs="Arial"/>
          <w:color w:val="000000"/>
          <w:sz w:val="20"/>
          <w:szCs w:val="20"/>
        </w:rPr>
        <w:t>o</w:t>
      </w:r>
      <w:r w:rsidR="00DD33B7" w:rsidRPr="001723B0">
        <w:rPr>
          <w:rFonts w:ascii="Arial" w:hAnsi="Arial" w:cs="Arial"/>
          <w:color w:val="000000"/>
          <w:sz w:val="20"/>
          <w:szCs w:val="20"/>
        </w:rPr>
        <w:t> </w:t>
      </w:r>
      <w:r w:rsidRPr="001723B0">
        <w:rPr>
          <w:rFonts w:ascii="Arial" w:hAnsi="Arial" w:cs="Arial"/>
          <w:color w:val="000000"/>
          <w:sz w:val="20"/>
          <w:szCs w:val="20"/>
        </w:rPr>
        <w:t xml:space="preserve">wartości nominalnej </w:t>
      </w:r>
      <w:r w:rsidR="00710128" w:rsidRPr="001723B0">
        <w:rPr>
          <w:rFonts w:ascii="Arial" w:hAnsi="Arial" w:cs="Arial"/>
          <w:color w:val="000000"/>
          <w:sz w:val="20"/>
          <w:szCs w:val="20"/>
        </w:rPr>
        <w:t>0,</w:t>
      </w:r>
      <w:r w:rsidR="00774859" w:rsidRPr="001723B0">
        <w:rPr>
          <w:rFonts w:ascii="Arial" w:hAnsi="Arial" w:cs="Arial"/>
          <w:color w:val="000000"/>
          <w:sz w:val="20"/>
          <w:szCs w:val="20"/>
        </w:rPr>
        <w:t>0</w:t>
      </w:r>
      <w:r w:rsidR="0074208B" w:rsidRPr="001723B0">
        <w:rPr>
          <w:rFonts w:ascii="Arial" w:hAnsi="Arial" w:cs="Arial"/>
          <w:color w:val="000000"/>
          <w:sz w:val="20"/>
          <w:szCs w:val="20"/>
        </w:rPr>
        <w:t>2</w:t>
      </w:r>
      <w:r w:rsidR="007561B1" w:rsidRPr="001723B0">
        <w:rPr>
          <w:rFonts w:ascii="Arial" w:hAnsi="Arial" w:cs="Arial"/>
          <w:color w:val="000000"/>
          <w:sz w:val="20"/>
          <w:szCs w:val="20"/>
        </w:rPr>
        <w:t xml:space="preserve"> </w:t>
      </w:r>
      <w:r w:rsidRPr="001723B0">
        <w:rPr>
          <w:rFonts w:ascii="Arial" w:hAnsi="Arial" w:cs="Arial"/>
          <w:color w:val="000000"/>
          <w:sz w:val="20"/>
          <w:szCs w:val="20"/>
        </w:rPr>
        <w:t>złoty</w:t>
      </w:r>
      <w:r w:rsidR="00A97FFE" w:rsidRPr="001723B0">
        <w:rPr>
          <w:rFonts w:ascii="Arial" w:hAnsi="Arial" w:cs="Arial"/>
          <w:color w:val="000000"/>
          <w:sz w:val="20"/>
          <w:szCs w:val="20"/>
        </w:rPr>
        <w:t xml:space="preserve"> </w:t>
      </w:r>
      <w:r w:rsidRPr="001723B0">
        <w:rPr>
          <w:rFonts w:ascii="Arial" w:hAnsi="Arial" w:cs="Arial"/>
          <w:color w:val="000000"/>
          <w:sz w:val="20"/>
          <w:szCs w:val="20"/>
        </w:rPr>
        <w:t>każda (</w:t>
      </w:r>
      <w:r w:rsidR="0074208B" w:rsidRPr="001723B0">
        <w:rPr>
          <w:rFonts w:ascii="Arial" w:hAnsi="Arial" w:cs="Arial"/>
          <w:color w:val="000000"/>
          <w:sz w:val="20"/>
          <w:szCs w:val="20"/>
        </w:rPr>
        <w:t>„</w:t>
      </w:r>
      <w:r w:rsidR="0074208B" w:rsidRPr="001723B0">
        <w:rPr>
          <w:rFonts w:ascii="Arial" w:hAnsi="Arial" w:cs="Arial"/>
          <w:b/>
          <w:bCs/>
          <w:color w:val="000000"/>
          <w:sz w:val="20"/>
          <w:szCs w:val="20"/>
        </w:rPr>
        <w:t xml:space="preserve">Akcje </w:t>
      </w:r>
      <w:r w:rsidR="001870FA" w:rsidRPr="001723B0">
        <w:rPr>
          <w:rFonts w:ascii="Arial" w:hAnsi="Arial" w:cs="Arial"/>
          <w:b/>
          <w:bCs/>
          <w:color w:val="000000"/>
          <w:sz w:val="20"/>
          <w:szCs w:val="20"/>
        </w:rPr>
        <w:t xml:space="preserve">Serii </w:t>
      </w:r>
      <w:r w:rsidR="00B22BA6">
        <w:rPr>
          <w:rFonts w:ascii="Arial" w:hAnsi="Arial" w:cs="Arial"/>
          <w:b/>
          <w:bCs/>
          <w:color w:val="000000"/>
          <w:sz w:val="20"/>
          <w:szCs w:val="20"/>
        </w:rPr>
        <w:t>I</w:t>
      </w:r>
      <w:r w:rsidR="0074208B" w:rsidRPr="001723B0">
        <w:rPr>
          <w:rFonts w:ascii="Arial" w:hAnsi="Arial" w:cs="Arial"/>
          <w:color w:val="000000"/>
          <w:sz w:val="20"/>
          <w:szCs w:val="20"/>
        </w:rPr>
        <w:t xml:space="preserve">”, </w:t>
      </w:r>
      <w:r w:rsidRPr="001723B0">
        <w:rPr>
          <w:rFonts w:ascii="Arial" w:hAnsi="Arial" w:cs="Arial"/>
          <w:color w:val="000000"/>
          <w:sz w:val="20"/>
          <w:szCs w:val="20"/>
        </w:rPr>
        <w:t>„</w:t>
      </w:r>
      <w:r w:rsidRPr="001723B0">
        <w:rPr>
          <w:rFonts w:ascii="Arial" w:hAnsi="Arial" w:cs="Arial"/>
          <w:b/>
          <w:bCs/>
          <w:color w:val="000000"/>
          <w:sz w:val="20"/>
          <w:szCs w:val="20"/>
        </w:rPr>
        <w:t>Akcje Oferowane</w:t>
      </w:r>
      <w:r w:rsidRPr="001723B0">
        <w:rPr>
          <w:rFonts w:ascii="Arial" w:hAnsi="Arial" w:cs="Arial"/>
          <w:color w:val="000000"/>
          <w:sz w:val="20"/>
          <w:szCs w:val="20"/>
        </w:rPr>
        <w:t>”)</w:t>
      </w:r>
      <w:r w:rsidR="005479C8" w:rsidRPr="001723B0">
        <w:rPr>
          <w:rFonts w:ascii="Arial" w:hAnsi="Arial" w:cs="Arial"/>
          <w:color w:val="000000"/>
          <w:sz w:val="20"/>
          <w:szCs w:val="20"/>
        </w:rPr>
        <w:t xml:space="preserve"> oraz </w:t>
      </w:r>
      <w:r w:rsidR="001845D1" w:rsidRPr="001723B0">
        <w:rPr>
          <w:rFonts w:ascii="Arial" w:hAnsi="Arial" w:cs="Arial"/>
          <w:color w:val="000000"/>
          <w:sz w:val="20"/>
          <w:szCs w:val="20"/>
        </w:rPr>
        <w:t>wprowadzeni</w:t>
      </w:r>
      <w:r w:rsidR="00054E32">
        <w:rPr>
          <w:rFonts w:ascii="Arial" w:hAnsi="Arial" w:cs="Arial"/>
          <w:color w:val="000000"/>
          <w:sz w:val="20"/>
          <w:szCs w:val="20"/>
        </w:rPr>
        <w:t>a</w:t>
      </w:r>
      <w:r w:rsidR="001845D1" w:rsidRPr="001723B0">
        <w:rPr>
          <w:rFonts w:ascii="Arial" w:hAnsi="Arial" w:cs="Arial"/>
          <w:color w:val="000000"/>
          <w:sz w:val="20"/>
          <w:szCs w:val="20"/>
        </w:rPr>
        <w:t xml:space="preserve"> </w:t>
      </w:r>
      <w:r w:rsidR="00283836">
        <w:rPr>
          <w:rFonts w:ascii="Arial" w:hAnsi="Arial" w:cs="Arial"/>
          <w:color w:val="000000"/>
          <w:sz w:val="20"/>
          <w:szCs w:val="20"/>
        </w:rPr>
        <w:t xml:space="preserve">Akcji Oferowanych </w:t>
      </w:r>
      <w:r w:rsidR="001845D1" w:rsidRPr="001723B0">
        <w:rPr>
          <w:rFonts w:ascii="Arial" w:hAnsi="Arial" w:cs="Arial"/>
          <w:color w:val="000000"/>
          <w:sz w:val="20"/>
          <w:szCs w:val="20"/>
        </w:rPr>
        <w:t xml:space="preserve">do obrotu </w:t>
      </w:r>
      <w:r w:rsidR="006071DF" w:rsidRPr="001723B0">
        <w:rPr>
          <w:rFonts w:ascii="Arial" w:hAnsi="Arial" w:cs="Arial"/>
          <w:color w:val="000000"/>
          <w:sz w:val="20"/>
          <w:szCs w:val="20"/>
        </w:rPr>
        <w:t>na rynku regulowanym prowadzonym przez Giełdę Papierów Wartościowych w Warszawie S.A. („</w:t>
      </w:r>
      <w:r w:rsidR="006071DF" w:rsidRPr="001723B0">
        <w:rPr>
          <w:rFonts w:ascii="Arial" w:hAnsi="Arial" w:cs="Arial"/>
          <w:b/>
          <w:bCs/>
          <w:color w:val="000000"/>
          <w:sz w:val="20"/>
          <w:szCs w:val="20"/>
        </w:rPr>
        <w:t>GPW</w:t>
      </w:r>
      <w:r w:rsidR="006071DF" w:rsidRPr="001723B0">
        <w:rPr>
          <w:rFonts w:ascii="Arial" w:hAnsi="Arial" w:cs="Arial"/>
          <w:color w:val="000000"/>
          <w:sz w:val="20"/>
          <w:szCs w:val="20"/>
        </w:rPr>
        <w:t>”)</w:t>
      </w:r>
      <w:r w:rsidR="009F03FB" w:rsidRPr="001723B0">
        <w:rPr>
          <w:rFonts w:ascii="Arial" w:hAnsi="Arial" w:cs="Arial"/>
          <w:color w:val="000000"/>
          <w:sz w:val="20"/>
          <w:szCs w:val="20"/>
        </w:rPr>
        <w:t>.</w:t>
      </w:r>
    </w:p>
    <w:p w14:paraId="045B1D6F" w14:textId="77777777" w:rsidR="00905389" w:rsidRPr="001723B0" w:rsidRDefault="00905389" w:rsidP="00905389">
      <w:pPr>
        <w:autoSpaceDE w:val="0"/>
        <w:autoSpaceDN w:val="0"/>
        <w:adjustRightInd w:val="0"/>
        <w:spacing w:after="120" w:line="240" w:lineRule="auto"/>
        <w:jc w:val="both"/>
        <w:rPr>
          <w:rFonts w:ascii="Arial" w:hAnsi="Arial" w:cs="Arial"/>
          <w:b/>
          <w:bCs/>
          <w:color w:val="000000"/>
          <w:sz w:val="20"/>
          <w:szCs w:val="20"/>
        </w:rPr>
      </w:pPr>
      <w:r w:rsidRPr="001723B0">
        <w:rPr>
          <w:rFonts w:ascii="Arial" w:hAnsi="Arial" w:cs="Arial"/>
          <w:b/>
          <w:bCs/>
          <w:color w:val="000000"/>
          <w:sz w:val="20"/>
          <w:szCs w:val="20"/>
        </w:rPr>
        <w:t xml:space="preserve">Zasady </w:t>
      </w:r>
      <w:r w:rsidR="001723B0" w:rsidRPr="001723B0">
        <w:rPr>
          <w:rFonts w:ascii="Arial" w:hAnsi="Arial" w:cs="Arial"/>
          <w:b/>
          <w:bCs/>
          <w:color w:val="000000"/>
          <w:sz w:val="20"/>
          <w:szCs w:val="20"/>
        </w:rPr>
        <w:t xml:space="preserve">Budowy Księgi Popytu i </w:t>
      </w:r>
      <w:r w:rsidRPr="001723B0">
        <w:rPr>
          <w:rFonts w:ascii="Arial" w:hAnsi="Arial" w:cs="Arial"/>
          <w:b/>
          <w:bCs/>
          <w:color w:val="000000"/>
          <w:sz w:val="20"/>
          <w:szCs w:val="20"/>
        </w:rPr>
        <w:t xml:space="preserve">Subskrypcji mają charakter wyłącznie informacyjny i celem ich udostępnienia przez Spółkę jest wyłącznie przekazanie najistotniejszych informacji na temat zasad </w:t>
      </w:r>
      <w:r w:rsidR="00D749A1" w:rsidRPr="001723B0">
        <w:rPr>
          <w:rFonts w:ascii="Arial" w:hAnsi="Arial" w:cs="Arial"/>
          <w:b/>
          <w:bCs/>
          <w:color w:val="000000"/>
          <w:sz w:val="20"/>
          <w:szCs w:val="20"/>
        </w:rPr>
        <w:t xml:space="preserve">prowadzenia </w:t>
      </w:r>
      <w:r w:rsidR="00552F46">
        <w:rPr>
          <w:rFonts w:ascii="Arial" w:hAnsi="Arial" w:cs="Arial"/>
          <w:b/>
          <w:bCs/>
          <w:color w:val="000000"/>
          <w:sz w:val="20"/>
          <w:szCs w:val="20"/>
        </w:rPr>
        <w:t xml:space="preserve">procesu budowania </w:t>
      </w:r>
      <w:r w:rsidR="00D749A1" w:rsidRPr="001723B0">
        <w:rPr>
          <w:rFonts w:ascii="Arial" w:hAnsi="Arial" w:cs="Arial"/>
          <w:b/>
          <w:bCs/>
          <w:color w:val="000000"/>
          <w:sz w:val="20"/>
          <w:szCs w:val="20"/>
        </w:rPr>
        <w:t xml:space="preserve">księgi popytu oraz </w:t>
      </w:r>
      <w:r w:rsidRPr="001723B0">
        <w:rPr>
          <w:rFonts w:ascii="Arial" w:hAnsi="Arial" w:cs="Arial"/>
          <w:b/>
          <w:bCs/>
          <w:color w:val="000000"/>
          <w:sz w:val="20"/>
          <w:szCs w:val="20"/>
        </w:rPr>
        <w:t>subskrypcji Akcji Oferowanych oraz działań, które zostaną podjęte przez Spółkę lub na jej zlecenie w związku z</w:t>
      </w:r>
      <w:r w:rsidR="007B4A3F" w:rsidRPr="001723B0">
        <w:rPr>
          <w:rFonts w:ascii="Arial" w:hAnsi="Arial" w:cs="Arial"/>
          <w:b/>
          <w:bCs/>
          <w:color w:val="000000"/>
          <w:sz w:val="20"/>
          <w:szCs w:val="20"/>
        </w:rPr>
        <w:t> </w:t>
      </w:r>
      <w:r w:rsidRPr="001723B0">
        <w:rPr>
          <w:rFonts w:ascii="Arial" w:hAnsi="Arial" w:cs="Arial"/>
          <w:b/>
          <w:bCs/>
          <w:color w:val="000000"/>
          <w:sz w:val="20"/>
          <w:szCs w:val="20"/>
        </w:rPr>
        <w:t>subskrypcją Akcji Oferowanych</w:t>
      </w:r>
      <w:r w:rsidR="00D749A1" w:rsidRPr="001723B0">
        <w:rPr>
          <w:rFonts w:ascii="Arial" w:hAnsi="Arial" w:cs="Arial"/>
          <w:b/>
          <w:bCs/>
          <w:color w:val="000000"/>
          <w:sz w:val="20"/>
          <w:szCs w:val="20"/>
        </w:rPr>
        <w:t xml:space="preserve"> po podjęciu przez Zarząd decyzji o emisji Akcji Serii </w:t>
      </w:r>
      <w:r w:rsidR="00FE378D">
        <w:rPr>
          <w:rFonts w:ascii="Arial" w:hAnsi="Arial" w:cs="Arial"/>
          <w:b/>
          <w:bCs/>
          <w:color w:val="000000"/>
          <w:sz w:val="20"/>
          <w:szCs w:val="20"/>
        </w:rPr>
        <w:t>I</w:t>
      </w:r>
      <w:r w:rsidRPr="001723B0">
        <w:rPr>
          <w:rFonts w:ascii="Arial" w:hAnsi="Arial" w:cs="Arial"/>
          <w:b/>
          <w:bCs/>
          <w:color w:val="000000"/>
          <w:sz w:val="20"/>
          <w:szCs w:val="20"/>
        </w:rPr>
        <w:t xml:space="preserve">. Zasady </w:t>
      </w:r>
      <w:r w:rsidR="001723B0" w:rsidRPr="001723B0">
        <w:rPr>
          <w:rFonts w:ascii="Arial" w:hAnsi="Arial" w:cs="Arial"/>
          <w:b/>
          <w:bCs/>
          <w:color w:val="000000"/>
          <w:sz w:val="20"/>
          <w:szCs w:val="20"/>
        </w:rPr>
        <w:t xml:space="preserve">Budowy Księgi Popytu i </w:t>
      </w:r>
      <w:r w:rsidRPr="001723B0">
        <w:rPr>
          <w:rFonts w:ascii="Arial" w:hAnsi="Arial" w:cs="Arial"/>
          <w:b/>
          <w:bCs/>
          <w:color w:val="000000"/>
          <w:sz w:val="20"/>
          <w:szCs w:val="20"/>
        </w:rPr>
        <w:t xml:space="preserve">Subskrypcji nie służą w jakikolwiek sposób, bezpośrednio lub pośrednio, promowaniu subskrypcji Akcji Oferowanych i nie są materiałem promocyjnym przygotowanym lub opublikowanym przez Spółkę ani jakąkolwiek firmę inwestycyjną na potrzeby promowania Akcji Oferowanych lub ich subskrypcji albo zachęcania, bezpośrednio lub pośrednio, do ich nabycia lub objęcia. Spółka nie publikowała dotychczas, jak również nie zamierza opublikować po dacie Zasad </w:t>
      </w:r>
      <w:r w:rsidR="001723B0" w:rsidRPr="001723B0">
        <w:rPr>
          <w:rFonts w:ascii="Arial" w:hAnsi="Arial" w:cs="Arial"/>
          <w:b/>
          <w:bCs/>
          <w:color w:val="000000"/>
          <w:sz w:val="20"/>
          <w:szCs w:val="20"/>
        </w:rPr>
        <w:t xml:space="preserve">Budowy Księgi Popytu i </w:t>
      </w:r>
      <w:r w:rsidRPr="001723B0">
        <w:rPr>
          <w:rFonts w:ascii="Arial" w:hAnsi="Arial" w:cs="Arial"/>
          <w:b/>
          <w:bCs/>
          <w:color w:val="000000"/>
          <w:sz w:val="20"/>
          <w:szCs w:val="20"/>
        </w:rPr>
        <w:t xml:space="preserve">Subskrypcji, jakichkolwiek materiałów mających na celu promocję Akcji Oferowanych lub ich subskrypcji. Zasady </w:t>
      </w:r>
      <w:r w:rsidR="001723B0" w:rsidRPr="001723B0">
        <w:rPr>
          <w:rFonts w:ascii="Arial" w:hAnsi="Arial" w:cs="Arial"/>
          <w:b/>
          <w:bCs/>
          <w:color w:val="000000"/>
          <w:sz w:val="20"/>
          <w:szCs w:val="20"/>
        </w:rPr>
        <w:t xml:space="preserve">Budowy Księgi Popytu i </w:t>
      </w:r>
      <w:r w:rsidRPr="001723B0">
        <w:rPr>
          <w:rFonts w:ascii="Arial" w:hAnsi="Arial" w:cs="Arial"/>
          <w:b/>
          <w:bCs/>
          <w:color w:val="000000"/>
          <w:sz w:val="20"/>
          <w:szCs w:val="20"/>
        </w:rPr>
        <w:t>Subskrypcji nie są również prospektem, memorandum informacyjnym, ani jakimkolwiek innym dokumentem informacyjnym albo ofertowym przewidzianym przez przepisy prawa w związku z</w:t>
      </w:r>
      <w:r w:rsidR="007B4A3F" w:rsidRPr="001723B0">
        <w:rPr>
          <w:rFonts w:ascii="Arial" w:hAnsi="Arial" w:cs="Arial"/>
          <w:b/>
          <w:bCs/>
          <w:color w:val="000000"/>
          <w:sz w:val="20"/>
          <w:szCs w:val="20"/>
        </w:rPr>
        <w:t> </w:t>
      </w:r>
      <w:r w:rsidRPr="001723B0">
        <w:rPr>
          <w:rFonts w:ascii="Arial" w:hAnsi="Arial" w:cs="Arial"/>
          <w:b/>
          <w:bCs/>
          <w:color w:val="000000"/>
          <w:sz w:val="20"/>
          <w:szCs w:val="20"/>
        </w:rPr>
        <w:t xml:space="preserve">przeprowadzaniem oferty publicznej papierów wartościowych lub ubieganiem się o ich dopuszczenie lub wprowadzenie do obrotu na rynku regulowanym. Zasady </w:t>
      </w:r>
      <w:r w:rsidR="001723B0" w:rsidRPr="001723B0">
        <w:rPr>
          <w:rFonts w:ascii="Arial" w:hAnsi="Arial" w:cs="Arial"/>
          <w:b/>
          <w:bCs/>
          <w:color w:val="000000"/>
          <w:sz w:val="20"/>
          <w:szCs w:val="20"/>
        </w:rPr>
        <w:t xml:space="preserve">Budowy Księgi Popytu i </w:t>
      </w:r>
      <w:r w:rsidRPr="001723B0">
        <w:rPr>
          <w:rFonts w:ascii="Arial" w:hAnsi="Arial" w:cs="Arial"/>
          <w:b/>
          <w:bCs/>
          <w:color w:val="000000"/>
          <w:sz w:val="20"/>
          <w:szCs w:val="20"/>
        </w:rPr>
        <w:t>Subskrypcji nie podlegają zatwierdzeniu przez Komisję Nadzoru Finansowego ani jakikolwiek inny organ administracji publicznej.</w:t>
      </w:r>
    </w:p>
    <w:p w14:paraId="3684EB64" w14:textId="65D3073F" w:rsidR="0074208B" w:rsidRPr="001723B0" w:rsidRDefault="009E1D43" w:rsidP="000868D7">
      <w:pPr>
        <w:autoSpaceDE w:val="0"/>
        <w:autoSpaceDN w:val="0"/>
        <w:adjustRightInd w:val="0"/>
        <w:spacing w:after="120" w:line="240" w:lineRule="auto"/>
        <w:jc w:val="both"/>
        <w:rPr>
          <w:rFonts w:ascii="Arial" w:hAnsi="Arial" w:cs="Arial"/>
          <w:color w:val="000000"/>
          <w:sz w:val="20"/>
          <w:szCs w:val="20"/>
        </w:rPr>
      </w:pPr>
      <w:r w:rsidRPr="001723B0">
        <w:rPr>
          <w:rFonts w:ascii="Arial" w:hAnsi="Arial" w:cs="Arial"/>
          <w:color w:val="000000"/>
          <w:sz w:val="20"/>
          <w:szCs w:val="20"/>
        </w:rPr>
        <w:t>Zasad</w:t>
      </w:r>
      <w:r w:rsidR="007561B1" w:rsidRPr="001723B0">
        <w:rPr>
          <w:rFonts w:ascii="Arial" w:hAnsi="Arial" w:cs="Arial"/>
          <w:color w:val="000000"/>
          <w:sz w:val="20"/>
          <w:szCs w:val="20"/>
        </w:rPr>
        <w:t>y</w:t>
      </w:r>
      <w:r w:rsidRPr="001723B0">
        <w:rPr>
          <w:rFonts w:ascii="Arial" w:hAnsi="Arial" w:cs="Arial"/>
          <w:color w:val="000000"/>
          <w:sz w:val="20"/>
          <w:szCs w:val="20"/>
        </w:rPr>
        <w:t xml:space="preserve"> </w:t>
      </w:r>
      <w:r w:rsidR="001723B0" w:rsidRPr="001723B0">
        <w:rPr>
          <w:rFonts w:ascii="Arial" w:hAnsi="Arial" w:cs="Arial"/>
          <w:color w:val="000000"/>
          <w:sz w:val="20"/>
          <w:szCs w:val="20"/>
        </w:rPr>
        <w:t xml:space="preserve">Budowy Księgi Popytu i </w:t>
      </w:r>
      <w:r w:rsidRPr="001723B0">
        <w:rPr>
          <w:rFonts w:ascii="Arial" w:hAnsi="Arial" w:cs="Arial"/>
          <w:color w:val="000000"/>
          <w:sz w:val="20"/>
          <w:szCs w:val="20"/>
        </w:rPr>
        <w:t xml:space="preserve">Subskrypcji </w:t>
      </w:r>
      <w:r w:rsidR="007561B1" w:rsidRPr="001723B0">
        <w:rPr>
          <w:rFonts w:ascii="Arial" w:hAnsi="Arial" w:cs="Arial"/>
          <w:color w:val="000000"/>
          <w:sz w:val="20"/>
          <w:szCs w:val="20"/>
        </w:rPr>
        <w:t xml:space="preserve">określają </w:t>
      </w:r>
      <w:r w:rsidRPr="001723B0">
        <w:rPr>
          <w:rFonts w:ascii="Arial" w:hAnsi="Arial" w:cs="Arial"/>
          <w:color w:val="000000"/>
          <w:sz w:val="20"/>
          <w:szCs w:val="20"/>
        </w:rPr>
        <w:t xml:space="preserve">zasady </w:t>
      </w:r>
      <w:r w:rsidR="001870FA" w:rsidRPr="001723B0">
        <w:rPr>
          <w:rFonts w:ascii="Arial" w:hAnsi="Arial" w:cs="Arial"/>
          <w:color w:val="000000"/>
          <w:sz w:val="20"/>
          <w:szCs w:val="20"/>
        </w:rPr>
        <w:t>przeprowadzenia procesu budowania księgi popytu na Akcje Oferowane oraz</w:t>
      </w:r>
      <w:r w:rsidR="00D749A1" w:rsidRPr="001723B0">
        <w:rPr>
          <w:rFonts w:ascii="Arial" w:hAnsi="Arial" w:cs="Arial"/>
          <w:color w:val="000000"/>
          <w:sz w:val="20"/>
          <w:szCs w:val="20"/>
        </w:rPr>
        <w:t xml:space="preserve">, po podjęciu przez Zarząd decyzji o emisji Akcji Serii </w:t>
      </w:r>
      <w:r w:rsidR="00B22BA6">
        <w:rPr>
          <w:rFonts w:ascii="Arial" w:hAnsi="Arial" w:cs="Arial"/>
          <w:color w:val="000000"/>
          <w:sz w:val="20"/>
          <w:szCs w:val="20"/>
        </w:rPr>
        <w:t>I</w:t>
      </w:r>
      <w:r w:rsidR="00D749A1" w:rsidRPr="001723B0">
        <w:rPr>
          <w:rFonts w:ascii="Arial" w:hAnsi="Arial" w:cs="Arial"/>
          <w:color w:val="000000"/>
          <w:sz w:val="20"/>
          <w:szCs w:val="20"/>
        </w:rPr>
        <w:t xml:space="preserve">, </w:t>
      </w:r>
      <w:r w:rsidR="001723B0" w:rsidRPr="001723B0">
        <w:rPr>
          <w:rFonts w:ascii="Arial" w:hAnsi="Arial" w:cs="Arial"/>
          <w:color w:val="000000"/>
          <w:sz w:val="20"/>
          <w:szCs w:val="20"/>
        </w:rPr>
        <w:t xml:space="preserve">przeprowadzenia </w:t>
      </w:r>
      <w:r w:rsidR="00490F47" w:rsidRPr="001723B0">
        <w:rPr>
          <w:rFonts w:ascii="Arial" w:hAnsi="Arial" w:cs="Arial"/>
          <w:color w:val="000000"/>
          <w:sz w:val="20"/>
          <w:szCs w:val="20"/>
        </w:rPr>
        <w:t>ofer</w:t>
      </w:r>
      <w:r w:rsidR="001723B0" w:rsidRPr="001723B0">
        <w:rPr>
          <w:rFonts w:ascii="Arial" w:hAnsi="Arial" w:cs="Arial"/>
          <w:color w:val="000000"/>
          <w:sz w:val="20"/>
          <w:szCs w:val="20"/>
        </w:rPr>
        <w:t>ty</w:t>
      </w:r>
      <w:r w:rsidR="00490F47" w:rsidRPr="001723B0">
        <w:rPr>
          <w:rFonts w:ascii="Arial" w:hAnsi="Arial" w:cs="Arial"/>
          <w:color w:val="000000"/>
          <w:sz w:val="20"/>
          <w:szCs w:val="20"/>
        </w:rPr>
        <w:t xml:space="preserve"> i </w:t>
      </w:r>
      <w:r w:rsidR="00EC4EEC" w:rsidRPr="001723B0">
        <w:rPr>
          <w:rFonts w:ascii="Arial" w:hAnsi="Arial" w:cs="Arial"/>
          <w:color w:val="000000"/>
          <w:sz w:val="20"/>
          <w:szCs w:val="20"/>
        </w:rPr>
        <w:t>objęci</w:t>
      </w:r>
      <w:r w:rsidR="001723B0" w:rsidRPr="001723B0">
        <w:rPr>
          <w:rFonts w:ascii="Arial" w:hAnsi="Arial" w:cs="Arial"/>
          <w:color w:val="000000"/>
          <w:sz w:val="20"/>
          <w:szCs w:val="20"/>
        </w:rPr>
        <w:t>a</w:t>
      </w:r>
      <w:r w:rsidR="00EC4EEC" w:rsidRPr="001723B0">
        <w:rPr>
          <w:rFonts w:ascii="Arial" w:hAnsi="Arial" w:cs="Arial"/>
          <w:color w:val="000000"/>
          <w:sz w:val="20"/>
          <w:szCs w:val="20"/>
        </w:rPr>
        <w:t xml:space="preserve"> </w:t>
      </w:r>
      <w:r w:rsidRPr="001723B0">
        <w:rPr>
          <w:rFonts w:ascii="Arial" w:hAnsi="Arial" w:cs="Arial"/>
          <w:color w:val="000000"/>
          <w:sz w:val="20"/>
          <w:szCs w:val="20"/>
        </w:rPr>
        <w:t xml:space="preserve">Akcji Oferowanych w ramach subskrypcji prywatnej </w:t>
      </w:r>
      <w:r w:rsidR="007561B1" w:rsidRPr="001723B0">
        <w:rPr>
          <w:rFonts w:ascii="Arial" w:hAnsi="Arial" w:cs="Arial"/>
          <w:color w:val="000000"/>
          <w:sz w:val="20"/>
          <w:szCs w:val="20"/>
        </w:rPr>
        <w:t>w</w:t>
      </w:r>
      <w:r w:rsidR="007B4A3F" w:rsidRPr="001723B0">
        <w:rPr>
          <w:rFonts w:ascii="Arial" w:hAnsi="Arial" w:cs="Arial"/>
          <w:color w:val="000000"/>
          <w:sz w:val="20"/>
          <w:szCs w:val="20"/>
        </w:rPr>
        <w:t> </w:t>
      </w:r>
      <w:r w:rsidR="0074208B" w:rsidRPr="001723B0">
        <w:rPr>
          <w:rFonts w:ascii="Arial" w:hAnsi="Arial" w:cs="Arial"/>
          <w:color w:val="000000"/>
          <w:sz w:val="20"/>
          <w:szCs w:val="20"/>
        </w:rPr>
        <w:t xml:space="preserve">rozumieniu </w:t>
      </w:r>
      <w:r w:rsidR="007561B1" w:rsidRPr="001723B0">
        <w:rPr>
          <w:rFonts w:ascii="Arial" w:hAnsi="Arial" w:cs="Arial"/>
          <w:color w:val="000000"/>
          <w:sz w:val="20"/>
          <w:szCs w:val="20"/>
        </w:rPr>
        <w:t>a</w:t>
      </w:r>
      <w:r w:rsidRPr="001723B0">
        <w:rPr>
          <w:rFonts w:ascii="Arial" w:hAnsi="Arial" w:cs="Arial"/>
          <w:color w:val="000000"/>
          <w:sz w:val="20"/>
          <w:szCs w:val="20"/>
        </w:rPr>
        <w:t>rt.</w:t>
      </w:r>
      <w:r w:rsidR="00840983">
        <w:rPr>
          <w:rFonts w:ascii="Arial" w:hAnsi="Arial" w:cs="Arial"/>
          <w:color w:val="000000"/>
          <w:sz w:val="20"/>
          <w:szCs w:val="20"/>
        </w:rPr>
        <w:t> </w:t>
      </w:r>
      <w:r w:rsidRPr="001723B0">
        <w:rPr>
          <w:rFonts w:ascii="Arial" w:hAnsi="Arial" w:cs="Arial"/>
          <w:color w:val="000000"/>
          <w:sz w:val="20"/>
          <w:szCs w:val="20"/>
        </w:rPr>
        <w:t>431 § 2 pkt 1</w:t>
      </w:r>
      <w:r w:rsidR="00E67857" w:rsidRPr="001723B0">
        <w:rPr>
          <w:rFonts w:ascii="Arial" w:hAnsi="Arial" w:cs="Arial"/>
          <w:color w:val="000000"/>
          <w:sz w:val="20"/>
          <w:szCs w:val="20"/>
        </w:rPr>
        <w:t>)</w:t>
      </w:r>
      <w:r w:rsidRPr="001723B0">
        <w:rPr>
          <w:rFonts w:ascii="Arial" w:hAnsi="Arial" w:cs="Arial"/>
          <w:color w:val="000000"/>
          <w:sz w:val="20"/>
          <w:szCs w:val="20"/>
        </w:rPr>
        <w:t xml:space="preserve"> ustawy z dnia 15 września 2000 r. – Kodeks spółek</w:t>
      </w:r>
      <w:r w:rsidR="007561B1" w:rsidRPr="001723B0">
        <w:rPr>
          <w:rFonts w:ascii="Arial" w:hAnsi="Arial" w:cs="Arial"/>
          <w:color w:val="000000"/>
          <w:sz w:val="20"/>
          <w:szCs w:val="20"/>
        </w:rPr>
        <w:t xml:space="preserve"> </w:t>
      </w:r>
      <w:r w:rsidRPr="001723B0">
        <w:rPr>
          <w:rFonts w:ascii="Arial" w:hAnsi="Arial" w:cs="Arial"/>
          <w:color w:val="000000"/>
          <w:sz w:val="20"/>
          <w:szCs w:val="20"/>
        </w:rPr>
        <w:t>handlowych („</w:t>
      </w:r>
      <w:r w:rsidRPr="001723B0">
        <w:rPr>
          <w:rFonts w:ascii="Arial" w:hAnsi="Arial" w:cs="Arial"/>
          <w:b/>
          <w:bCs/>
          <w:color w:val="000000"/>
          <w:sz w:val="20"/>
          <w:szCs w:val="20"/>
        </w:rPr>
        <w:t>KSH</w:t>
      </w:r>
      <w:r w:rsidRPr="001723B0">
        <w:rPr>
          <w:rFonts w:ascii="Arial" w:hAnsi="Arial" w:cs="Arial"/>
          <w:color w:val="000000"/>
          <w:sz w:val="20"/>
          <w:szCs w:val="20"/>
        </w:rPr>
        <w:t>”)</w:t>
      </w:r>
      <w:r w:rsidR="001870FA" w:rsidRPr="001723B0">
        <w:rPr>
          <w:rFonts w:ascii="Arial" w:hAnsi="Arial" w:cs="Arial"/>
          <w:color w:val="000000"/>
          <w:sz w:val="20"/>
          <w:szCs w:val="20"/>
        </w:rPr>
        <w:t xml:space="preserve"> </w:t>
      </w:r>
      <w:r w:rsidR="00552F46">
        <w:rPr>
          <w:rFonts w:ascii="Arial" w:hAnsi="Arial" w:cs="Arial"/>
          <w:color w:val="000000"/>
          <w:sz w:val="20"/>
          <w:szCs w:val="20"/>
        </w:rPr>
        <w:t xml:space="preserve">w oparciu o wyniki </w:t>
      </w:r>
      <w:r w:rsidR="00552F46" w:rsidRPr="001723B0">
        <w:rPr>
          <w:rFonts w:ascii="Arial" w:hAnsi="Arial" w:cs="Arial"/>
          <w:color w:val="000000"/>
          <w:sz w:val="20"/>
          <w:szCs w:val="20"/>
        </w:rPr>
        <w:t>procesu budowania księgi popytu na Akcje Oferowane</w:t>
      </w:r>
      <w:r w:rsidR="00552F46">
        <w:rPr>
          <w:rFonts w:ascii="Arial" w:hAnsi="Arial" w:cs="Arial"/>
          <w:color w:val="000000"/>
          <w:sz w:val="20"/>
          <w:szCs w:val="20"/>
        </w:rPr>
        <w:t xml:space="preserve">, </w:t>
      </w:r>
      <w:r w:rsidR="001870FA" w:rsidRPr="001723B0">
        <w:rPr>
          <w:rFonts w:ascii="Arial" w:hAnsi="Arial" w:cs="Arial"/>
          <w:color w:val="000000"/>
          <w:sz w:val="20"/>
          <w:szCs w:val="20"/>
        </w:rPr>
        <w:t xml:space="preserve">w ramach upoważnienia Zarządu Spółki do podwyższenia </w:t>
      </w:r>
      <w:r w:rsidR="00490F47" w:rsidRPr="001723B0">
        <w:rPr>
          <w:rFonts w:ascii="Arial" w:hAnsi="Arial" w:cs="Arial"/>
          <w:color w:val="000000"/>
          <w:sz w:val="20"/>
          <w:szCs w:val="20"/>
        </w:rPr>
        <w:t>kapitału</w:t>
      </w:r>
      <w:r w:rsidR="001870FA" w:rsidRPr="001723B0">
        <w:rPr>
          <w:rFonts w:ascii="Arial" w:hAnsi="Arial" w:cs="Arial"/>
          <w:color w:val="000000"/>
          <w:sz w:val="20"/>
          <w:szCs w:val="20"/>
        </w:rPr>
        <w:t xml:space="preserve"> zakładowego w granicach kapitału docelowego, o którym mowa w</w:t>
      </w:r>
      <w:r w:rsidR="001870FA" w:rsidRPr="001723B0">
        <w:rPr>
          <w:rFonts w:ascii="Arial" w:hAnsi="Arial" w:cs="Arial"/>
          <w:sz w:val="20"/>
          <w:szCs w:val="20"/>
        </w:rPr>
        <w:t xml:space="preserve"> § 5</w:t>
      </w:r>
      <w:r w:rsidR="001870FA" w:rsidRPr="001723B0">
        <w:rPr>
          <w:rFonts w:ascii="Arial" w:hAnsi="Arial" w:cs="Arial"/>
          <w:sz w:val="20"/>
          <w:szCs w:val="20"/>
          <w:vertAlign w:val="superscript"/>
        </w:rPr>
        <w:t>1</w:t>
      </w:r>
      <w:r w:rsidR="001870FA" w:rsidRPr="001723B0">
        <w:rPr>
          <w:rFonts w:ascii="Arial" w:hAnsi="Arial" w:cs="Arial"/>
          <w:sz w:val="20"/>
          <w:szCs w:val="20"/>
        </w:rPr>
        <w:t xml:space="preserve"> Statutu Spółki</w:t>
      </w:r>
      <w:r w:rsidR="00FB1E3D" w:rsidRPr="001723B0">
        <w:rPr>
          <w:rFonts w:ascii="Arial" w:hAnsi="Arial" w:cs="Arial"/>
          <w:color w:val="000000"/>
          <w:sz w:val="20"/>
          <w:szCs w:val="20"/>
        </w:rPr>
        <w:t xml:space="preserve">, </w:t>
      </w:r>
      <w:r w:rsidR="0074208B" w:rsidRPr="001723B0">
        <w:rPr>
          <w:rFonts w:ascii="Arial" w:hAnsi="Arial" w:cs="Arial"/>
          <w:color w:val="000000"/>
          <w:sz w:val="20"/>
          <w:szCs w:val="20"/>
        </w:rPr>
        <w:t>przeprowadzanej w drodze oferty publicznej w rozumieniu art. 2 lit. d) Rozporządzenia Parlamentu Europejskiego i Rady (UE) 2017/1129 z dnia 14 czerwca 2017 r. w sprawie prospektu, który ma być publikowany w związku z ofertą publiczną papierów wartościowych lub dopuszczeniem ich do obrotu na rynku regulowanym oraz uchylenia dyrektywy 2003/71/WE („</w:t>
      </w:r>
      <w:r w:rsidR="0074208B" w:rsidRPr="001723B0">
        <w:rPr>
          <w:rFonts w:ascii="Arial" w:hAnsi="Arial" w:cs="Arial"/>
          <w:b/>
          <w:bCs/>
          <w:color w:val="000000"/>
          <w:sz w:val="20"/>
          <w:szCs w:val="20"/>
        </w:rPr>
        <w:t>Rozporządzenie Prospektowe</w:t>
      </w:r>
      <w:r w:rsidR="0074208B" w:rsidRPr="001723B0">
        <w:rPr>
          <w:rFonts w:ascii="Arial" w:hAnsi="Arial" w:cs="Arial"/>
          <w:color w:val="000000"/>
          <w:sz w:val="20"/>
          <w:szCs w:val="20"/>
        </w:rPr>
        <w:t xml:space="preserve">”) </w:t>
      </w:r>
      <w:bookmarkStart w:id="1" w:name="_Hlk204959335"/>
      <w:r w:rsidR="0074208B" w:rsidRPr="001723B0">
        <w:rPr>
          <w:rFonts w:ascii="Arial" w:hAnsi="Arial" w:cs="Arial"/>
          <w:color w:val="000000"/>
          <w:sz w:val="20"/>
          <w:szCs w:val="20"/>
        </w:rPr>
        <w:t>zwolnionej z</w:t>
      </w:r>
      <w:r w:rsidR="006A54BD" w:rsidRPr="001723B0">
        <w:rPr>
          <w:rFonts w:ascii="Arial" w:hAnsi="Arial" w:cs="Arial"/>
          <w:color w:val="000000"/>
          <w:sz w:val="20"/>
          <w:szCs w:val="20"/>
        </w:rPr>
        <w:t xml:space="preserve"> </w:t>
      </w:r>
      <w:r w:rsidR="0074208B" w:rsidRPr="001723B0">
        <w:rPr>
          <w:rFonts w:ascii="Arial" w:hAnsi="Arial" w:cs="Arial"/>
          <w:color w:val="000000"/>
          <w:sz w:val="20"/>
          <w:szCs w:val="20"/>
        </w:rPr>
        <w:t>obowiązku opublikowania prospektu w rozumieniu właściwych przepisów prawa, bądź obowiązku opublikowania innego dokumentu informacyjnego albo ofertowego na potrzeby takiej oferty lub na podstawie wyjątku od obowiązku przeprowadzenia procesu rejestracyjnego w innej jurysdykcji</w:t>
      </w:r>
      <w:r w:rsidR="00905389" w:rsidRPr="001723B0">
        <w:rPr>
          <w:rFonts w:ascii="Arial" w:hAnsi="Arial" w:cs="Arial"/>
          <w:color w:val="000000"/>
          <w:sz w:val="20"/>
          <w:szCs w:val="20"/>
        </w:rPr>
        <w:t>.</w:t>
      </w:r>
    </w:p>
    <w:bookmarkEnd w:id="1"/>
    <w:p w14:paraId="24471A6B" w14:textId="77777777" w:rsidR="00457C9C" w:rsidRPr="001723B0" w:rsidRDefault="0074208B" w:rsidP="00905389">
      <w:pPr>
        <w:autoSpaceDE w:val="0"/>
        <w:autoSpaceDN w:val="0"/>
        <w:adjustRightInd w:val="0"/>
        <w:spacing w:after="120" w:line="240" w:lineRule="auto"/>
        <w:jc w:val="both"/>
        <w:rPr>
          <w:rFonts w:ascii="Arial" w:hAnsi="Arial" w:cs="Arial"/>
          <w:color w:val="000000"/>
          <w:sz w:val="20"/>
          <w:szCs w:val="20"/>
        </w:rPr>
      </w:pPr>
      <w:r w:rsidRPr="001723B0">
        <w:rPr>
          <w:rFonts w:ascii="Arial" w:hAnsi="Arial" w:cs="Arial"/>
          <w:color w:val="000000"/>
          <w:sz w:val="20"/>
          <w:szCs w:val="20"/>
        </w:rPr>
        <w:t xml:space="preserve">Akcje </w:t>
      </w:r>
      <w:r w:rsidR="001870FA" w:rsidRPr="001723B0">
        <w:rPr>
          <w:rFonts w:ascii="Arial" w:hAnsi="Arial" w:cs="Arial"/>
          <w:color w:val="000000"/>
          <w:sz w:val="20"/>
          <w:szCs w:val="20"/>
        </w:rPr>
        <w:t xml:space="preserve">Serii </w:t>
      </w:r>
      <w:r w:rsidR="00B22BA6">
        <w:rPr>
          <w:rFonts w:ascii="Arial" w:hAnsi="Arial" w:cs="Arial"/>
          <w:color w:val="000000"/>
          <w:sz w:val="20"/>
          <w:szCs w:val="20"/>
        </w:rPr>
        <w:t>I</w:t>
      </w:r>
      <w:r w:rsidRPr="001723B0">
        <w:rPr>
          <w:rFonts w:ascii="Arial" w:hAnsi="Arial" w:cs="Arial"/>
          <w:color w:val="000000"/>
          <w:sz w:val="20"/>
          <w:szCs w:val="20"/>
        </w:rPr>
        <w:t xml:space="preserve"> mogą być oferowane i sprzedawane wyłącznie poza terytorium Stanów Zjednoczonych Ameryki w</w:t>
      </w:r>
      <w:r w:rsidR="00457C9C" w:rsidRPr="001723B0">
        <w:rPr>
          <w:rFonts w:ascii="Arial" w:hAnsi="Arial" w:cs="Arial"/>
          <w:color w:val="000000"/>
          <w:sz w:val="20"/>
          <w:szCs w:val="20"/>
        </w:rPr>
        <w:t> </w:t>
      </w:r>
      <w:r w:rsidRPr="001723B0">
        <w:rPr>
          <w:rFonts w:ascii="Arial" w:hAnsi="Arial" w:cs="Arial"/>
          <w:color w:val="000000"/>
          <w:sz w:val="20"/>
          <w:szCs w:val="20"/>
        </w:rPr>
        <w:t xml:space="preserve">transakcjach realizowanych poza granicami Stanów Zjednoczonych Ameryki (ang. </w:t>
      </w:r>
      <w:r w:rsidRPr="001723B0">
        <w:rPr>
          <w:rFonts w:ascii="Arial" w:hAnsi="Arial" w:cs="Arial"/>
          <w:i/>
          <w:iCs/>
          <w:color w:val="000000"/>
          <w:sz w:val="20"/>
          <w:szCs w:val="20"/>
        </w:rPr>
        <w:t>offshore transactions</w:t>
      </w:r>
      <w:r w:rsidRPr="001723B0">
        <w:rPr>
          <w:rFonts w:ascii="Arial" w:hAnsi="Arial" w:cs="Arial"/>
          <w:color w:val="000000"/>
          <w:sz w:val="20"/>
          <w:szCs w:val="20"/>
        </w:rPr>
        <w:t>), zgodnie z definicją oraz postanowieniami Regulacji S wydanej na podstawie Amerykańskiej Ustawy o Papierach Wartościowych z 1933 r</w:t>
      </w:r>
      <w:r w:rsidR="009159B9" w:rsidRPr="001723B0">
        <w:rPr>
          <w:rFonts w:ascii="Arial" w:hAnsi="Arial" w:cs="Arial"/>
          <w:color w:val="000000"/>
          <w:sz w:val="20"/>
          <w:szCs w:val="20"/>
        </w:rPr>
        <w:t>.</w:t>
      </w:r>
      <w:r w:rsidRPr="001723B0">
        <w:rPr>
          <w:rFonts w:ascii="Arial" w:hAnsi="Arial" w:cs="Arial"/>
          <w:color w:val="000000"/>
          <w:sz w:val="20"/>
          <w:szCs w:val="20"/>
        </w:rPr>
        <w:t xml:space="preserve">, ze zmianami (ang. </w:t>
      </w:r>
      <w:r w:rsidRPr="001723B0">
        <w:rPr>
          <w:rFonts w:ascii="Arial" w:hAnsi="Arial" w:cs="Arial"/>
          <w:i/>
          <w:iCs/>
          <w:color w:val="000000"/>
          <w:sz w:val="20"/>
          <w:szCs w:val="20"/>
        </w:rPr>
        <w:t>Regulation S under the U.S. Securities Act of 1933, as amended</w:t>
      </w:r>
      <w:r w:rsidRPr="001723B0">
        <w:rPr>
          <w:rFonts w:ascii="Arial" w:hAnsi="Arial" w:cs="Arial"/>
          <w:color w:val="000000"/>
          <w:sz w:val="20"/>
          <w:szCs w:val="20"/>
        </w:rPr>
        <w:t xml:space="preserve">) lub na podstawie innego wyjątku lub wyjątków od obowiązków rejestracyjnych w Stanach Zjednoczonych Ameryki lub innych jurysdykcjach. </w:t>
      </w:r>
    </w:p>
    <w:p w14:paraId="56CD5276" w14:textId="58E5A0B5" w:rsidR="00C619E9" w:rsidRDefault="0095753D" w:rsidP="000F2957">
      <w:pPr>
        <w:jc w:val="both"/>
        <w:rPr>
          <w:rFonts w:ascii="Arial" w:hAnsi="Arial" w:cs="Arial"/>
          <w:sz w:val="20"/>
          <w:szCs w:val="20"/>
        </w:rPr>
      </w:pPr>
      <w:bookmarkStart w:id="2" w:name="_Hlk204960840"/>
      <w:r w:rsidRPr="0095753D">
        <w:rPr>
          <w:rFonts w:ascii="Arial" w:hAnsi="Arial" w:cs="Arial"/>
          <w:sz w:val="20"/>
          <w:szCs w:val="20"/>
        </w:rPr>
        <w:t xml:space="preserve">Celem Emitenta jest pozyskanie środków na zapłatę wynagrodzenia za cesję praw z umów wydawniczych </w:t>
      </w:r>
      <w:r w:rsidR="0023477E">
        <w:rPr>
          <w:rFonts w:ascii="Arial" w:hAnsi="Arial" w:cs="Arial"/>
          <w:sz w:val="20"/>
          <w:szCs w:val="20"/>
        </w:rPr>
        <w:t xml:space="preserve">przewidzianą w umowie inwestycyjnej zawartej w dniu </w:t>
      </w:r>
      <w:r w:rsidR="00DF7C1D">
        <w:rPr>
          <w:rFonts w:ascii="Arial" w:hAnsi="Arial" w:cs="Arial"/>
          <w:sz w:val="20"/>
          <w:szCs w:val="20"/>
        </w:rPr>
        <w:t>24</w:t>
      </w:r>
      <w:r w:rsidR="0023477E">
        <w:rPr>
          <w:rFonts w:ascii="Arial" w:hAnsi="Arial" w:cs="Arial"/>
          <w:sz w:val="20"/>
          <w:szCs w:val="20"/>
        </w:rPr>
        <w:t xml:space="preserve"> kwietnia 2026 r. </w:t>
      </w:r>
      <w:r w:rsidR="0023477E" w:rsidRPr="0023477E">
        <w:rPr>
          <w:rFonts w:ascii="Arial" w:hAnsi="Arial" w:cs="Arial"/>
          <w:sz w:val="20"/>
          <w:szCs w:val="20"/>
        </w:rPr>
        <w:t xml:space="preserve">ze spółką </w:t>
      </w:r>
      <w:r w:rsidR="0023477E" w:rsidRPr="0023477E">
        <w:rPr>
          <w:rFonts w:ascii="Arial" w:hAnsi="Arial" w:cs="Arial"/>
          <w:sz w:val="20"/>
          <w:szCs w:val="20"/>
        </w:rPr>
        <w:lastRenderedPageBreak/>
        <w:t>Cooldown Games LLC z siedzibą w Austin w Teksasie</w:t>
      </w:r>
      <w:r w:rsidRPr="0095753D">
        <w:rPr>
          <w:rFonts w:ascii="Arial" w:hAnsi="Arial" w:cs="Arial"/>
          <w:sz w:val="20"/>
          <w:szCs w:val="20"/>
        </w:rPr>
        <w:t xml:space="preserve"> </w:t>
      </w:r>
      <w:r w:rsidR="00383A15" w:rsidRPr="00383A15">
        <w:rPr>
          <w:rFonts w:ascii="Arial" w:hAnsi="Arial" w:cs="Arial"/>
          <w:sz w:val="20"/>
          <w:szCs w:val="20"/>
        </w:rPr>
        <w:t xml:space="preserve">będącą wydawcą gier wideo </w:t>
      </w:r>
      <w:r w:rsidR="00383A15">
        <w:rPr>
          <w:rFonts w:ascii="Arial" w:hAnsi="Arial" w:cs="Arial"/>
          <w:sz w:val="20"/>
          <w:szCs w:val="20"/>
        </w:rPr>
        <w:t>(„</w:t>
      </w:r>
      <w:r w:rsidR="00383A15" w:rsidRPr="00C607FE">
        <w:rPr>
          <w:rFonts w:ascii="Arial" w:hAnsi="Arial" w:cs="Arial"/>
          <w:b/>
          <w:bCs/>
          <w:sz w:val="20"/>
          <w:szCs w:val="20"/>
        </w:rPr>
        <w:t>Cooldown Games</w:t>
      </w:r>
      <w:r w:rsidR="00383A15">
        <w:rPr>
          <w:rFonts w:ascii="Arial" w:hAnsi="Arial" w:cs="Arial"/>
          <w:sz w:val="20"/>
          <w:szCs w:val="20"/>
        </w:rPr>
        <w:t xml:space="preserve">”) </w:t>
      </w:r>
      <w:r w:rsidRPr="0095753D">
        <w:rPr>
          <w:rFonts w:ascii="Arial" w:hAnsi="Arial" w:cs="Arial"/>
          <w:sz w:val="20"/>
          <w:szCs w:val="20"/>
        </w:rPr>
        <w:t>oraz sfinansowanie produkcji i wydania gier przejmowanych w umowach cesji</w:t>
      </w:r>
      <w:r w:rsidR="0023477E">
        <w:rPr>
          <w:rFonts w:ascii="Arial" w:hAnsi="Arial" w:cs="Arial"/>
          <w:sz w:val="20"/>
          <w:szCs w:val="20"/>
        </w:rPr>
        <w:t xml:space="preserve">, o czym Emitent poinformował w raporcie bieżącym nr </w:t>
      </w:r>
      <w:r w:rsidR="00F02E00">
        <w:rPr>
          <w:rFonts w:ascii="Arial" w:hAnsi="Arial" w:cs="Arial"/>
          <w:sz w:val="20"/>
          <w:szCs w:val="20"/>
        </w:rPr>
        <w:t>5</w:t>
      </w:r>
      <w:r w:rsidR="0023477E">
        <w:rPr>
          <w:rFonts w:ascii="Arial" w:hAnsi="Arial" w:cs="Arial"/>
          <w:sz w:val="20"/>
          <w:szCs w:val="20"/>
        </w:rPr>
        <w:t xml:space="preserve">/2026 z dnia </w:t>
      </w:r>
      <w:r w:rsidR="00383A15">
        <w:rPr>
          <w:rFonts w:ascii="Arial" w:hAnsi="Arial" w:cs="Arial"/>
          <w:sz w:val="20"/>
          <w:szCs w:val="20"/>
        </w:rPr>
        <w:t>24</w:t>
      </w:r>
      <w:r w:rsidR="0023477E">
        <w:rPr>
          <w:rFonts w:ascii="Arial" w:hAnsi="Arial" w:cs="Arial"/>
          <w:sz w:val="20"/>
          <w:szCs w:val="20"/>
        </w:rPr>
        <w:t xml:space="preserve"> kwietnia 2026 r</w:t>
      </w:r>
      <w:r w:rsidRPr="0095753D">
        <w:rPr>
          <w:rFonts w:ascii="Arial" w:hAnsi="Arial" w:cs="Arial"/>
          <w:sz w:val="20"/>
          <w:szCs w:val="20"/>
        </w:rPr>
        <w:t>.</w:t>
      </w:r>
    </w:p>
    <w:bookmarkEnd w:id="2"/>
    <w:p w14:paraId="1DE15FAC" w14:textId="77777777" w:rsidR="006071DF" w:rsidRPr="001723B0" w:rsidRDefault="00457C9C" w:rsidP="00074294">
      <w:pPr>
        <w:jc w:val="both"/>
        <w:rPr>
          <w:rFonts w:ascii="Arial" w:hAnsi="Arial" w:cs="Arial"/>
          <w:color w:val="000000"/>
          <w:sz w:val="20"/>
          <w:szCs w:val="20"/>
        </w:rPr>
      </w:pPr>
      <w:r w:rsidRPr="001723B0">
        <w:rPr>
          <w:rFonts w:ascii="Arial" w:hAnsi="Arial" w:cs="Arial"/>
          <w:color w:val="000000"/>
          <w:sz w:val="20"/>
          <w:szCs w:val="20"/>
        </w:rPr>
        <w:t xml:space="preserve">W przypadku </w:t>
      </w:r>
      <w:r w:rsidR="005F1A0B">
        <w:rPr>
          <w:rFonts w:ascii="Arial" w:hAnsi="Arial" w:cs="Arial"/>
          <w:color w:val="000000"/>
          <w:sz w:val="20"/>
          <w:szCs w:val="20"/>
        </w:rPr>
        <w:t xml:space="preserve">podjęcia decyzji o </w:t>
      </w:r>
      <w:r w:rsidRPr="001723B0">
        <w:rPr>
          <w:rFonts w:ascii="Arial" w:hAnsi="Arial" w:cs="Arial"/>
          <w:color w:val="000000"/>
          <w:sz w:val="20"/>
          <w:szCs w:val="20"/>
        </w:rPr>
        <w:t>p</w:t>
      </w:r>
      <w:r w:rsidR="00B072B9" w:rsidRPr="001723B0">
        <w:rPr>
          <w:rFonts w:ascii="Arial" w:hAnsi="Arial" w:cs="Arial"/>
          <w:color w:val="000000"/>
          <w:sz w:val="20"/>
          <w:szCs w:val="20"/>
        </w:rPr>
        <w:t>rzeprowadzeni</w:t>
      </w:r>
      <w:r w:rsidR="005F1A0B">
        <w:rPr>
          <w:rFonts w:ascii="Arial" w:hAnsi="Arial" w:cs="Arial"/>
          <w:color w:val="000000"/>
          <w:sz w:val="20"/>
          <w:szCs w:val="20"/>
        </w:rPr>
        <w:t>u</w:t>
      </w:r>
      <w:r w:rsidR="00B072B9" w:rsidRPr="001723B0">
        <w:rPr>
          <w:rFonts w:ascii="Arial" w:hAnsi="Arial" w:cs="Arial"/>
          <w:color w:val="000000"/>
          <w:sz w:val="20"/>
          <w:szCs w:val="20"/>
        </w:rPr>
        <w:t xml:space="preserve"> </w:t>
      </w:r>
      <w:r w:rsidR="00905389" w:rsidRPr="001723B0">
        <w:rPr>
          <w:rFonts w:ascii="Arial" w:hAnsi="Arial" w:cs="Arial"/>
          <w:color w:val="000000"/>
          <w:sz w:val="20"/>
          <w:szCs w:val="20"/>
        </w:rPr>
        <w:t>o</w:t>
      </w:r>
      <w:r w:rsidRPr="001723B0">
        <w:rPr>
          <w:rFonts w:ascii="Arial" w:hAnsi="Arial" w:cs="Arial"/>
          <w:color w:val="000000"/>
          <w:sz w:val="20"/>
          <w:szCs w:val="20"/>
        </w:rPr>
        <w:t xml:space="preserve">ferty </w:t>
      </w:r>
      <w:r w:rsidR="00905389" w:rsidRPr="001723B0">
        <w:rPr>
          <w:rFonts w:ascii="Arial" w:hAnsi="Arial" w:cs="Arial"/>
          <w:color w:val="000000"/>
          <w:sz w:val="20"/>
          <w:szCs w:val="20"/>
        </w:rPr>
        <w:t xml:space="preserve">Akcji Oferowanych </w:t>
      </w:r>
      <w:r w:rsidR="00CE760B" w:rsidRPr="001723B0">
        <w:rPr>
          <w:rFonts w:ascii="Arial" w:hAnsi="Arial" w:cs="Arial"/>
          <w:color w:val="000000"/>
          <w:sz w:val="20"/>
          <w:szCs w:val="20"/>
        </w:rPr>
        <w:t>(„</w:t>
      </w:r>
      <w:r w:rsidR="00CE760B" w:rsidRPr="001723B0">
        <w:rPr>
          <w:rFonts w:ascii="Arial" w:hAnsi="Arial" w:cs="Arial"/>
          <w:b/>
          <w:bCs/>
          <w:color w:val="000000"/>
          <w:sz w:val="20"/>
          <w:szCs w:val="20"/>
        </w:rPr>
        <w:t>Oferta</w:t>
      </w:r>
      <w:r w:rsidR="00CE760B" w:rsidRPr="001723B0">
        <w:rPr>
          <w:rFonts w:ascii="Arial" w:hAnsi="Arial" w:cs="Arial"/>
          <w:color w:val="000000"/>
          <w:sz w:val="20"/>
          <w:szCs w:val="20"/>
        </w:rPr>
        <w:t xml:space="preserve">”) </w:t>
      </w:r>
      <w:r w:rsidR="00B072B9" w:rsidRPr="001723B0">
        <w:rPr>
          <w:rFonts w:ascii="Arial" w:hAnsi="Arial" w:cs="Arial"/>
          <w:color w:val="000000"/>
          <w:sz w:val="20"/>
          <w:szCs w:val="20"/>
        </w:rPr>
        <w:t xml:space="preserve">Emitent </w:t>
      </w:r>
      <w:r w:rsidRPr="001723B0">
        <w:rPr>
          <w:rFonts w:ascii="Arial" w:hAnsi="Arial" w:cs="Arial"/>
          <w:color w:val="000000"/>
          <w:sz w:val="20"/>
          <w:szCs w:val="20"/>
        </w:rPr>
        <w:t>zamierza ubiegać się</w:t>
      </w:r>
      <w:r w:rsidR="00B072B9" w:rsidRPr="001723B0">
        <w:rPr>
          <w:rFonts w:ascii="Arial" w:hAnsi="Arial" w:cs="Arial"/>
          <w:color w:val="000000"/>
          <w:sz w:val="20"/>
          <w:szCs w:val="20"/>
        </w:rPr>
        <w:t xml:space="preserve"> </w:t>
      </w:r>
      <w:r w:rsidRPr="001723B0">
        <w:rPr>
          <w:rFonts w:ascii="Arial" w:hAnsi="Arial" w:cs="Arial"/>
          <w:color w:val="000000"/>
          <w:sz w:val="20"/>
          <w:szCs w:val="20"/>
        </w:rPr>
        <w:t>o</w:t>
      </w:r>
      <w:r w:rsidR="007B4A3F" w:rsidRPr="001723B0">
        <w:rPr>
          <w:rFonts w:ascii="Arial" w:hAnsi="Arial" w:cs="Arial"/>
          <w:color w:val="000000"/>
          <w:sz w:val="20"/>
          <w:szCs w:val="20"/>
        </w:rPr>
        <w:t> </w:t>
      </w:r>
      <w:r w:rsidRPr="001723B0">
        <w:rPr>
          <w:rFonts w:ascii="Arial" w:hAnsi="Arial" w:cs="Arial"/>
          <w:color w:val="000000"/>
          <w:sz w:val="20"/>
          <w:szCs w:val="20"/>
        </w:rPr>
        <w:t xml:space="preserve">dopuszczenie Akcji Oferowanych do obrotu na rynku regulowanym prowadzonym przez </w:t>
      </w:r>
      <w:r w:rsidR="006071DF" w:rsidRPr="001723B0">
        <w:rPr>
          <w:rFonts w:ascii="Arial" w:hAnsi="Arial" w:cs="Arial"/>
          <w:color w:val="000000"/>
          <w:sz w:val="20"/>
          <w:szCs w:val="20"/>
        </w:rPr>
        <w:t>GPW</w:t>
      </w:r>
      <w:r w:rsidRPr="001723B0">
        <w:rPr>
          <w:rFonts w:ascii="Arial" w:hAnsi="Arial" w:cs="Arial"/>
          <w:color w:val="000000"/>
          <w:sz w:val="20"/>
          <w:szCs w:val="20"/>
        </w:rPr>
        <w:t>, na</w:t>
      </w:r>
      <w:r w:rsidR="00B3661E" w:rsidRPr="001723B0">
        <w:rPr>
          <w:rFonts w:ascii="Arial" w:hAnsi="Arial" w:cs="Arial"/>
          <w:color w:val="000000"/>
          <w:sz w:val="20"/>
          <w:szCs w:val="20"/>
        </w:rPr>
        <w:t> </w:t>
      </w:r>
      <w:r w:rsidRPr="001723B0">
        <w:rPr>
          <w:rFonts w:ascii="Arial" w:hAnsi="Arial" w:cs="Arial"/>
          <w:color w:val="000000"/>
          <w:sz w:val="20"/>
          <w:szCs w:val="20"/>
        </w:rPr>
        <w:t xml:space="preserve">którym są </w:t>
      </w:r>
      <w:r w:rsidRPr="00074294">
        <w:rPr>
          <w:rFonts w:ascii="Arial" w:hAnsi="Arial" w:cs="Arial"/>
          <w:sz w:val="20"/>
          <w:szCs w:val="20"/>
        </w:rPr>
        <w:t>notowane</w:t>
      </w:r>
      <w:r w:rsidRPr="001723B0">
        <w:rPr>
          <w:rFonts w:ascii="Arial" w:hAnsi="Arial" w:cs="Arial"/>
          <w:color w:val="000000"/>
          <w:sz w:val="20"/>
          <w:szCs w:val="20"/>
        </w:rPr>
        <w:t xml:space="preserve"> dotychczas wyemitowane akcje </w:t>
      </w:r>
      <w:r w:rsidR="00B072B9" w:rsidRPr="001723B0">
        <w:rPr>
          <w:rFonts w:ascii="Arial" w:hAnsi="Arial" w:cs="Arial"/>
          <w:color w:val="000000"/>
          <w:sz w:val="20"/>
          <w:szCs w:val="20"/>
        </w:rPr>
        <w:t>Emitenta</w:t>
      </w:r>
      <w:r w:rsidRPr="001723B0">
        <w:rPr>
          <w:rFonts w:ascii="Arial" w:hAnsi="Arial" w:cs="Arial"/>
          <w:color w:val="000000"/>
          <w:sz w:val="20"/>
          <w:szCs w:val="20"/>
        </w:rPr>
        <w:t>.</w:t>
      </w:r>
      <w:r w:rsidR="006071DF" w:rsidRPr="001723B0">
        <w:rPr>
          <w:rFonts w:ascii="Arial" w:hAnsi="Arial" w:cs="Arial"/>
          <w:color w:val="000000"/>
          <w:sz w:val="20"/>
          <w:szCs w:val="20"/>
        </w:rPr>
        <w:t xml:space="preserve"> W szczególności, Emitent zamierza ubiegać się o dopuszczenie Akcji Oferowanych do obrotu na rynku regulowanym prowadzonym przez GPW</w:t>
      </w:r>
      <w:r w:rsidR="00CF3F4E" w:rsidRPr="001723B0">
        <w:rPr>
          <w:rFonts w:ascii="Arial" w:hAnsi="Arial" w:cs="Arial"/>
          <w:color w:val="000000"/>
          <w:sz w:val="20"/>
          <w:szCs w:val="20"/>
        </w:rPr>
        <w:t xml:space="preserve"> w</w:t>
      </w:r>
      <w:r w:rsidR="006071DF" w:rsidRPr="001723B0">
        <w:rPr>
          <w:rFonts w:ascii="Arial" w:hAnsi="Arial" w:cs="Arial"/>
          <w:color w:val="000000"/>
          <w:sz w:val="20"/>
          <w:szCs w:val="20"/>
        </w:rPr>
        <w:t xml:space="preserve"> oparciu o zwolnienie z obowiązku publikacji prospektu, który pozwala na ubieganie się o dopuszczenie do obrotu na rynku regulowanym GPW do </w:t>
      </w:r>
      <w:r w:rsidR="001870FA" w:rsidRPr="001723B0">
        <w:rPr>
          <w:rFonts w:ascii="Arial" w:hAnsi="Arial" w:cs="Arial"/>
          <w:color w:val="000000"/>
          <w:sz w:val="20"/>
          <w:szCs w:val="20"/>
        </w:rPr>
        <w:t>3</w:t>
      </w:r>
      <w:r w:rsidR="006071DF" w:rsidRPr="001723B0">
        <w:rPr>
          <w:rFonts w:ascii="Arial" w:hAnsi="Arial" w:cs="Arial"/>
          <w:color w:val="000000"/>
          <w:sz w:val="20"/>
          <w:szCs w:val="20"/>
        </w:rPr>
        <w:t>0% akcji Spółki tożsamych z akcjami Spółki już dopuszczonymi do obrotu na tym samym rynku regulowanym w okresie 12 miesięcy</w:t>
      </w:r>
      <w:r w:rsidR="006A54BD" w:rsidRPr="001723B0">
        <w:rPr>
          <w:rFonts w:ascii="Arial" w:hAnsi="Arial" w:cs="Arial"/>
          <w:color w:val="000000"/>
          <w:sz w:val="20"/>
          <w:szCs w:val="20"/>
        </w:rPr>
        <w:t>,</w:t>
      </w:r>
      <w:r w:rsidR="006071DF" w:rsidRPr="001723B0">
        <w:rPr>
          <w:rFonts w:ascii="Arial" w:hAnsi="Arial" w:cs="Arial"/>
          <w:color w:val="000000"/>
          <w:sz w:val="20"/>
          <w:szCs w:val="20"/>
        </w:rPr>
        <w:t xml:space="preserve"> tj. zgodnie z art. 1 ust. 5 lit. a) Rozporządzenia Prospektowego.</w:t>
      </w:r>
      <w:r w:rsidR="00D6020B" w:rsidRPr="001723B0">
        <w:rPr>
          <w:rFonts w:ascii="Arial" w:hAnsi="Arial" w:cs="Arial"/>
          <w:color w:val="000000"/>
          <w:sz w:val="20"/>
          <w:szCs w:val="20"/>
        </w:rPr>
        <w:t xml:space="preserve"> W przypadku dojścia Oferty do skutku (przy założeniu objęcia wszystkich Akcji Oferowanych) oraz rejestracji podwyższenia kapitału zakładowego Spółki w drodze emisji Akcji Oferowanych, Akcje Oferowane będą stanowić ok. </w:t>
      </w:r>
      <w:r w:rsidR="00324C4E">
        <w:rPr>
          <w:rFonts w:ascii="Arial" w:hAnsi="Arial" w:cs="Arial"/>
          <w:color w:val="000000"/>
          <w:sz w:val="20"/>
          <w:szCs w:val="20"/>
        </w:rPr>
        <w:t>8,8</w:t>
      </w:r>
      <w:r w:rsidR="00D6020B" w:rsidRPr="001723B0">
        <w:rPr>
          <w:rFonts w:ascii="Arial" w:hAnsi="Arial" w:cs="Arial"/>
          <w:color w:val="000000"/>
          <w:sz w:val="20"/>
          <w:szCs w:val="20"/>
        </w:rPr>
        <w:t xml:space="preserve">% kapitału zakładowego Spółki oraz ok. </w:t>
      </w:r>
      <w:r w:rsidR="00324C4E">
        <w:rPr>
          <w:rFonts w:ascii="Arial" w:hAnsi="Arial" w:cs="Arial"/>
          <w:color w:val="000000"/>
          <w:sz w:val="20"/>
          <w:szCs w:val="20"/>
        </w:rPr>
        <w:t>8,8</w:t>
      </w:r>
      <w:r w:rsidR="00D6020B" w:rsidRPr="001723B0">
        <w:rPr>
          <w:rFonts w:ascii="Arial" w:hAnsi="Arial" w:cs="Arial"/>
          <w:color w:val="000000"/>
          <w:sz w:val="20"/>
          <w:szCs w:val="20"/>
        </w:rPr>
        <w:t xml:space="preserve">% ogólnej liczby głosów na walnym zgromadzeniu Spółki. </w:t>
      </w:r>
    </w:p>
    <w:p w14:paraId="6A20050D" w14:textId="77777777" w:rsidR="00D9698C" w:rsidRPr="001723B0" w:rsidRDefault="00D9698C" w:rsidP="00074294">
      <w:pPr>
        <w:jc w:val="both"/>
        <w:rPr>
          <w:rFonts w:ascii="Arial" w:hAnsi="Arial" w:cs="Arial"/>
          <w:color w:val="000000"/>
          <w:sz w:val="20"/>
          <w:szCs w:val="20"/>
        </w:rPr>
      </w:pPr>
      <w:r w:rsidRPr="001723B0">
        <w:rPr>
          <w:rFonts w:ascii="Arial" w:hAnsi="Arial" w:cs="Arial"/>
          <w:color w:val="000000"/>
          <w:sz w:val="20"/>
          <w:szCs w:val="20"/>
        </w:rPr>
        <w:t xml:space="preserve">Z uwagi na obowiązek stosowania środków ograniczających wprowadzony w drodze rozporządzenia Rady (UE) 2022/328 z dnia 25 lutego 2022 r. w sprawie zmiany rozporządzenia Rady (UE) nr 833/2014 dotyczącego środków </w:t>
      </w:r>
      <w:r w:rsidRPr="00074294">
        <w:rPr>
          <w:rFonts w:ascii="Arial" w:hAnsi="Arial" w:cs="Arial"/>
          <w:sz w:val="20"/>
          <w:szCs w:val="20"/>
        </w:rPr>
        <w:t>ograniczających</w:t>
      </w:r>
      <w:r w:rsidRPr="001723B0">
        <w:rPr>
          <w:rFonts w:ascii="Arial" w:hAnsi="Arial" w:cs="Arial"/>
          <w:color w:val="000000"/>
          <w:sz w:val="20"/>
          <w:szCs w:val="20"/>
        </w:rPr>
        <w:t xml:space="preserve"> w związku z działaniami Rosji destabilizującymi sytuację na Ukrainie oraz w drodze rozporządzenia Rady (UE) 2022/398 z dnia 9 marca 2022 r. zmieniającego rozporządzenie (WE) nr 765/2006 dotyczące środków ograniczających w związku z sytuacją na Białorusi i udziałem Białorusi w agresji Rosji wobec Ukrainy, począwszy od dnia 13 kwietnia 2022 r. zakazane jest </w:t>
      </w:r>
      <w:r w:rsidR="009159B9" w:rsidRPr="001723B0">
        <w:rPr>
          <w:rFonts w:ascii="Arial" w:hAnsi="Arial" w:cs="Arial"/>
          <w:color w:val="000000"/>
          <w:sz w:val="20"/>
          <w:szCs w:val="20"/>
        </w:rPr>
        <w:t xml:space="preserve">oferowanie </w:t>
      </w:r>
      <w:r w:rsidRPr="001723B0">
        <w:rPr>
          <w:rFonts w:ascii="Arial" w:hAnsi="Arial" w:cs="Arial"/>
          <w:color w:val="000000"/>
          <w:sz w:val="20"/>
          <w:szCs w:val="20"/>
        </w:rPr>
        <w:t>przez Spółkę akcji:</w:t>
      </w:r>
    </w:p>
    <w:p w14:paraId="696EAD12" w14:textId="77777777" w:rsidR="003D678F" w:rsidRPr="001723B0" w:rsidRDefault="00D9698C" w:rsidP="003D678F">
      <w:pPr>
        <w:pStyle w:val="ListParagraph"/>
        <w:numPr>
          <w:ilvl w:val="0"/>
          <w:numId w:val="20"/>
        </w:numPr>
        <w:jc w:val="both"/>
        <w:rPr>
          <w:rFonts w:ascii="Arial" w:hAnsi="Arial" w:cs="Arial"/>
        </w:rPr>
      </w:pPr>
      <w:r w:rsidRPr="001723B0">
        <w:rPr>
          <w:rFonts w:ascii="Arial" w:hAnsi="Arial" w:cs="Arial"/>
        </w:rPr>
        <w:t>jakimkolwiek obywatelom rosyjskim lub osobom fizycznym zamieszkałym w Rosji, lub jakimkolwiek osobom prawnym, podmiotom lub organom z siedzibą w Rosji, oraz</w:t>
      </w:r>
    </w:p>
    <w:p w14:paraId="55F27436" w14:textId="77777777" w:rsidR="00D9698C" w:rsidRPr="001723B0" w:rsidRDefault="00D9698C" w:rsidP="003D678F">
      <w:pPr>
        <w:pStyle w:val="ListParagraph"/>
        <w:numPr>
          <w:ilvl w:val="0"/>
          <w:numId w:val="20"/>
        </w:numPr>
        <w:spacing w:before="240"/>
        <w:jc w:val="both"/>
        <w:rPr>
          <w:rFonts w:ascii="Arial" w:hAnsi="Arial" w:cs="Arial"/>
        </w:rPr>
      </w:pPr>
      <w:r w:rsidRPr="001723B0">
        <w:rPr>
          <w:rFonts w:ascii="Arial" w:hAnsi="Arial" w:cs="Arial"/>
        </w:rPr>
        <w:t>jakimkolwiek obywatelom białoruskim lub osobom fizycznym zamieszkałym na Białorusi, lub dowolnym osobom prawnym, podmiotom lub organom z siedzibą na Białorusi,</w:t>
      </w:r>
    </w:p>
    <w:p w14:paraId="5161324E" w14:textId="77777777" w:rsidR="00D9698C" w:rsidRPr="001723B0" w:rsidRDefault="00D9698C" w:rsidP="003D678F">
      <w:pPr>
        <w:autoSpaceDE w:val="0"/>
        <w:autoSpaceDN w:val="0"/>
        <w:adjustRightInd w:val="0"/>
        <w:spacing w:before="240" w:after="120" w:line="240" w:lineRule="auto"/>
        <w:jc w:val="both"/>
        <w:rPr>
          <w:rFonts w:ascii="Arial" w:hAnsi="Arial" w:cs="Arial"/>
          <w:color w:val="000000"/>
          <w:sz w:val="20"/>
          <w:szCs w:val="20"/>
        </w:rPr>
      </w:pPr>
      <w:r w:rsidRPr="001723B0">
        <w:rPr>
          <w:rFonts w:ascii="Arial" w:hAnsi="Arial" w:cs="Arial"/>
          <w:color w:val="000000"/>
          <w:sz w:val="20"/>
          <w:szCs w:val="20"/>
        </w:rPr>
        <w:t>przy czym, ograniczeń tych nie stosuje się do obywateli państwa członkowskiego i osób fizycznych posiadających zezwolenie na pobyt czasowy lub stały w państwie członkowskim.</w:t>
      </w:r>
    </w:p>
    <w:p w14:paraId="18D3A963" w14:textId="77777777" w:rsidR="009159B9" w:rsidRPr="001723B0" w:rsidRDefault="009159B9" w:rsidP="009159B9">
      <w:pPr>
        <w:spacing w:after="120" w:line="240" w:lineRule="auto"/>
        <w:jc w:val="both"/>
        <w:rPr>
          <w:rFonts w:ascii="Arial" w:hAnsi="Arial" w:cs="Arial"/>
          <w:b/>
          <w:bCs/>
          <w:sz w:val="20"/>
          <w:szCs w:val="20"/>
          <w:u w:val="single"/>
        </w:rPr>
      </w:pPr>
      <w:r w:rsidRPr="001723B0">
        <w:rPr>
          <w:rFonts w:ascii="Arial" w:hAnsi="Arial" w:cs="Arial"/>
          <w:b/>
          <w:bCs/>
          <w:sz w:val="20"/>
          <w:szCs w:val="20"/>
          <w:u w:val="single"/>
        </w:rPr>
        <w:t>Podstawa prawna emisji i Oferty</w:t>
      </w:r>
    </w:p>
    <w:p w14:paraId="0B1606A5" w14:textId="1E13432F" w:rsidR="00D749A1" w:rsidRPr="001723B0" w:rsidRDefault="00D749A1" w:rsidP="00074294">
      <w:pPr>
        <w:jc w:val="both"/>
        <w:rPr>
          <w:rFonts w:ascii="Arial" w:hAnsi="Arial" w:cs="Arial"/>
          <w:color w:val="000000"/>
          <w:sz w:val="20"/>
          <w:szCs w:val="20"/>
        </w:rPr>
      </w:pPr>
      <w:r w:rsidRPr="001723B0">
        <w:rPr>
          <w:rFonts w:ascii="Arial" w:hAnsi="Arial" w:cs="Arial"/>
          <w:color w:val="000000"/>
          <w:sz w:val="20"/>
          <w:szCs w:val="20"/>
        </w:rPr>
        <w:t>Zgodnie z § 5</w:t>
      </w:r>
      <w:r w:rsidRPr="001723B0">
        <w:rPr>
          <w:rFonts w:ascii="Arial" w:hAnsi="Arial" w:cs="Arial"/>
          <w:color w:val="000000"/>
          <w:sz w:val="20"/>
          <w:szCs w:val="20"/>
          <w:vertAlign w:val="superscript"/>
        </w:rPr>
        <w:t>1</w:t>
      </w:r>
      <w:r w:rsidRPr="001723B0">
        <w:rPr>
          <w:rFonts w:ascii="Arial" w:hAnsi="Arial" w:cs="Arial"/>
          <w:color w:val="000000"/>
          <w:sz w:val="20"/>
          <w:szCs w:val="20"/>
        </w:rPr>
        <w:t xml:space="preserve"> ust. </w:t>
      </w:r>
      <w:r w:rsidR="00A853CC" w:rsidRPr="001723B0">
        <w:rPr>
          <w:rFonts w:ascii="Arial" w:hAnsi="Arial" w:cs="Arial"/>
          <w:color w:val="000000"/>
          <w:sz w:val="20"/>
          <w:szCs w:val="20"/>
        </w:rPr>
        <w:t>1</w:t>
      </w:r>
      <w:r w:rsidRPr="001723B0">
        <w:rPr>
          <w:rFonts w:ascii="Arial" w:hAnsi="Arial" w:cs="Arial"/>
          <w:color w:val="000000"/>
          <w:sz w:val="20"/>
          <w:szCs w:val="20"/>
        </w:rPr>
        <w:t xml:space="preserve"> Statutu Spółki</w:t>
      </w:r>
      <w:r w:rsidR="00A853CC" w:rsidRPr="001723B0">
        <w:rPr>
          <w:rFonts w:ascii="Arial" w:hAnsi="Arial" w:cs="Arial"/>
          <w:color w:val="000000"/>
          <w:sz w:val="20"/>
          <w:szCs w:val="20"/>
        </w:rPr>
        <w:t xml:space="preserve"> Zarząd Spółki jest upoważniony do podwyższenia kapitału zakładowego Spółki o łączną kwotę nie wyższą niż 215.641,62 zł (dwieście piętnaście tysięcy sześćset czterdzieści jeden złotych i sześćdziesiąt dwa grosze), w drodze jednego albo kilku kolejnych podwyższeń kapitału zakładowego w granicach określonych powyżej (kapitał docelowy), poprzez emisję akcji zwykłych na okaziciela o wartości nominalnej 0,02 zł (dwa grosze) każda, w liczbie nie większej niż 10.782.081 (dziesięć milionów siedemset osiemdziesiąt dwa tysiące osiemdziesiąt jeden) sztuk. W dniu </w:t>
      </w:r>
      <w:r w:rsidR="00DF7C1D">
        <w:rPr>
          <w:rFonts w:ascii="Arial" w:hAnsi="Arial" w:cs="Arial"/>
          <w:color w:val="000000"/>
          <w:sz w:val="20"/>
          <w:szCs w:val="20"/>
        </w:rPr>
        <w:t>24</w:t>
      </w:r>
      <w:r w:rsidR="00C619E9">
        <w:rPr>
          <w:rFonts w:ascii="Arial" w:hAnsi="Arial" w:cs="Arial"/>
          <w:color w:val="000000"/>
          <w:sz w:val="20"/>
          <w:szCs w:val="20"/>
        </w:rPr>
        <w:t xml:space="preserve"> kwietnia</w:t>
      </w:r>
      <w:r w:rsidR="00A853CC" w:rsidRPr="001723B0">
        <w:rPr>
          <w:rFonts w:ascii="Arial" w:hAnsi="Arial" w:cs="Arial"/>
          <w:color w:val="000000"/>
          <w:sz w:val="20"/>
          <w:szCs w:val="20"/>
        </w:rPr>
        <w:t xml:space="preserve"> 202</w:t>
      </w:r>
      <w:r w:rsidR="00B22BA6">
        <w:rPr>
          <w:rFonts w:ascii="Arial" w:hAnsi="Arial" w:cs="Arial"/>
          <w:color w:val="000000"/>
          <w:sz w:val="20"/>
          <w:szCs w:val="20"/>
        </w:rPr>
        <w:t>6</w:t>
      </w:r>
      <w:r w:rsidR="00A853CC" w:rsidRPr="001723B0">
        <w:rPr>
          <w:rFonts w:ascii="Arial" w:hAnsi="Arial" w:cs="Arial"/>
          <w:color w:val="000000"/>
          <w:sz w:val="20"/>
          <w:szCs w:val="20"/>
        </w:rPr>
        <w:t xml:space="preserve"> r. Zarząd podjął uchwałę w sprawie (i) ustalenia zasad oferowania, zasad przeprowadzenia procesu budowania księgi popytu, subskrypcji oraz objęcia akcji serii </w:t>
      </w:r>
      <w:r w:rsidR="00B22BA6">
        <w:rPr>
          <w:rFonts w:ascii="Arial" w:hAnsi="Arial" w:cs="Arial"/>
          <w:color w:val="000000"/>
          <w:sz w:val="20"/>
          <w:szCs w:val="20"/>
        </w:rPr>
        <w:t>I</w:t>
      </w:r>
      <w:r w:rsidR="00A853CC" w:rsidRPr="001723B0">
        <w:rPr>
          <w:rFonts w:ascii="Arial" w:hAnsi="Arial" w:cs="Arial"/>
          <w:color w:val="000000"/>
          <w:sz w:val="20"/>
          <w:szCs w:val="20"/>
        </w:rPr>
        <w:t xml:space="preserve">, (ii) przyjęcia wzoru umowy objęcia akcji serii </w:t>
      </w:r>
      <w:r w:rsidR="00B22BA6">
        <w:rPr>
          <w:rFonts w:ascii="Arial" w:hAnsi="Arial" w:cs="Arial"/>
          <w:color w:val="000000"/>
          <w:sz w:val="20"/>
          <w:szCs w:val="20"/>
        </w:rPr>
        <w:t>I</w:t>
      </w:r>
      <w:r w:rsidR="00A853CC" w:rsidRPr="001723B0">
        <w:rPr>
          <w:rFonts w:ascii="Arial" w:hAnsi="Arial" w:cs="Arial"/>
          <w:color w:val="000000"/>
          <w:sz w:val="20"/>
          <w:szCs w:val="20"/>
        </w:rPr>
        <w:t xml:space="preserve"> (umowy subskrypcyjnej akcji serii </w:t>
      </w:r>
      <w:r w:rsidR="00FE378D">
        <w:rPr>
          <w:rFonts w:ascii="Arial" w:hAnsi="Arial" w:cs="Arial"/>
          <w:color w:val="000000"/>
          <w:sz w:val="20"/>
          <w:szCs w:val="20"/>
        </w:rPr>
        <w:t>I</w:t>
      </w:r>
      <w:r w:rsidR="00A853CC" w:rsidRPr="001723B0">
        <w:rPr>
          <w:rFonts w:ascii="Arial" w:hAnsi="Arial" w:cs="Arial"/>
          <w:color w:val="000000"/>
          <w:sz w:val="20"/>
          <w:szCs w:val="20"/>
        </w:rPr>
        <w:t xml:space="preserve">), (iii) wyrażenia zgody na zawarcie przez PCF Group S.A. umowy z Trigon Dom Maklerski S.A. oraz Trigon Investment Banking spółka z ograniczoną odpowiedzialnością &amp; Wspólnicy spółka komandytowa na potrzeby oferty i subskrypcji akcji serii </w:t>
      </w:r>
      <w:r w:rsidR="00B22BA6">
        <w:rPr>
          <w:rFonts w:ascii="Arial" w:hAnsi="Arial" w:cs="Arial"/>
          <w:color w:val="000000"/>
          <w:sz w:val="20"/>
          <w:szCs w:val="20"/>
        </w:rPr>
        <w:t>I</w:t>
      </w:r>
      <w:r w:rsidR="00A853CC" w:rsidRPr="001723B0">
        <w:rPr>
          <w:rFonts w:ascii="Arial" w:hAnsi="Arial" w:cs="Arial"/>
          <w:color w:val="000000"/>
          <w:sz w:val="20"/>
          <w:szCs w:val="20"/>
        </w:rPr>
        <w:t>, (iv) określenia Dnia Preferencji</w:t>
      </w:r>
      <w:r w:rsidR="00E95269">
        <w:rPr>
          <w:rFonts w:ascii="Arial" w:hAnsi="Arial" w:cs="Arial"/>
          <w:color w:val="000000"/>
          <w:sz w:val="20"/>
          <w:szCs w:val="20"/>
        </w:rPr>
        <w:t>, oraz (v) określenia minimalnej ceny emisyjnej akcji serii I</w:t>
      </w:r>
      <w:r w:rsidR="00A853CC" w:rsidRPr="001723B0">
        <w:rPr>
          <w:rFonts w:ascii="Arial" w:hAnsi="Arial" w:cs="Arial"/>
          <w:color w:val="000000"/>
          <w:sz w:val="20"/>
          <w:szCs w:val="20"/>
        </w:rPr>
        <w:t xml:space="preserve">, w której przyjął niniejsze </w:t>
      </w:r>
      <w:r w:rsidR="001723B0" w:rsidRPr="001723B0">
        <w:rPr>
          <w:rFonts w:ascii="Arial" w:hAnsi="Arial" w:cs="Arial"/>
          <w:color w:val="000000"/>
          <w:sz w:val="20"/>
          <w:szCs w:val="20"/>
        </w:rPr>
        <w:t>Zasady Budowy Księgi Popytu i</w:t>
      </w:r>
      <w:r w:rsidR="00840983">
        <w:rPr>
          <w:rFonts w:ascii="Arial" w:hAnsi="Arial" w:cs="Arial"/>
          <w:color w:val="000000"/>
          <w:sz w:val="20"/>
          <w:szCs w:val="20"/>
        </w:rPr>
        <w:t xml:space="preserve"> </w:t>
      </w:r>
      <w:r w:rsidR="00840983" w:rsidRPr="00840983">
        <w:rPr>
          <w:rFonts w:ascii="Arial" w:hAnsi="Arial" w:cs="Arial"/>
          <w:color w:val="000000"/>
          <w:sz w:val="20"/>
          <w:szCs w:val="20"/>
        </w:rPr>
        <w:t>Subskrypcji</w:t>
      </w:r>
      <w:r w:rsidR="00E95269">
        <w:rPr>
          <w:rFonts w:ascii="Arial" w:hAnsi="Arial" w:cs="Arial"/>
          <w:color w:val="000000"/>
          <w:sz w:val="20"/>
          <w:szCs w:val="20"/>
        </w:rPr>
        <w:t xml:space="preserve"> („</w:t>
      </w:r>
      <w:r w:rsidR="00E95269" w:rsidRPr="00047254">
        <w:rPr>
          <w:rFonts w:ascii="Arial" w:hAnsi="Arial" w:cs="Arial"/>
          <w:b/>
          <w:bCs/>
          <w:color w:val="000000"/>
          <w:sz w:val="20"/>
          <w:szCs w:val="20"/>
        </w:rPr>
        <w:t>Uchwała Zarządu</w:t>
      </w:r>
      <w:r w:rsidR="00E95269">
        <w:rPr>
          <w:rFonts w:ascii="Arial" w:hAnsi="Arial" w:cs="Arial"/>
          <w:color w:val="000000"/>
          <w:sz w:val="20"/>
          <w:szCs w:val="20"/>
        </w:rPr>
        <w:t>”)</w:t>
      </w:r>
      <w:r w:rsidR="00A853CC" w:rsidRPr="001723B0">
        <w:rPr>
          <w:rFonts w:ascii="Arial" w:hAnsi="Arial" w:cs="Arial"/>
          <w:color w:val="000000"/>
          <w:sz w:val="20"/>
          <w:szCs w:val="20"/>
        </w:rPr>
        <w:t>.</w:t>
      </w:r>
    </w:p>
    <w:p w14:paraId="6709ACF3" w14:textId="77777777" w:rsidR="001870FA" w:rsidRPr="001723B0" w:rsidRDefault="001870FA" w:rsidP="00074294">
      <w:pPr>
        <w:jc w:val="both"/>
        <w:rPr>
          <w:rFonts w:ascii="Arial" w:hAnsi="Arial" w:cs="Arial"/>
          <w:color w:val="000000"/>
          <w:sz w:val="20"/>
          <w:szCs w:val="20"/>
        </w:rPr>
      </w:pPr>
      <w:r w:rsidRPr="001723B0">
        <w:rPr>
          <w:rFonts w:ascii="Arial" w:hAnsi="Arial" w:cs="Arial"/>
          <w:color w:val="000000"/>
          <w:sz w:val="20"/>
          <w:szCs w:val="20"/>
        </w:rPr>
        <w:t>Po zakończeniu procesu budowania księgi popytu na Akcje Oferowane O</w:t>
      </w:r>
      <w:r w:rsidR="009159B9" w:rsidRPr="001723B0">
        <w:rPr>
          <w:rFonts w:ascii="Arial" w:hAnsi="Arial" w:cs="Arial"/>
          <w:color w:val="000000"/>
          <w:sz w:val="20"/>
          <w:szCs w:val="20"/>
        </w:rPr>
        <w:t>ferta</w:t>
      </w:r>
      <w:r w:rsidR="00905389" w:rsidRPr="001723B0">
        <w:rPr>
          <w:rFonts w:ascii="Arial" w:hAnsi="Arial" w:cs="Arial"/>
          <w:color w:val="000000"/>
          <w:sz w:val="20"/>
          <w:szCs w:val="20"/>
        </w:rPr>
        <w:t xml:space="preserve"> </w:t>
      </w:r>
      <w:r w:rsidRPr="001723B0">
        <w:rPr>
          <w:rFonts w:ascii="Arial" w:hAnsi="Arial" w:cs="Arial"/>
          <w:color w:val="000000"/>
          <w:sz w:val="20"/>
          <w:szCs w:val="20"/>
        </w:rPr>
        <w:t xml:space="preserve">będzie </w:t>
      </w:r>
      <w:r w:rsidR="009159B9" w:rsidRPr="001723B0">
        <w:rPr>
          <w:rFonts w:ascii="Arial" w:hAnsi="Arial" w:cs="Arial"/>
          <w:color w:val="000000"/>
          <w:sz w:val="20"/>
          <w:szCs w:val="20"/>
        </w:rPr>
        <w:t>przeprowadz</w:t>
      </w:r>
      <w:r w:rsidRPr="001723B0">
        <w:rPr>
          <w:rFonts w:ascii="Arial" w:hAnsi="Arial" w:cs="Arial"/>
          <w:color w:val="000000"/>
          <w:sz w:val="20"/>
          <w:szCs w:val="20"/>
        </w:rPr>
        <w:t>ona</w:t>
      </w:r>
      <w:r w:rsidR="009159B9" w:rsidRPr="001723B0">
        <w:rPr>
          <w:rFonts w:ascii="Arial" w:hAnsi="Arial" w:cs="Arial"/>
          <w:color w:val="000000"/>
          <w:sz w:val="20"/>
          <w:szCs w:val="20"/>
        </w:rPr>
        <w:t xml:space="preserve"> </w:t>
      </w:r>
      <w:r w:rsidR="00905389" w:rsidRPr="001723B0">
        <w:rPr>
          <w:rFonts w:ascii="Arial" w:hAnsi="Arial" w:cs="Arial"/>
          <w:color w:val="000000"/>
          <w:sz w:val="20"/>
          <w:szCs w:val="20"/>
        </w:rPr>
        <w:t xml:space="preserve">na podstawie </w:t>
      </w:r>
      <w:r w:rsidRPr="001723B0">
        <w:rPr>
          <w:rFonts w:ascii="Arial" w:hAnsi="Arial" w:cs="Arial"/>
          <w:color w:val="000000"/>
          <w:sz w:val="20"/>
          <w:szCs w:val="20"/>
        </w:rPr>
        <w:t>u</w:t>
      </w:r>
      <w:r w:rsidR="009159B9" w:rsidRPr="001723B0">
        <w:rPr>
          <w:rFonts w:ascii="Arial" w:hAnsi="Arial" w:cs="Arial"/>
          <w:color w:val="000000"/>
          <w:sz w:val="20"/>
          <w:szCs w:val="20"/>
        </w:rPr>
        <w:t xml:space="preserve">chwały </w:t>
      </w:r>
      <w:r w:rsidRPr="001723B0">
        <w:rPr>
          <w:rFonts w:ascii="Arial" w:hAnsi="Arial" w:cs="Arial"/>
          <w:color w:val="000000"/>
          <w:sz w:val="20"/>
          <w:szCs w:val="20"/>
        </w:rPr>
        <w:t xml:space="preserve">Zarządu </w:t>
      </w:r>
      <w:r w:rsidR="00DE7D36" w:rsidRPr="004C2785">
        <w:rPr>
          <w:rFonts w:ascii="Arial" w:hAnsi="Arial" w:cs="Arial"/>
          <w:i/>
          <w:iCs/>
          <w:color w:val="000000"/>
          <w:sz w:val="20"/>
          <w:szCs w:val="20"/>
        </w:rPr>
        <w:t xml:space="preserve">w sprawie podwyższenia kapitału zakładowego Spółki </w:t>
      </w:r>
      <w:r w:rsidRPr="004C2785">
        <w:rPr>
          <w:rFonts w:ascii="Arial" w:hAnsi="Arial" w:cs="Arial"/>
          <w:i/>
          <w:iCs/>
          <w:color w:val="000000"/>
          <w:sz w:val="20"/>
          <w:szCs w:val="20"/>
        </w:rPr>
        <w:t xml:space="preserve">w granicach kapitału docelowego </w:t>
      </w:r>
      <w:r w:rsidR="00DE7D36" w:rsidRPr="004C2785">
        <w:rPr>
          <w:rFonts w:ascii="Arial" w:hAnsi="Arial" w:cs="Arial"/>
          <w:i/>
          <w:iCs/>
          <w:color w:val="000000"/>
          <w:sz w:val="20"/>
          <w:szCs w:val="20"/>
        </w:rPr>
        <w:t xml:space="preserve">w drodze emisji akcji zwykłych </w:t>
      </w:r>
      <w:r w:rsidRPr="004C2785">
        <w:rPr>
          <w:rFonts w:ascii="Arial" w:hAnsi="Arial" w:cs="Arial"/>
          <w:i/>
          <w:iCs/>
          <w:color w:val="000000"/>
          <w:sz w:val="20"/>
          <w:szCs w:val="20"/>
        </w:rPr>
        <w:t xml:space="preserve">serii </w:t>
      </w:r>
      <w:r w:rsidR="00B22BA6" w:rsidRPr="004C2785">
        <w:rPr>
          <w:rFonts w:ascii="Arial" w:hAnsi="Arial" w:cs="Arial"/>
          <w:i/>
          <w:iCs/>
          <w:color w:val="000000"/>
          <w:sz w:val="20"/>
          <w:szCs w:val="20"/>
        </w:rPr>
        <w:t>I</w:t>
      </w:r>
      <w:r w:rsidR="00DE7D36" w:rsidRPr="004C2785">
        <w:rPr>
          <w:rFonts w:ascii="Arial" w:hAnsi="Arial" w:cs="Arial"/>
          <w:i/>
          <w:iCs/>
          <w:color w:val="000000"/>
          <w:sz w:val="20"/>
          <w:szCs w:val="20"/>
        </w:rPr>
        <w:t xml:space="preserve">, pozbawienia dotychczasowych akcjonariuszy </w:t>
      </w:r>
      <w:r w:rsidR="00DE7D36" w:rsidRPr="004C2785">
        <w:rPr>
          <w:rFonts w:ascii="Arial" w:hAnsi="Arial" w:cs="Arial"/>
          <w:i/>
          <w:iCs/>
          <w:color w:val="000000"/>
          <w:sz w:val="20"/>
          <w:szCs w:val="20"/>
        </w:rPr>
        <w:lastRenderedPageBreak/>
        <w:t xml:space="preserve">w całości prawa poboru wszystkich akcji </w:t>
      </w:r>
      <w:r w:rsidRPr="004C2785">
        <w:rPr>
          <w:rFonts w:ascii="Arial" w:hAnsi="Arial" w:cs="Arial"/>
          <w:i/>
          <w:iCs/>
          <w:color w:val="000000"/>
          <w:sz w:val="20"/>
          <w:szCs w:val="20"/>
        </w:rPr>
        <w:t xml:space="preserve">serii </w:t>
      </w:r>
      <w:r w:rsidR="00B22BA6" w:rsidRPr="004C2785">
        <w:rPr>
          <w:rFonts w:ascii="Arial" w:hAnsi="Arial" w:cs="Arial"/>
          <w:i/>
          <w:iCs/>
          <w:color w:val="000000"/>
          <w:sz w:val="20"/>
          <w:szCs w:val="20"/>
        </w:rPr>
        <w:t>I</w:t>
      </w:r>
      <w:r w:rsidR="00DE7D36" w:rsidRPr="004C2785">
        <w:rPr>
          <w:rFonts w:ascii="Arial" w:hAnsi="Arial" w:cs="Arial"/>
          <w:i/>
          <w:iCs/>
          <w:color w:val="000000"/>
          <w:sz w:val="20"/>
          <w:szCs w:val="20"/>
        </w:rPr>
        <w:t xml:space="preserve">, ubiegania się o dopuszczenie i wprowadzenie akcji </w:t>
      </w:r>
      <w:r w:rsidRPr="004C2785">
        <w:rPr>
          <w:rFonts w:ascii="Arial" w:hAnsi="Arial" w:cs="Arial"/>
          <w:i/>
          <w:iCs/>
          <w:color w:val="000000"/>
          <w:sz w:val="20"/>
          <w:szCs w:val="20"/>
        </w:rPr>
        <w:t xml:space="preserve">serii </w:t>
      </w:r>
      <w:r w:rsidR="00B22BA6" w:rsidRPr="004C2785">
        <w:rPr>
          <w:rFonts w:ascii="Arial" w:hAnsi="Arial" w:cs="Arial"/>
          <w:i/>
          <w:iCs/>
          <w:color w:val="000000"/>
          <w:sz w:val="20"/>
          <w:szCs w:val="20"/>
        </w:rPr>
        <w:t>I</w:t>
      </w:r>
      <w:r w:rsidR="00DE7D36" w:rsidRPr="004C2785">
        <w:rPr>
          <w:rFonts w:ascii="Arial" w:hAnsi="Arial" w:cs="Arial"/>
          <w:i/>
          <w:iCs/>
          <w:color w:val="000000"/>
          <w:sz w:val="20"/>
          <w:szCs w:val="20"/>
        </w:rPr>
        <w:t xml:space="preserve"> i praw do akcji </w:t>
      </w:r>
      <w:r w:rsidRPr="004C2785">
        <w:rPr>
          <w:rFonts w:ascii="Arial" w:hAnsi="Arial" w:cs="Arial"/>
          <w:i/>
          <w:iCs/>
          <w:color w:val="000000"/>
          <w:sz w:val="20"/>
          <w:szCs w:val="20"/>
        </w:rPr>
        <w:t xml:space="preserve">serii </w:t>
      </w:r>
      <w:r w:rsidR="00B22BA6" w:rsidRPr="004C2785">
        <w:rPr>
          <w:rFonts w:ascii="Arial" w:hAnsi="Arial" w:cs="Arial"/>
          <w:i/>
          <w:iCs/>
          <w:color w:val="000000"/>
          <w:sz w:val="20"/>
          <w:szCs w:val="20"/>
        </w:rPr>
        <w:t>I</w:t>
      </w:r>
      <w:r w:rsidR="00DE7D36" w:rsidRPr="004C2785">
        <w:rPr>
          <w:rFonts w:ascii="Arial" w:hAnsi="Arial" w:cs="Arial"/>
          <w:i/>
          <w:iCs/>
          <w:color w:val="000000"/>
          <w:sz w:val="20"/>
          <w:szCs w:val="20"/>
        </w:rPr>
        <w:t xml:space="preserve"> do obrotu na rynku regulowanym prowadzonym przez Giełdę Papierów Wartościowych w Warszawie S.A., dematerializacji akcji </w:t>
      </w:r>
      <w:r w:rsidRPr="004C2785">
        <w:rPr>
          <w:rFonts w:ascii="Arial" w:hAnsi="Arial" w:cs="Arial"/>
          <w:i/>
          <w:iCs/>
          <w:color w:val="000000"/>
          <w:sz w:val="20"/>
          <w:szCs w:val="20"/>
        </w:rPr>
        <w:t xml:space="preserve">serii </w:t>
      </w:r>
      <w:r w:rsidR="003461EE" w:rsidRPr="004C2785">
        <w:rPr>
          <w:rFonts w:ascii="Arial" w:hAnsi="Arial" w:cs="Arial"/>
          <w:i/>
          <w:iCs/>
          <w:color w:val="000000"/>
          <w:sz w:val="20"/>
          <w:szCs w:val="20"/>
        </w:rPr>
        <w:t>I</w:t>
      </w:r>
      <w:r w:rsidR="00DE7D36" w:rsidRPr="004C2785">
        <w:rPr>
          <w:rFonts w:ascii="Arial" w:hAnsi="Arial" w:cs="Arial"/>
          <w:i/>
          <w:iCs/>
          <w:color w:val="000000"/>
          <w:sz w:val="20"/>
          <w:szCs w:val="20"/>
        </w:rPr>
        <w:t xml:space="preserve"> i praw do akcji </w:t>
      </w:r>
      <w:r w:rsidRPr="004C2785">
        <w:rPr>
          <w:rFonts w:ascii="Arial" w:hAnsi="Arial" w:cs="Arial"/>
          <w:i/>
          <w:iCs/>
          <w:color w:val="000000"/>
          <w:sz w:val="20"/>
          <w:szCs w:val="20"/>
        </w:rPr>
        <w:t xml:space="preserve">serii </w:t>
      </w:r>
      <w:r w:rsidR="003461EE" w:rsidRPr="004C2785">
        <w:rPr>
          <w:rFonts w:ascii="Arial" w:hAnsi="Arial" w:cs="Arial"/>
          <w:i/>
          <w:iCs/>
          <w:color w:val="000000"/>
          <w:sz w:val="20"/>
          <w:szCs w:val="20"/>
        </w:rPr>
        <w:t>I</w:t>
      </w:r>
      <w:r w:rsidR="00DE7D36" w:rsidRPr="004C2785">
        <w:rPr>
          <w:rFonts w:ascii="Arial" w:hAnsi="Arial" w:cs="Arial"/>
          <w:i/>
          <w:iCs/>
          <w:color w:val="000000"/>
          <w:sz w:val="20"/>
          <w:szCs w:val="20"/>
        </w:rPr>
        <w:t xml:space="preserve">, upoważnienia do zawarcia umowy o rejestrację akcji </w:t>
      </w:r>
      <w:r w:rsidRPr="004C2785">
        <w:rPr>
          <w:rFonts w:ascii="Arial" w:hAnsi="Arial" w:cs="Arial"/>
          <w:i/>
          <w:iCs/>
          <w:color w:val="000000"/>
          <w:sz w:val="20"/>
          <w:szCs w:val="20"/>
        </w:rPr>
        <w:t xml:space="preserve">serii </w:t>
      </w:r>
      <w:r w:rsidR="003461EE" w:rsidRPr="004C2785">
        <w:rPr>
          <w:rFonts w:ascii="Arial" w:hAnsi="Arial" w:cs="Arial"/>
          <w:i/>
          <w:iCs/>
          <w:color w:val="000000"/>
          <w:sz w:val="20"/>
          <w:szCs w:val="20"/>
        </w:rPr>
        <w:t>I</w:t>
      </w:r>
      <w:r w:rsidR="00DE7D36" w:rsidRPr="004C2785">
        <w:rPr>
          <w:rFonts w:ascii="Arial" w:hAnsi="Arial" w:cs="Arial"/>
          <w:i/>
          <w:iCs/>
          <w:color w:val="000000"/>
          <w:sz w:val="20"/>
          <w:szCs w:val="20"/>
        </w:rPr>
        <w:t xml:space="preserve"> i praw do akcji </w:t>
      </w:r>
      <w:r w:rsidRPr="004C2785">
        <w:rPr>
          <w:rFonts w:ascii="Arial" w:hAnsi="Arial" w:cs="Arial"/>
          <w:i/>
          <w:iCs/>
          <w:color w:val="000000"/>
          <w:sz w:val="20"/>
          <w:szCs w:val="20"/>
        </w:rPr>
        <w:t xml:space="preserve">serii </w:t>
      </w:r>
      <w:r w:rsidR="003461EE" w:rsidRPr="004C2785">
        <w:rPr>
          <w:rFonts w:ascii="Arial" w:hAnsi="Arial" w:cs="Arial"/>
          <w:i/>
          <w:iCs/>
          <w:color w:val="000000"/>
          <w:sz w:val="20"/>
          <w:szCs w:val="20"/>
        </w:rPr>
        <w:t>I</w:t>
      </w:r>
      <w:r w:rsidR="00DE7D36" w:rsidRPr="004C2785">
        <w:rPr>
          <w:rFonts w:ascii="Arial" w:hAnsi="Arial" w:cs="Arial"/>
          <w:i/>
          <w:iCs/>
          <w:color w:val="000000"/>
          <w:sz w:val="20"/>
          <w:szCs w:val="20"/>
        </w:rPr>
        <w:t xml:space="preserve"> w depozycie papierów wartościowych oraz zmiany Statutu Spółki</w:t>
      </w:r>
      <w:r w:rsidR="009159B9" w:rsidRPr="001723B0">
        <w:rPr>
          <w:rFonts w:ascii="Arial" w:hAnsi="Arial" w:cs="Arial"/>
          <w:i/>
          <w:iCs/>
          <w:color w:val="000000"/>
          <w:sz w:val="20"/>
          <w:szCs w:val="20"/>
        </w:rPr>
        <w:t xml:space="preserve"> </w:t>
      </w:r>
      <w:r w:rsidR="009159B9" w:rsidRPr="001723B0">
        <w:rPr>
          <w:rFonts w:ascii="Arial" w:hAnsi="Arial" w:cs="Arial"/>
          <w:color w:val="000000"/>
          <w:sz w:val="20"/>
          <w:szCs w:val="20"/>
        </w:rPr>
        <w:t>(„</w:t>
      </w:r>
      <w:r w:rsidR="009159B9" w:rsidRPr="001723B0">
        <w:rPr>
          <w:rFonts w:ascii="Arial" w:hAnsi="Arial" w:cs="Arial"/>
          <w:b/>
          <w:color w:val="000000"/>
          <w:sz w:val="20"/>
          <w:szCs w:val="20"/>
        </w:rPr>
        <w:t>Uchwała Emisyjna</w:t>
      </w:r>
      <w:r w:rsidR="009159B9" w:rsidRPr="001723B0">
        <w:rPr>
          <w:rFonts w:ascii="Arial" w:hAnsi="Arial" w:cs="Arial"/>
          <w:color w:val="000000"/>
          <w:sz w:val="20"/>
          <w:szCs w:val="20"/>
        </w:rPr>
        <w:t>”)</w:t>
      </w:r>
      <w:r w:rsidR="00905389" w:rsidRPr="001723B0">
        <w:rPr>
          <w:rFonts w:ascii="Arial" w:hAnsi="Arial" w:cs="Arial"/>
          <w:color w:val="000000"/>
          <w:sz w:val="20"/>
          <w:szCs w:val="20"/>
        </w:rPr>
        <w:t xml:space="preserve">. Uchwała Emisyjna </w:t>
      </w:r>
      <w:r w:rsidRPr="001723B0">
        <w:rPr>
          <w:rFonts w:ascii="Arial" w:hAnsi="Arial" w:cs="Arial"/>
          <w:color w:val="000000"/>
          <w:sz w:val="20"/>
          <w:szCs w:val="20"/>
        </w:rPr>
        <w:t xml:space="preserve">będzie </w:t>
      </w:r>
      <w:r w:rsidR="009159B9" w:rsidRPr="001723B0">
        <w:rPr>
          <w:rFonts w:ascii="Arial" w:hAnsi="Arial" w:cs="Arial"/>
          <w:color w:val="000000"/>
          <w:sz w:val="20"/>
          <w:szCs w:val="20"/>
        </w:rPr>
        <w:t>stanowi</w:t>
      </w:r>
      <w:r w:rsidRPr="001723B0">
        <w:rPr>
          <w:rFonts w:ascii="Arial" w:hAnsi="Arial" w:cs="Arial"/>
          <w:color w:val="000000"/>
          <w:sz w:val="20"/>
          <w:szCs w:val="20"/>
        </w:rPr>
        <w:t>ć</w:t>
      </w:r>
      <w:r w:rsidR="009159B9" w:rsidRPr="001723B0">
        <w:rPr>
          <w:rFonts w:ascii="Arial" w:hAnsi="Arial" w:cs="Arial"/>
          <w:color w:val="000000"/>
          <w:sz w:val="20"/>
          <w:szCs w:val="20"/>
        </w:rPr>
        <w:t xml:space="preserve"> podstawę prawną dla </w:t>
      </w:r>
      <w:r w:rsidR="00905389" w:rsidRPr="001723B0">
        <w:rPr>
          <w:rFonts w:ascii="Arial" w:hAnsi="Arial" w:cs="Arial"/>
          <w:color w:val="000000"/>
          <w:sz w:val="20"/>
          <w:szCs w:val="20"/>
        </w:rPr>
        <w:t xml:space="preserve">przeprowadzenia przez Spółkę </w:t>
      </w:r>
      <w:r w:rsidR="009159B9" w:rsidRPr="001723B0">
        <w:rPr>
          <w:rFonts w:ascii="Arial" w:hAnsi="Arial" w:cs="Arial"/>
          <w:color w:val="000000"/>
          <w:sz w:val="20"/>
          <w:szCs w:val="20"/>
        </w:rPr>
        <w:t>Oferty</w:t>
      </w:r>
      <w:r w:rsidR="00905389" w:rsidRPr="001723B0">
        <w:rPr>
          <w:rFonts w:ascii="Arial" w:hAnsi="Arial" w:cs="Arial"/>
          <w:color w:val="000000"/>
          <w:sz w:val="20"/>
          <w:szCs w:val="20"/>
        </w:rPr>
        <w:t xml:space="preserve"> oraz subskrypcji Akcji Oferowanych</w:t>
      </w:r>
      <w:r w:rsidR="009159B9" w:rsidRPr="001723B0">
        <w:rPr>
          <w:rFonts w:ascii="Arial" w:hAnsi="Arial" w:cs="Arial"/>
          <w:color w:val="000000"/>
          <w:sz w:val="20"/>
          <w:szCs w:val="20"/>
        </w:rPr>
        <w:t>.</w:t>
      </w:r>
    </w:p>
    <w:p w14:paraId="793CCB47" w14:textId="3188DA5D" w:rsidR="009159B9" w:rsidRPr="001723B0" w:rsidRDefault="00905389" w:rsidP="00074294">
      <w:pPr>
        <w:jc w:val="both"/>
        <w:rPr>
          <w:rFonts w:ascii="Arial" w:hAnsi="Arial" w:cs="Arial"/>
          <w:sz w:val="20"/>
          <w:szCs w:val="20"/>
        </w:rPr>
      </w:pPr>
      <w:r w:rsidRPr="001723B0">
        <w:rPr>
          <w:rFonts w:ascii="Arial" w:hAnsi="Arial" w:cs="Arial"/>
          <w:color w:val="000000"/>
          <w:sz w:val="20"/>
          <w:szCs w:val="20"/>
        </w:rPr>
        <w:t xml:space="preserve">W dniu </w:t>
      </w:r>
      <w:r w:rsidR="00383A15">
        <w:rPr>
          <w:rFonts w:ascii="Arial" w:hAnsi="Arial" w:cs="Arial"/>
          <w:color w:val="000000"/>
          <w:sz w:val="20"/>
          <w:szCs w:val="20"/>
        </w:rPr>
        <w:t>24</w:t>
      </w:r>
      <w:r w:rsidR="00C619E9">
        <w:rPr>
          <w:rFonts w:ascii="Arial" w:hAnsi="Arial" w:cs="Arial"/>
          <w:color w:val="000000"/>
          <w:sz w:val="20"/>
          <w:szCs w:val="20"/>
        </w:rPr>
        <w:t xml:space="preserve"> kwietnia</w:t>
      </w:r>
      <w:r w:rsidRPr="001723B0">
        <w:rPr>
          <w:rFonts w:ascii="Arial" w:hAnsi="Arial" w:cs="Arial"/>
          <w:color w:val="000000"/>
          <w:sz w:val="20"/>
          <w:szCs w:val="20"/>
        </w:rPr>
        <w:t xml:space="preserve"> 202</w:t>
      </w:r>
      <w:r w:rsidR="003461EE">
        <w:rPr>
          <w:rFonts w:ascii="Arial" w:hAnsi="Arial" w:cs="Arial"/>
          <w:color w:val="000000"/>
          <w:sz w:val="20"/>
          <w:szCs w:val="20"/>
        </w:rPr>
        <w:t>6</w:t>
      </w:r>
      <w:r w:rsidRPr="001723B0">
        <w:rPr>
          <w:rFonts w:ascii="Arial" w:hAnsi="Arial" w:cs="Arial"/>
          <w:color w:val="000000"/>
          <w:sz w:val="20"/>
          <w:szCs w:val="20"/>
        </w:rPr>
        <w:t xml:space="preserve"> r. </w:t>
      </w:r>
      <w:r w:rsidR="00795CF5" w:rsidRPr="001723B0">
        <w:rPr>
          <w:rFonts w:ascii="Arial" w:hAnsi="Arial" w:cs="Arial"/>
          <w:color w:val="000000"/>
          <w:sz w:val="20"/>
          <w:szCs w:val="20"/>
        </w:rPr>
        <w:t>z</w:t>
      </w:r>
      <w:r w:rsidR="005D1B3C" w:rsidRPr="001723B0">
        <w:rPr>
          <w:rFonts w:ascii="Arial" w:hAnsi="Arial" w:cs="Arial"/>
          <w:color w:val="000000"/>
          <w:sz w:val="20"/>
          <w:szCs w:val="20"/>
        </w:rPr>
        <w:t>arząd Spółki</w:t>
      </w:r>
      <w:r w:rsidR="00795CF5" w:rsidRPr="001723B0">
        <w:rPr>
          <w:rFonts w:ascii="Arial" w:hAnsi="Arial" w:cs="Arial"/>
          <w:color w:val="000000"/>
          <w:sz w:val="20"/>
          <w:szCs w:val="20"/>
        </w:rPr>
        <w:t xml:space="preserve"> („</w:t>
      </w:r>
      <w:r w:rsidR="00795CF5" w:rsidRPr="001723B0">
        <w:rPr>
          <w:rFonts w:ascii="Arial" w:hAnsi="Arial" w:cs="Arial"/>
          <w:b/>
          <w:bCs/>
          <w:color w:val="000000"/>
          <w:sz w:val="20"/>
          <w:szCs w:val="20"/>
        </w:rPr>
        <w:t>Zarząd</w:t>
      </w:r>
      <w:r w:rsidR="00795CF5" w:rsidRPr="001723B0">
        <w:rPr>
          <w:rFonts w:ascii="Arial" w:hAnsi="Arial" w:cs="Arial"/>
          <w:color w:val="000000"/>
          <w:sz w:val="20"/>
          <w:szCs w:val="20"/>
        </w:rPr>
        <w:t>”)</w:t>
      </w:r>
      <w:r w:rsidR="005D1B3C" w:rsidRPr="001723B0">
        <w:rPr>
          <w:rFonts w:ascii="Arial" w:hAnsi="Arial" w:cs="Arial"/>
          <w:color w:val="000000"/>
          <w:sz w:val="20"/>
          <w:szCs w:val="20"/>
        </w:rPr>
        <w:t>, działając na podstawie upoważnienia wynikającego z</w:t>
      </w:r>
      <w:r w:rsidR="00F47447" w:rsidRPr="001723B0">
        <w:rPr>
          <w:rFonts w:ascii="Arial" w:hAnsi="Arial" w:cs="Arial"/>
          <w:color w:val="000000"/>
          <w:sz w:val="20"/>
          <w:szCs w:val="20"/>
        </w:rPr>
        <w:t> </w:t>
      </w:r>
      <w:bookmarkStart w:id="3" w:name="_Hlk204724969"/>
      <w:r w:rsidR="001870FA" w:rsidRPr="001723B0">
        <w:rPr>
          <w:rFonts w:ascii="Arial" w:hAnsi="Arial" w:cs="Arial"/>
          <w:sz w:val="20"/>
          <w:szCs w:val="20"/>
        </w:rPr>
        <w:t>§ 5</w:t>
      </w:r>
      <w:r w:rsidR="001870FA" w:rsidRPr="001723B0">
        <w:rPr>
          <w:rFonts w:ascii="Arial" w:hAnsi="Arial" w:cs="Arial"/>
          <w:sz w:val="20"/>
          <w:szCs w:val="20"/>
          <w:vertAlign w:val="superscript"/>
        </w:rPr>
        <w:t>1</w:t>
      </w:r>
      <w:r w:rsidR="001870FA" w:rsidRPr="001723B0">
        <w:rPr>
          <w:rFonts w:ascii="Arial" w:hAnsi="Arial" w:cs="Arial"/>
          <w:sz w:val="20"/>
          <w:szCs w:val="20"/>
        </w:rPr>
        <w:t xml:space="preserve"> ust. 9 lit. (c) Statutu Spółki</w:t>
      </w:r>
      <w:bookmarkEnd w:id="3"/>
      <w:r w:rsidR="005D1B3C" w:rsidRPr="001723B0">
        <w:rPr>
          <w:rFonts w:ascii="Arial" w:hAnsi="Arial" w:cs="Arial"/>
          <w:color w:val="000000"/>
          <w:sz w:val="20"/>
          <w:szCs w:val="20"/>
        </w:rPr>
        <w:t>, przyjął niniejsze Zasady</w:t>
      </w:r>
      <w:r w:rsidR="001723B0" w:rsidRPr="001723B0">
        <w:rPr>
          <w:rFonts w:ascii="Arial" w:hAnsi="Arial" w:cs="Arial"/>
          <w:color w:val="000000"/>
          <w:sz w:val="20"/>
          <w:szCs w:val="20"/>
        </w:rPr>
        <w:t xml:space="preserve"> Budowy Księgi Popytu i</w:t>
      </w:r>
      <w:r w:rsidR="005D1B3C" w:rsidRPr="001723B0">
        <w:rPr>
          <w:rFonts w:ascii="Arial" w:hAnsi="Arial" w:cs="Arial"/>
          <w:color w:val="000000"/>
          <w:sz w:val="20"/>
          <w:szCs w:val="20"/>
        </w:rPr>
        <w:t xml:space="preserve"> Subskrypcji</w:t>
      </w:r>
      <w:r w:rsidR="005D1B3C" w:rsidRPr="001723B0">
        <w:rPr>
          <w:rFonts w:ascii="Arial" w:hAnsi="Arial" w:cs="Arial"/>
          <w:sz w:val="20"/>
          <w:szCs w:val="20"/>
        </w:rPr>
        <w:t>.</w:t>
      </w:r>
    </w:p>
    <w:p w14:paraId="2C4F5D4D" w14:textId="77777777" w:rsidR="00BC372B" w:rsidRPr="001723B0" w:rsidRDefault="001723B0" w:rsidP="000868D7">
      <w:pPr>
        <w:spacing w:after="120" w:line="240" w:lineRule="auto"/>
        <w:jc w:val="both"/>
        <w:rPr>
          <w:rFonts w:ascii="Arial" w:hAnsi="Arial" w:cs="Arial"/>
          <w:b/>
          <w:bCs/>
          <w:sz w:val="20"/>
          <w:szCs w:val="20"/>
          <w:u w:val="single"/>
        </w:rPr>
      </w:pPr>
      <w:r w:rsidRPr="001723B0">
        <w:rPr>
          <w:rFonts w:ascii="Arial" w:hAnsi="Arial" w:cs="Arial"/>
          <w:b/>
          <w:bCs/>
          <w:sz w:val="20"/>
          <w:szCs w:val="20"/>
          <w:u w:val="single"/>
        </w:rPr>
        <w:t>Zasady prowadzenia procesu budowy księgi popytu oraz o</w:t>
      </w:r>
      <w:r w:rsidR="009E1D43" w:rsidRPr="001723B0">
        <w:rPr>
          <w:rFonts w:ascii="Arial" w:hAnsi="Arial" w:cs="Arial"/>
          <w:b/>
          <w:bCs/>
          <w:sz w:val="20"/>
          <w:szCs w:val="20"/>
          <w:u w:val="single"/>
        </w:rPr>
        <w:t>ferta Akcji Oferowanych</w:t>
      </w:r>
    </w:p>
    <w:p w14:paraId="7BBB2C35" w14:textId="171BC11F" w:rsidR="006D3C03" w:rsidRPr="001723B0" w:rsidRDefault="006D3C03" w:rsidP="00074294">
      <w:pPr>
        <w:jc w:val="both"/>
        <w:rPr>
          <w:rFonts w:ascii="Arial" w:hAnsi="Arial" w:cs="Arial"/>
          <w:color w:val="000000"/>
          <w:sz w:val="20"/>
          <w:szCs w:val="20"/>
        </w:rPr>
      </w:pPr>
      <w:r w:rsidRPr="001723B0">
        <w:rPr>
          <w:rFonts w:ascii="Arial" w:hAnsi="Arial" w:cs="Arial"/>
          <w:color w:val="000000"/>
          <w:sz w:val="20"/>
          <w:szCs w:val="20"/>
        </w:rPr>
        <w:t xml:space="preserve">Zgodnie z </w:t>
      </w:r>
      <w:r w:rsidR="001870FA" w:rsidRPr="001723B0">
        <w:rPr>
          <w:rFonts w:ascii="Arial" w:hAnsi="Arial" w:cs="Arial"/>
          <w:color w:val="000000"/>
          <w:sz w:val="20"/>
          <w:szCs w:val="20"/>
        </w:rPr>
        <w:t xml:space="preserve">upoważnieniem Zarządu do podwyższenia kapitału zakładowego Spółki w granicach kapitału docelowego, o którym mowa w </w:t>
      </w:r>
      <w:r w:rsidR="001870FA" w:rsidRPr="001723B0">
        <w:rPr>
          <w:rFonts w:ascii="Arial" w:hAnsi="Arial" w:cs="Arial"/>
          <w:sz w:val="20"/>
          <w:szCs w:val="20"/>
        </w:rPr>
        <w:t>§ 5</w:t>
      </w:r>
      <w:r w:rsidR="001870FA" w:rsidRPr="001723B0">
        <w:rPr>
          <w:rFonts w:ascii="Arial" w:hAnsi="Arial" w:cs="Arial"/>
          <w:sz w:val="20"/>
          <w:szCs w:val="20"/>
          <w:vertAlign w:val="superscript"/>
        </w:rPr>
        <w:t>1</w:t>
      </w:r>
      <w:r w:rsidR="001870FA" w:rsidRPr="001723B0">
        <w:rPr>
          <w:rFonts w:ascii="Arial" w:hAnsi="Arial" w:cs="Arial"/>
          <w:sz w:val="20"/>
          <w:szCs w:val="20"/>
        </w:rPr>
        <w:t xml:space="preserve"> ust. 7 Statutu Spółki</w:t>
      </w:r>
      <w:r w:rsidRPr="001723B0">
        <w:rPr>
          <w:rFonts w:ascii="Arial" w:hAnsi="Arial" w:cs="Arial"/>
          <w:color w:val="000000"/>
          <w:sz w:val="20"/>
          <w:szCs w:val="20"/>
        </w:rPr>
        <w:t xml:space="preserve">, </w:t>
      </w:r>
      <w:r w:rsidR="001870FA" w:rsidRPr="001723B0">
        <w:rPr>
          <w:rFonts w:ascii="Arial" w:hAnsi="Arial" w:cs="Arial"/>
          <w:color w:val="000000"/>
          <w:sz w:val="20"/>
          <w:szCs w:val="20"/>
        </w:rPr>
        <w:t xml:space="preserve">w interesie Spółki i za zgodą Rady Nadzorczej Spółki </w:t>
      </w:r>
      <w:r w:rsidRPr="001723B0">
        <w:rPr>
          <w:rFonts w:ascii="Arial" w:hAnsi="Arial" w:cs="Arial"/>
          <w:color w:val="000000"/>
          <w:sz w:val="20"/>
          <w:szCs w:val="20"/>
        </w:rPr>
        <w:t xml:space="preserve">przeprowadzenie emisji Akcji Oferowanych </w:t>
      </w:r>
      <w:r w:rsidR="001870FA" w:rsidRPr="001723B0">
        <w:rPr>
          <w:rFonts w:ascii="Arial" w:hAnsi="Arial" w:cs="Arial"/>
          <w:color w:val="000000"/>
          <w:sz w:val="20"/>
          <w:szCs w:val="20"/>
        </w:rPr>
        <w:t xml:space="preserve">może nastąpić </w:t>
      </w:r>
      <w:r w:rsidRPr="001723B0">
        <w:rPr>
          <w:rFonts w:ascii="Arial" w:hAnsi="Arial" w:cs="Arial"/>
          <w:color w:val="000000"/>
          <w:sz w:val="20"/>
          <w:szCs w:val="20"/>
        </w:rPr>
        <w:t>z wyłączeniem prawa poboru dotychczasowych akcjonariuszy Spółki.</w:t>
      </w:r>
      <w:r w:rsidR="00926594" w:rsidRPr="001723B0">
        <w:rPr>
          <w:rFonts w:ascii="Arial" w:hAnsi="Arial" w:cs="Arial"/>
          <w:color w:val="000000"/>
          <w:sz w:val="20"/>
          <w:szCs w:val="20"/>
        </w:rPr>
        <w:t xml:space="preserve"> Decyzja Zarządu w sprawie emisji Akcji Serii </w:t>
      </w:r>
      <w:r w:rsidR="003461EE">
        <w:rPr>
          <w:rFonts w:ascii="Arial" w:hAnsi="Arial" w:cs="Arial"/>
          <w:color w:val="000000"/>
          <w:sz w:val="20"/>
          <w:szCs w:val="20"/>
        </w:rPr>
        <w:t>I</w:t>
      </w:r>
      <w:r w:rsidR="00926594" w:rsidRPr="001723B0">
        <w:rPr>
          <w:rFonts w:ascii="Arial" w:hAnsi="Arial" w:cs="Arial"/>
          <w:color w:val="000000"/>
          <w:sz w:val="20"/>
          <w:szCs w:val="20"/>
        </w:rPr>
        <w:t xml:space="preserve"> oraz o warunkach emisji Akcji Serii </w:t>
      </w:r>
      <w:r w:rsidR="003461EE">
        <w:rPr>
          <w:rFonts w:ascii="Arial" w:hAnsi="Arial" w:cs="Arial"/>
          <w:color w:val="000000"/>
          <w:sz w:val="20"/>
          <w:szCs w:val="20"/>
        </w:rPr>
        <w:t>I</w:t>
      </w:r>
      <w:r w:rsidR="00926594" w:rsidRPr="001723B0">
        <w:rPr>
          <w:rFonts w:ascii="Arial" w:hAnsi="Arial" w:cs="Arial"/>
          <w:color w:val="000000"/>
          <w:sz w:val="20"/>
          <w:szCs w:val="20"/>
        </w:rPr>
        <w:t xml:space="preserve"> zostanie podjęta w oparciu o wyniki procesu budowy księgi popytu na Akcje Serii </w:t>
      </w:r>
      <w:r w:rsidR="003461EE">
        <w:rPr>
          <w:rFonts w:ascii="Arial" w:hAnsi="Arial" w:cs="Arial"/>
          <w:color w:val="000000"/>
          <w:sz w:val="20"/>
          <w:szCs w:val="20"/>
        </w:rPr>
        <w:t>I</w:t>
      </w:r>
      <w:r w:rsidR="00926594" w:rsidRPr="001723B0">
        <w:rPr>
          <w:rFonts w:ascii="Arial" w:hAnsi="Arial" w:cs="Arial"/>
          <w:color w:val="000000"/>
          <w:sz w:val="20"/>
          <w:szCs w:val="20"/>
        </w:rPr>
        <w:t>.</w:t>
      </w:r>
    </w:p>
    <w:p w14:paraId="569BFA45" w14:textId="77777777" w:rsidR="001723B0" w:rsidRPr="001723B0" w:rsidRDefault="006D3C03" w:rsidP="008917D8">
      <w:pPr>
        <w:autoSpaceDE w:val="0"/>
        <w:autoSpaceDN w:val="0"/>
        <w:adjustRightInd w:val="0"/>
        <w:spacing w:after="120" w:line="240" w:lineRule="auto"/>
        <w:jc w:val="both"/>
        <w:rPr>
          <w:rFonts w:ascii="Arial" w:hAnsi="Arial" w:cs="Arial"/>
          <w:color w:val="000000"/>
          <w:sz w:val="20"/>
          <w:szCs w:val="20"/>
        </w:rPr>
      </w:pPr>
      <w:r w:rsidRPr="001723B0">
        <w:rPr>
          <w:rFonts w:ascii="Arial" w:hAnsi="Arial" w:cs="Arial"/>
          <w:color w:val="000000"/>
          <w:sz w:val="20"/>
          <w:szCs w:val="20"/>
        </w:rPr>
        <w:t xml:space="preserve">Oferta </w:t>
      </w:r>
      <w:r w:rsidR="001723B0" w:rsidRPr="001723B0">
        <w:rPr>
          <w:rFonts w:ascii="Arial" w:hAnsi="Arial" w:cs="Arial"/>
          <w:color w:val="000000"/>
          <w:sz w:val="20"/>
          <w:szCs w:val="20"/>
        </w:rPr>
        <w:t xml:space="preserve">może zostać </w:t>
      </w:r>
      <w:r w:rsidRPr="001723B0">
        <w:rPr>
          <w:rFonts w:ascii="Arial" w:hAnsi="Arial" w:cs="Arial"/>
          <w:color w:val="000000"/>
          <w:sz w:val="20"/>
          <w:szCs w:val="20"/>
        </w:rPr>
        <w:t xml:space="preserve">skierowana wyłącznie do inwestorów, </w:t>
      </w:r>
      <w:r w:rsidR="00FF370C" w:rsidRPr="001723B0">
        <w:rPr>
          <w:rFonts w:ascii="Arial" w:hAnsi="Arial" w:cs="Arial"/>
          <w:color w:val="000000"/>
          <w:sz w:val="20"/>
          <w:szCs w:val="20"/>
        </w:rPr>
        <w:t>którzy</w:t>
      </w:r>
      <w:r w:rsidR="00CF4FCA">
        <w:rPr>
          <w:rFonts w:ascii="Arial" w:hAnsi="Arial" w:cs="Arial"/>
          <w:color w:val="000000"/>
          <w:sz w:val="20"/>
          <w:szCs w:val="20"/>
        </w:rPr>
        <w:t xml:space="preserve"> spełniają łącznie poniższe warunki</w:t>
      </w:r>
      <w:r w:rsidR="001723B0" w:rsidRPr="001723B0">
        <w:rPr>
          <w:rFonts w:ascii="Arial" w:hAnsi="Arial" w:cs="Arial"/>
          <w:color w:val="000000"/>
          <w:sz w:val="20"/>
          <w:szCs w:val="20"/>
        </w:rPr>
        <w:t>:</w:t>
      </w:r>
    </w:p>
    <w:p w14:paraId="38DCFD36" w14:textId="77777777" w:rsidR="00CF4FCA" w:rsidRDefault="00165692" w:rsidP="001723B0">
      <w:pPr>
        <w:pStyle w:val="ListParagraph"/>
        <w:numPr>
          <w:ilvl w:val="0"/>
          <w:numId w:val="21"/>
        </w:numPr>
        <w:autoSpaceDE w:val="0"/>
        <w:autoSpaceDN w:val="0"/>
        <w:adjustRightInd w:val="0"/>
        <w:spacing w:after="120"/>
        <w:jc w:val="both"/>
        <w:rPr>
          <w:rFonts w:ascii="Arial" w:hAnsi="Arial" w:cs="Arial"/>
          <w:color w:val="000000"/>
        </w:rPr>
      </w:pPr>
      <w:r>
        <w:rPr>
          <w:rFonts w:ascii="Arial" w:hAnsi="Arial" w:cs="Arial"/>
          <w:color w:val="000000"/>
        </w:rPr>
        <w:t>z</w:t>
      </w:r>
      <w:r w:rsidR="00CF4FCA">
        <w:rPr>
          <w:rFonts w:ascii="Arial" w:hAnsi="Arial" w:cs="Arial"/>
          <w:color w:val="000000"/>
        </w:rPr>
        <w:t xml:space="preserve">awarli z Trigon Dom Maklerski S.A. z siedzibą </w:t>
      </w:r>
      <w:r w:rsidR="00CF4FCA" w:rsidRPr="001723B0">
        <w:rPr>
          <w:rFonts w:ascii="Arial" w:hAnsi="Arial" w:cs="Arial"/>
          <w:color w:val="000000"/>
        </w:rPr>
        <w:t>w Krakowie („</w:t>
      </w:r>
      <w:r w:rsidR="00CF4FCA" w:rsidRPr="001723B0">
        <w:rPr>
          <w:rFonts w:ascii="Arial" w:hAnsi="Arial" w:cs="Arial"/>
          <w:b/>
          <w:bCs/>
          <w:color w:val="000000"/>
        </w:rPr>
        <w:t>Trigon DM</w:t>
      </w:r>
      <w:r w:rsidR="00CF4FCA" w:rsidRPr="001723B0">
        <w:rPr>
          <w:rFonts w:ascii="Arial" w:hAnsi="Arial" w:cs="Arial"/>
          <w:color w:val="000000"/>
        </w:rPr>
        <w:t xml:space="preserve">”) </w:t>
      </w:r>
      <w:r w:rsidR="00C23663">
        <w:rPr>
          <w:rFonts w:ascii="Arial" w:hAnsi="Arial" w:cs="Arial"/>
          <w:color w:val="000000"/>
        </w:rPr>
        <w:t xml:space="preserve">pozostającą w mocy </w:t>
      </w:r>
      <w:r w:rsidR="00CF4FCA">
        <w:rPr>
          <w:rFonts w:ascii="Arial" w:hAnsi="Arial" w:cs="Arial"/>
          <w:color w:val="000000"/>
        </w:rPr>
        <w:t>umowę o świadczenie usług maklerskich w zakresie przyjmowania i przekazywania zleceń („</w:t>
      </w:r>
      <w:r w:rsidR="00CF4FCA" w:rsidRPr="00C23663">
        <w:rPr>
          <w:rFonts w:ascii="Arial" w:hAnsi="Arial" w:cs="Arial"/>
          <w:b/>
          <w:bCs/>
          <w:color w:val="000000"/>
        </w:rPr>
        <w:t>Umowa Maklerska</w:t>
      </w:r>
      <w:r w:rsidR="00CF4FCA">
        <w:rPr>
          <w:rFonts w:ascii="Arial" w:hAnsi="Arial" w:cs="Arial"/>
          <w:color w:val="000000"/>
        </w:rPr>
        <w:t>”);</w:t>
      </w:r>
    </w:p>
    <w:p w14:paraId="10EAD9C9" w14:textId="77777777" w:rsidR="001723B0" w:rsidRPr="001723B0" w:rsidRDefault="00FF370C" w:rsidP="001723B0">
      <w:pPr>
        <w:pStyle w:val="ListParagraph"/>
        <w:numPr>
          <w:ilvl w:val="0"/>
          <w:numId w:val="21"/>
        </w:numPr>
        <w:autoSpaceDE w:val="0"/>
        <w:autoSpaceDN w:val="0"/>
        <w:adjustRightInd w:val="0"/>
        <w:spacing w:after="120"/>
        <w:jc w:val="both"/>
        <w:rPr>
          <w:rFonts w:ascii="Arial" w:hAnsi="Arial" w:cs="Arial"/>
          <w:color w:val="000000"/>
        </w:rPr>
      </w:pPr>
      <w:r w:rsidRPr="001723B0">
        <w:rPr>
          <w:rFonts w:ascii="Arial" w:hAnsi="Arial" w:cs="Arial"/>
          <w:color w:val="000000"/>
        </w:rPr>
        <w:t xml:space="preserve">otrzymają od </w:t>
      </w:r>
      <w:r w:rsidR="00CF4FCA">
        <w:rPr>
          <w:rFonts w:ascii="Arial" w:hAnsi="Arial" w:cs="Arial"/>
          <w:color w:val="000000"/>
        </w:rPr>
        <w:t xml:space="preserve">Trigon DM </w:t>
      </w:r>
      <w:r w:rsidR="0029499D" w:rsidRPr="001723B0">
        <w:rPr>
          <w:rFonts w:ascii="Arial" w:hAnsi="Arial" w:cs="Arial"/>
          <w:color w:val="000000"/>
        </w:rPr>
        <w:t>jako firm</w:t>
      </w:r>
      <w:r w:rsidR="001870FA" w:rsidRPr="001723B0">
        <w:rPr>
          <w:rFonts w:ascii="Arial" w:hAnsi="Arial" w:cs="Arial"/>
          <w:color w:val="000000"/>
        </w:rPr>
        <w:t>y</w:t>
      </w:r>
      <w:r w:rsidR="0029499D" w:rsidRPr="001723B0">
        <w:rPr>
          <w:rFonts w:ascii="Arial" w:hAnsi="Arial" w:cs="Arial"/>
          <w:color w:val="000000"/>
        </w:rPr>
        <w:t xml:space="preserve"> inwestycyjn</w:t>
      </w:r>
      <w:r w:rsidR="001870FA" w:rsidRPr="001723B0">
        <w:rPr>
          <w:rFonts w:ascii="Arial" w:hAnsi="Arial" w:cs="Arial"/>
          <w:color w:val="000000"/>
        </w:rPr>
        <w:t>ej</w:t>
      </w:r>
      <w:r w:rsidR="0029499D" w:rsidRPr="001723B0">
        <w:rPr>
          <w:rFonts w:ascii="Arial" w:hAnsi="Arial" w:cs="Arial"/>
          <w:color w:val="000000"/>
        </w:rPr>
        <w:t xml:space="preserve"> pośrednicząc</w:t>
      </w:r>
      <w:r w:rsidR="001870FA" w:rsidRPr="001723B0">
        <w:rPr>
          <w:rFonts w:ascii="Arial" w:hAnsi="Arial" w:cs="Arial"/>
          <w:color w:val="000000"/>
        </w:rPr>
        <w:t>ej</w:t>
      </w:r>
      <w:r w:rsidR="0029499D" w:rsidRPr="001723B0">
        <w:rPr>
          <w:rFonts w:ascii="Arial" w:hAnsi="Arial" w:cs="Arial"/>
          <w:color w:val="000000"/>
        </w:rPr>
        <w:t xml:space="preserve"> w Ofercie </w:t>
      </w:r>
      <w:bookmarkStart w:id="4" w:name="_Hlk142312950"/>
      <w:r w:rsidRPr="001723B0">
        <w:rPr>
          <w:rFonts w:ascii="Arial" w:hAnsi="Arial" w:cs="Arial"/>
          <w:color w:val="000000"/>
        </w:rPr>
        <w:t xml:space="preserve">zaproszenie do </w:t>
      </w:r>
      <w:bookmarkEnd w:id="4"/>
      <w:r w:rsidRPr="001723B0">
        <w:rPr>
          <w:rFonts w:ascii="Arial" w:hAnsi="Arial" w:cs="Arial"/>
          <w:color w:val="000000"/>
        </w:rPr>
        <w:t xml:space="preserve">wzięcia udziału w procesie budowania księgi popytu na Akcje </w:t>
      </w:r>
      <w:r w:rsidR="001870FA" w:rsidRPr="001723B0">
        <w:rPr>
          <w:rFonts w:ascii="Arial" w:hAnsi="Arial" w:cs="Arial"/>
          <w:color w:val="000000"/>
        </w:rPr>
        <w:t xml:space="preserve">Serii </w:t>
      </w:r>
      <w:r w:rsidR="003461EE">
        <w:rPr>
          <w:rFonts w:ascii="Arial" w:hAnsi="Arial" w:cs="Arial"/>
          <w:color w:val="000000"/>
        </w:rPr>
        <w:t>I</w:t>
      </w:r>
      <w:r w:rsidRPr="001723B0">
        <w:rPr>
          <w:rFonts w:ascii="Arial" w:hAnsi="Arial" w:cs="Arial"/>
          <w:color w:val="000000"/>
        </w:rPr>
        <w:t xml:space="preserve"> („</w:t>
      </w:r>
      <w:r w:rsidR="006D3C03" w:rsidRPr="001723B0">
        <w:rPr>
          <w:rFonts w:ascii="Arial" w:hAnsi="Arial" w:cs="Arial"/>
          <w:b/>
          <w:bCs/>
          <w:color w:val="000000"/>
        </w:rPr>
        <w:t>Proces Budowania Księgi Popytu</w:t>
      </w:r>
      <w:r w:rsidRPr="001723B0">
        <w:rPr>
          <w:rFonts w:ascii="Arial" w:hAnsi="Arial" w:cs="Arial"/>
          <w:color w:val="000000"/>
        </w:rPr>
        <w:t>”)</w:t>
      </w:r>
      <w:r w:rsidR="00490F47" w:rsidRPr="001723B0">
        <w:rPr>
          <w:rFonts w:ascii="Arial" w:hAnsi="Arial" w:cs="Arial"/>
          <w:color w:val="000000"/>
        </w:rPr>
        <w:t xml:space="preserve"> lub zgłoszą </w:t>
      </w:r>
      <w:r w:rsidR="001723B0" w:rsidRPr="001723B0">
        <w:rPr>
          <w:rFonts w:ascii="Arial" w:hAnsi="Arial" w:cs="Arial"/>
          <w:color w:val="000000"/>
        </w:rPr>
        <w:t>Trigon DM</w:t>
      </w:r>
      <w:r w:rsidR="004B52AA">
        <w:rPr>
          <w:rFonts w:ascii="Arial" w:hAnsi="Arial" w:cs="Arial"/>
          <w:color w:val="000000"/>
        </w:rPr>
        <w:t>,</w:t>
      </w:r>
      <w:r w:rsidR="001723B0" w:rsidRPr="001723B0">
        <w:rPr>
          <w:rFonts w:ascii="Arial" w:hAnsi="Arial" w:cs="Arial"/>
          <w:color w:val="000000"/>
        </w:rPr>
        <w:t xml:space="preserve"> </w:t>
      </w:r>
      <w:r w:rsidR="00CF4FCA">
        <w:rPr>
          <w:rFonts w:ascii="Arial" w:hAnsi="Arial" w:cs="Arial"/>
          <w:color w:val="000000"/>
        </w:rPr>
        <w:t>w trybie określonym w Umowie Maklerskie</w:t>
      </w:r>
      <w:r w:rsidR="00552F46">
        <w:rPr>
          <w:rFonts w:ascii="Arial" w:hAnsi="Arial" w:cs="Arial"/>
          <w:color w:val="000000"/>
        </w:rPr>
        <w:t>j</w:t>
      </w:r>
      <w:r w:rsidR="00CF4FCA">
        <w:rPr>
          <w:rFonts w:ascii="Arial" w:hAnsi="Arial" w:cs="Arial"/>
          <w:color w:val="000000"/>
        </w:rPr>
        <w:t xml:space="preserve"> lub na adres poczty elektronicznej </w:t>
      </w:r>
      <w:r w:rsidR="004B52AA">
        <w:rPr>
          <w:rFonts w:ascii="Arial" w:hAnsi="Arial" w:cs="Arial"/>
          <w:color w:val="000000"/>
        </w:rPr>
        <w:t>MO@trigon.pl</w:t>
      </w:r>
      <w:r w:rsidR="00C23663">
        <w:rPr>
          <w:rFonts w:ascii="Arial" w:hAnsi="Arial" w:cs="Arial"/>
          <w:color w:val="000000"/>
        </w:rPr>
        <w:t>,</w:t>
      </w:r>
      <w:r w:rsidR="00CF4FCA">
        <w:rPr>
          <w:rFonts w:ascii="Arial" w:hAnsi="Arial" w:cs="Arial"/>
          <w:color w:val="000000"/>
        </w:rPr>
        <w:t xml:space="preserve"> </w:t>
      </w:r>
      <w:r w:rsidR="00490F47" w:rsidRPr="001723B0">
        <w:rPr>
          <w:rFonts w:ascii="Arial" w:hAnsi="Arial" w:cs="Arial"/>
          <w:color w:val="000000"/>
        </w:rPr>
        <w:t>zainteresowanie wzięciem udziału w Procesie Budowania Księgi Popytu</w:t>
      </w:r>
      <w:r w:rsidR="0092778D">
        <w:rPr>
          <w:rFonts w:ascii="Arial" w:hAnsi="Arial" w:cs="Arial"/>
          <w:color w:val="000000"/>
        </w:rPr>
        <w:t xml:space="preserve"> i</w:t>
      </w:r>
      <w:r w:rsidR="003F0D47" w:rsidRPr="001723B0">
        <w:rPr>
          <w:rFonts w:ascii="Arial" w:hAnsi="Arial" w:cs="Arial"/>
          <w:color w:val="000000"/>
        </w:rPr>
        <w:t xml:space="preserve"> spełnią warunki techniczne określone przez Trigon DM</w:t>
      </w:r>
      <w:r w:rsidR="001723B0" w:rsidRPr="001723B0">
        <w:rPr>
          <w:rFonts w:ascii="Arial" w:hAnsi="Arial" w:cs="Arial"/>
          <w:color w:val="000000"/>
        </w:rPr>
        <w:t xml:space="preserve">; </w:t>
      </w:r>
      <w:r w:rsidR="005D1B3C" w:rsidRPr="001723B0">
        <w:rPr>
          <w:rFonts w:ascii="Arial" w:hAnsi="Arial" w:cs="Arial"/>
          <w:color w:val="000000"/>
        </w:rPr>
        <w:t>oraz</w:t>
      </w:r>
    </w:p>
    <w:p w14:paraId="1CB1AD58" w14:textId="2B4DBFF0" w:rsidR="004B52AA" w:rsidRDefault="005D1B3C" w:rsidP="001723B0">
      <w:pPr>
        <w:pStyle w:val="ListParagraph"/>
        <w:numPr>
          <w:ilvl w:val="0"/>
          <w:numId w:val="21"/>
        </w:numPr>
        <w:autoSpaceDE w:val="0"/>
        <w:autoSpaceDN w:val="0"/>
        <w:adjustRightInd w:val="0"/>
        <w:spacing w:after="120"/>
        <w:jc w:val="both"/>
        <w:rPr>
          <w:rFonts w:ascii="Arial" w:hAnsi="Arial" w:cs="Arial"/>
          <w:color w:val="000000"/>
        </w:rPr>
      </w:pPr>
      <w:r w:rsidRPr="001723B0">
        <w:rPr>
          <w:rFonts w:ascii="Arial" w:hAnsi="Arial" w:cs="Arial"/>
          <w:color w:val="000000"/>
        </w:rPr>
        <w:t xml:space="preserve">spełniają następujące warunki: (i) są inwestorami kwalifikowanymi </w:t>
      </w:r>
      <w:r w:rsidR="00247068" w:rsidRPr="001723B0">
        <w:rPr>
          <w:rFonts w:ascii="Arial" w:hAnsi="Arial" w:cs="Arial"/>
          <w:color w:val="000000"/>
        </w:rPr>
        <w:t>w rozumieniu art. 1 ust. 4 lit. a) Rozporządzenia Prospektowego</w:t>
      </w:r>
      <w:r w:rsidR="00BD39E5" w:rsidRPr="001723B0">
        <w:rPr>
          <w:rFonts w:ascii="Arial" w:hAnsi="Arial" w:cs="Arial"/>
          <w:color w:val="000000"/>
        </w:rPr>
        <w:t xml:space="preserve"> („</w:t>
      </w:r>
      <w:r w:rsidR="00BD39E5" w:rsidRPr="001723B0">
        <w:rPr>
          <w:rFonts w:ascii="Arial" w:hAnsi="Arial" w:cs="Arial"/>
          <w:b/>
          <w:bCs/>
          <w:color w:val="000000"/>
        </w:rPr>
        <w:t>Inwestor Kwalifikowany</w:t>
      </w:r>
      <w:r w:rsidR="00BD39E5" w:rsidRPr="001723B0">
        <w:rPr>
          <w:rFonts w:ascii="Arial" w:hAnsi="Arial" w:cs="Arial"/>
          <w:color w:val="000000"/>
        </w:rPr>
        <w:t>”)</w:t>
      </w:r>
      <w:r w:rsidR="009159B9" w:rsidRPr="001723B0">
        <w:rPr>
          <w:rFonts w:ascii="Arial" w:hAnsi="Arial" w:cs="Arial"/>
          <w:color w:val="000000"/>
        </w:rPr>
        <w:t>;</w:t>
      </w:r>
      <w:r w:rsidR="00FF370C" w:rsidRPr="001723B0">
        <w:rPr>
          <w:rFonts w:ascii="Arial" w:hAnsi="Arial" w:cs="Arial"/>
          <w:color w:val="000000"/>
        </w:rPr>
        <w:t xml:space="preserve"> lub</w:t>
      </w:r>
      <w:r w:rsidRPr="001723B0">
        <w:rPr>
          <w:rFonts w:ascii="Arial" w:hAnsi="Arial" w:cs="Arial"/>
          <w:color w:val="000000"/>
        </w:rPr>
        <w:t xml:space="preserve"> (ii) </w:t>
      </w:r>
      <w:r w:rsidR="00FF370C" w:rsidRPr="001723B0">
        <w:rPr>
          <w:rFonts w:ascii="Arial" w:hAnsi="Arial" w:cs="Arial"/>
          <w:color w:val="000000"/>
        </w:rPr>
        <w:t>obejmują</w:t>
      </w:r>
      <w:r w:rsidR="004D2265" w:rsidRPr="001723B0">
        <w:rPr>
          <w:rFonts w:ascii="Arial" w:hAnsi="Arial" w:cs="Arial"/>
          <w:color w:val="000000"/>
        </w:rPr>
        <w:t xml:space="preserve"> </w:t>
      </w:r>
      <w:r w:rsidR="00EE5521" w:rsidRPr="001723B0">
        <w:rPr>
          <w:rFonts w:ascii="Arial" w:hAnsi="Arial" w:cs="Arial"/>
          <w:color w:val="000000"/>
        </w:rPr>
        <w:t>papiery wartościowe o</w:t>
      </w:r>
      <w:r w:rsidR="004D6BDD" w:rsidRPr="001723B0">
        <w:rPr>
          <w:rFonts w:ascii="Arial" w:hAnsi="Arial" w:cs="Arial"/>
          <w:color w:val="000000"/>
        </w:rPr>
        <w:t> </w:t>
      </w:r>
      <w:r w:rsidR="00EE5521" w:rsidRPr="001723B0">
        <w:rPr>
          <w:rFonts w:ascii="Arial" w:hAnsi="Arial" w:cs="Arial"/>
          <w:color w:val="000000"/>
        </w:rPr>
        <w:t>łącznej wartości co najmniej 100.000 EUR na inwestora, o których mowa w art.</w:t>
      </w:r>
      <w:r w:rsidR="00840983">
        <w:rPr>
          <w:rFonts w:ascii="Arial" w:hAnsi="Arial" w:cs="Arial"/>
          <w:color w:val="000000"/>
        </w:rPr>
        <w:t> </w:t>
      </w:r>
      <w:r w:rsidR="00EE5521" w:rsidRPr="001723B0">
        <w:rPr>
          <w:rFonts w:ascii="Arial" w:hAnsi="Arial" w:cs="Arial"/>
          <w:color w:val="000000"/>
        </w:rPr>
        <w:t>1 ust. 4 lit. d) Rozporządzenia Prospektowego</w:t>
      </w:r>
      <w:r w:rsidR="00490F47" w:rsidRPr="001723B0">
        <w:rPr>
          <w:rFonts w:ascii="Arial" w:hAnsi="Arial" w:cs="Arial"/>
          <w:color w:val="000000"/>
        </w:rPr>
        <w:t xml:space="preserve">; </w:t>
      </w:r>
      <w:r w:rsidR="00442994">
        <w:rPr>
          <w:rFonts w:ascii="Arial" w:hAnsi="Arial" w:cs="Arial"/>
          <w:color w:val="000000"/>
        </w:rPr>
        <w:t>lub</w:t>
      </w:r>
      <w:r w:rsidR="00442994" w:rsidRPr="001723B0">
        <w:rPr>
          <w:rFonts w:ascii="Arial" w:hAnsi="Arial" w:cs="Arial"/>
          <w:color w:val="000000"/>
        </w:rPr>
        <w:t xml:space="preserve"> </w:t>
      </w:r>
      <w:r w:rsidR="00490F47" w:rsidRPr="001723B0">
        <w:rPr>
          <w:rFonts w:ascii="Arial" w:hAnsi="Arial" w:cs="Arial"/>
          <w:color w:val="000000"/>
        </w:rPr>
        <w:t xml:space="preserve">(iii) </w:t>
      </w:r>
      <w:r w:rsidR="00442994">
        <w:rPr>
          <w:rFonts w:ascii="Arial" w:hAnsi="Arial" w:cs="Arial"/>
          <w:color w:val="000000"/>
        </w:rPr>
        <w:t>spełnia</w:t>
      </w:r>
      <w:r w:rsidR="00EA79DF">
        <w:rPr>
          <w:rFonts w:ascii="Arial" w:hAnsi="Arial" w:cs="Arial"/>
          <w:color w:val="000000"/>
        </w:rPr>
        <w:t>ją</w:t>
      </w:r>
      <w:r w:rsidR="00442994">
        <w:rPr>
          <w:rFonts w:ascii="Arial" w:hAnsi="Arial" w:cs="Arial"/>
          <w:color w:val="000000"/>
        </w:rPr>
        <w:t xml:space="preserve"> inne przesłanki pozwalające Spółce na przeprowadzenie Oferty </w:t>
      </w:r>
      <w:r w:rsidR="00EA79DF" w:rsidRPr="00EA79DF">
        <w:rPr>
          <w:rFonts w:ascii="Arial" w:hAnsi="Arial" w:cs="Arial"/>
          <w:color w:val="000000"/>
        </w:rPr>
        <w:t>zwolnionej z obowiązku opublikowania prospektu w rozumieniu właściwych przepisów prawa, bądź obowiązku opublikowania innego dokumentu informacyjnego albo ofertowego na potrzeby takiej oferty lub na podstawie wyjątku od obowiązku przeprowadzenia procesu rejestracyjnego w innej jurysdykcji</w:t>
      </w:r>
      <w:r w:rsidR="00442994">
        <w:rPr>
          <w:rFonts w:ascii="Arial" w:hAnsi="Arial" w:cs="Arial"/>
          <w:color w:val="000000"/>
        </w:rPr>
        <w:t xml:space="preserve"> </w:t>
      </w:r>
      <w:r w:rsidR="00C65004">
        <w:rPr>
          <w:rFonts w:ascii="Arial" w:hAnsi="Arial" w:cs="Arial"/>
          <w:color w:val="000000"/>
        </w:rPr>
        <w:t>(„</w:t>
      </w:r>
      <w:r w:rsidR="00C65004" w:rsidRPr="009944AF">
        <w:rPr>
          <w:rFonts w:ascii="Arial" w:hAnsi="Arial" w:cs="Arial"/>
          <w:b/>
          <w:bCs/>
          <w:color w:val="000000"/>
        </w:rPr>
        <w:t>Inwestor</w:t>
      </w:r>
      <w:r w:rsidR="00C65004">
        <w:rPr>
          <w:rFonts w:ascii="Arial" w:hAnsi="Arial" w:cs="Arial"/>
          <w:color w:val="000000"/>
        </w:rPr>
        <w:t>”)</w:t>
      </w:r>
      <w:r w:rsidR="00C23663">
        <w:rPr>
          <w:rFonts w:ascii="Arial" w:hAnsi="Arial" w:cs="Arial"/>
          <w:color w:val="000000"/>
        </w:rPr>
        <w:t>;</w:t>
      </w:r>
      <w:r w:rsidR="004B52AA">
        <w:rPr>
          <w:rFonts w:ascii="Arial" w:hAnsi="Arial" w:cs="Arial"/>
          <w:color w:val="000000"/>
        </w:rPr>
        <w:t xml:space="preserve"> oraz</w:t>
      </w:r>
    </w:p>
    <w:p w14:paraId="6753BAB8" w14:textId="586438B5" w:rsidR="00B167D8" w:rsidRPr="001723B0" w:rsidRDefault="008917D8" w:rsidP="001723B0">
      <w:pPr>
        <w:pStyle w:val="ListParagraph"/>
        <w:numPr>
          <w:ilvl w:val="0"/>
          <w:numId w:val="21"/>
        </w:numPr>
        <w:autoSpaceDE w:val="0"/>
        <w:autoSpaceDN w:val="0"/>
        <w:adjustRightInd w:val="0"/>
        <w:spacing w:after="120"/>
        <w:jc w:val="both"/>
        <w:rPr>
          <w:rFonts w:ascii="Arial" w:hAnsi="Arial" w:cs="Arial"/>
          <w:color w:val="000000"/>
        </w:rPr>
      </w:pPr>
      <w:r w:rsidRPr="001723B0">
        <w:rPr>
          <w:rFonts w:ascii="Arial" w:hAnsi="Arial" w:cs="Arial"/>
          <w:color w:val="000000"/>
        </w:rPr>
        <w:t xml:space="preserve">złożą </w:t>
      </w:r>
      <w:r w:rsidR="00490F47" w:rsidRPr="001723B0">
        <w:rPr>
          <w:rFonts w:ascii="Arial" w:hAnsi="Arial" w:cs="Arial"/>
          <w:color w:val="000000"/>
        </w:rPr>
        <w:t>w Procesie Budowania Księgi Popytu</w:t>
      </w:r>
      <w:r w:rsidRPr="001723B0">
        <w:rPr>
          <w:rFonts w:ascii="Arial" w:hAnsi="Arial" w:cs="Arial"/>
          <w:color w:val="000000"/>
        </w:rPr>
        <w:t xml:space="preserve"> </w:t>
      </w:r>
      <w:r w:rsidR="00490F47" w:rsidRPr="001723B0">
        <w:rPr>
          <w:rFonts w:ascii="Arial" w:hAnsi="Arial" w:cs="Arial"/>
          <w:color w:val="000000"/>
        </w:rPr>
        <w:t>deklarację zainteresowania objęciem Akcji Oferowanych „(</w:t>
      </w:r>
      <w:r w:rsidR="00490F47" w:rsidRPr="001723B0">
        <w:rPr>
          <w:rFonts w:ascii="Arial" w:hAnsi="Arial" w:cs="Arial"/>
          <w:b/>
          <w:bCs/>
          <w:color w:val="000000"/>
        </w:rPr>
        <w:t>Deklaracja</w:t>
      </w:r>
      <w:r w:rsidR="00490F47" w:rsidRPr="001723B0">
        <w:rPr>
          <w:rFonts w:ascii="Arial" w:hAnsi="Arial" w:cs="Arial"/>
          <w:color w:val="000000"/>
        </w:rPr>
        <w:t xml:space="preserve">”) </w:t>
      </w:r>
      <w:r w:rsidRPr="001723B0">
        <w:rPr>
          <w:rFonts w:ascii="Arial" w:hAnsi="Arial" w:cs="Arial"/>
          <w:color w:val="000000"/>
        </w:rPr>
        <w:t>po cenie nie niższej niż ich cena emisyjna ustalona przez Zarząd</w:t>
      </w:r>
      <w:r w:rsidR="003F0D47" w:rsidRPr="001723B0">
        <w:rPr>
          <w:rFonts w:ascii="Arial" w:hAnsi="Arial" w:cs="Arial"/>
          <w:color w:val="000000"/>
        </w:rPr>
        <w:t xml:space="preserve"> </w:t>
      </w:r>
      <w:r w:rsidR="00E95269">
        <w:rPr>
          <w:rFonts w:ascii="Arial" w:hAnsi="Arial" w:cs="Arial"/>
          <w:color w:val="000000"/>
        </w:rPr>
        <w:t xml:space="preserve">(przy czym w Uchwale Zarządu Zarząd określił minimalną Cenę Emisyjną Akcji Serii I na 4,00 PLN za jedną Akcję Serii I) </w:t>
      </w:r>
      <w:r w:rsidR="003F0D47" w:rsidRPr="001723B0">
        <w:rPr>
          <w:rFonts w:ascii="Arial" w:hAnsi="Arial" w:cs="Arial"/>
          <w:color w:val="000000"/>
        </w:rPr>
        <w:t>(„</w:t>
      </w:r>
      <w:r w:rsidR="003F0D47" w:rsidRPr="001723B0">
        <w:rPr>
          <w:rFonts w:ascii="Arial" w:hAnsi="Arial" w:cs="Arial"/>
          <w:b/>
          <w:bCs/>
          <w:color w:val="000000"/>
        </w:rPr>
        <w:t>Cena Emisyjna</w:t>
      </w:r>
      <w:r w:rsidR="003F0D47" w:rsidRPr="001723B0">
        <w:rPr>
          <w:rFonts w:ascii="Arial" w:hAnsi="Arial" w:cs="Arial"/>
          <w:color w:val="000000"/>
        </w:rPr>
        <w:t>”)</w:t>
      </w:r>
      <w:r w:rsidR="00322B0C" w:rsidRPr="001723B0">
        <w:rPr>
          <w:rFonts w:ascii="Arial" w:hAnsi="Arial" w:cs="Arial"/>
          <w:color w:val="000000"/>
        </w:rPr>
        <w:t>.</w:t>
      </w:r>
    </w:p>
    <w:p w14:paraId="122F1610" w14:textId="77777777" w:rsidR="004B52AA" w:rsidRDefault="001723B0" w:rsidP="00074294">
      <w:pPr>
        <w:jc w:val="both"/>
        <w:rPr>
          <w:rFonts w:ascii="Arial" w:hAnsi="Arial" w:cs="Arial"/>
          <w:color w:val="000000"/>
          <w:sz w:val="20"/>
          <w:szCs w:val="20"/>
        </w:rPr>
      </w:pPr>
      <w:r w:rsidRPr="001723B0">
        <w:rPr>
          <w:rFonts w:ascii="Arial" w:hAnsi="Arial" w:cs="Arial"/>
          <w:color w:val="000000"/>
          <w:sz w:val="20"/>
          <w:szCs w:val="20"/>
        </w:rPr>
        <w:t xml:space="preserve">Inwestorzy niespełniający </w:t>
      </w:r>
      <w:r>
        <w:rPr>
          <w:rFonts w:ascii="Arial" w:hAnsi="Arial" w:cs="Arial"/>
          <w:color w:val="000000"/>
          <w:sz w:val="20"/>
          <w:szCs w:val="20"/>
        </w:rPr>
        <w:t xml:space="preserve">wszystkich </w:t>
      </w:r>
      <w:r w:rsidRPr="001723B0">
        <w:rPr>
          <w:rFonts w:ascii="Arial" w:hAnsi="Arial" w:cs="Arial"/>
          <w:color w:val="000000"/>
          <w:sz w:val="20"/>
          <w:szCs w:val="20"/>
        </w:rPr>
        <w:t>określonych w powyższym akapicie kryteriów nie będą uprawnieni do wzięcia udziału w Ofercie.</w:t>
      </w:r>
    </w:p>
    <w:p w14:paraId="336E28E6" w14:textId="77777777" w:rsidR="004B52AA" w:rsidRPr="009944AF" w:rsidRDefault="004B52AA" w:rsidP="009944AF">
      <w:pPr>
        <w:autoSpaceDE w:val="0"/>
        <w:autoSpaceDN w:val="0"/>
        <w:adjustRightInd w:val="0"/>
        <w:spacing w:after="120" w:line="240" w:lineRule="auto"/>
        <w:jc w:val="both"/>
        <w:rPr>
          <w:rFonts w:ascii="Arial" w:hAnsi="Arial" w:cs="Arial"/>
          <w:b/>
          <w:bCs/>
          <w:color w:val="000000"/>
          <w:sz w:val="20"/>
          <w:szCs w:val="20"/>
        </w:rPr>
      </w:pPr>
      <w:r w:rsidRPr="009944AF">
        <w:rPr>
          <w:rFonts w:ascii="Arial" w:hAnsi="Arial" w:cs="Arial"/>
          <w:b/>
          <w:bCs/>
          <w:color w:val="000000"/>
          <w:sz w:val="20"/>
          <w:szCs w:val="20"/>
        </w:rPr>
        <w:t>Uprawnieni Inwestorzy</w:t>
      </w:r>
    </w:p>
    <w:p w14:paraId="2423C52A" w14:textId="7D6C2536" w:rsidR="00322B0C" w:rsidRPr="001723B0" w:rsidRDefault="004B52AA" w:rsidP="00074294">
      <w:pPr>
        <w:jc w:val="both"/>
        <w:rPr>
          <w:rFonts w:ascii="Arial" w:hAnsi="Arial" w:cs="Arial"/>
          <w:color w:val="000000"/>
          <w:sz w:val="20"/>
          <w:szCs w:val="20"/>
        </w:rPr>
      </w:pPr>
      <w:r w:rsidRPr="009944AF">
        <w:rPr>
          <w:rFonts w:ascii="Arial" w:hAnsi="Arial" w:cs="Arial"/>
          <w:color w:val="000000"/>
          <w:sz w:val="20"/>
          <w:szCs w:val="20"/>
        </w:rPr>
        <w:t>Inwestor</w:t>
      </w:r>
      <w:r w:rsidR="00C23663">
        <w:rPr>
          <w:rFonts w:ascii="Arial" w:hAnsi="Arial" w:cs="Arial"/>
          <w:color w:val="000000"/>
          <w:sz w:val="20"/>
          <w:szCs w:val="20"/>
        </w:rPr>
        <w:t>om</w:t>
      </w:r>
      <w:r w:rsidRPr="009944AF">
        <w:rPr>
          <w:rFonts w:ascii="Arial" w:hAnsi="Arial" w:cs="Arial"/>
          <w:color w:val="000000"/>
          <w:sz w:val="20"/>
          <w:szCs w:val="20"/>
        </w:rPr>
        <w:t xml:space="preserve">, którzy byli akcjonariuszami Spółki według stanu na koniec dnia wskazanego przez Zarząd na podstawie upoważnienia określonego w </w:t>
      </w:r>
      <w:r w:rsidRPr="009944AF">
        <w:rPr>
          <w:rFonts w:ascii="Arial" w:hAnsi="Arial" w:cs="Arial"/>
          <w:sz w:val="20"/>
          <w:szCs w:val="20"/>
        </w:rPr>
        <w:t>§ 5</w:t>
      </w:r>
      <w:r w:rsidRPr="009944AF">
        <w:rPr>
          <w:rFonts w:ascii="Arial" w:hAnsi="Arial" w:cs="Arial"/>
          <w:sz w:val="20"/>
          <w:szCs w:val="20"/>
          <w:vertAlign w:val="superscript"/>
        </w:rPr>
        <w:t>1</w:t>
      </w:r>
      <w:r w:rsidRPr="009944AF">
        <w:rPr>
          <w:rFonts w:ascii="Arial" w:hAnsi="Arial" w:cs="Arial"/>
          <w:sz w:val="20"/>
          <w:szCs w:val="20"/>
        </w:rPr>
        <w:t xml:space="preserve"> ust. 9 lit. (c) Statutu Spółki, </w:t>
      </w:r>
      <w:r w:rsidRPr="000460B1">
        <w:rPr>
          <w:rFonts w:ascii="Arial" w:hAnsi="Arial" w:cs="Arial"/>
          <w:sz w:val="20"/>
          <w:szCs w:val="20"/>
        </w:rPr>
        <w:t xml:space="preserve">tj. </w:t>
      </w:r>
      <w:r w:rsidR="00383A15">
        <w:rPr>
          <w:rFonts w:ascii="Arial" w:hAnsi="Arial" w:cs="Arial"/>
          <w:sz w:val="20"/>
          <w:szCs w:val="20"/>
        </w:rPr>
        <w:t>23</w:t>
      </w:r>
      <w:r w:rsidR="00C619E9" w:rsidRPr="000460B1">
        <w:rPr>
          <w:rFonts w:ascii="Arial" w:hAnsi="Arial" w:cs="Arial"/>
          <w:sz w:val="20"/>
          <w:szCs w:val="20"/>
        </w:rPr>
        <w:t xml:space="preserve"> kwietnia</w:t>
      </w:r>
      <w:r w:rsidRPr="000460B1">
        <w:rPr>
          <w:rFonts w:ascii="Arial" w:hAnsi="Arial" w:cs="Arial"/>
          <w:sz w:val="20"/>
          <w:szCs w:val="20"/>
        </w:rPr>
        <w:t xml:space="preserve"> 202</w:t>
      </w:r>
      <w:r w:rsidR="00C619E9" w:rsidRPr="000460B1">
        <w:rPr>
          <w:rFonts w:ascii="Arial" w:hAnsi="Arial" w:cs="Arial"/>
          <w:sz w:val="20"/>
          <w:szCs w:val="20"/>
        </w:rPr>
        <w:t>6</w:t>
      </w:r>
      <w:r w:rsidR="00C619E9">
        <w:rPr>
          <w:rFonts w:ascii="Arial" w:hAnsi="Arial" w:cs="Arial"/>
          <w:sz w:val="20"/>
          <w:szCs w:val="20"/>
        </w:rPr>
        <w:t> </w:t>
      </w:r>
      <w:r w:rsidRPr="009944AF">
        <w:rPr>
          <w:rFonts w:ascii="Arial" w:hAnsi="Arial" w:cs="Arial"/>
          <w:sz w:val="20"/>
          <w:szCs w:val="20"/>
        </w:rPr>
        <w:t>r.</w:t>
      </w:r>
      <w:r w:rsidRPr="00EA79DF">
        <w:rPr>
          <w:rFonts w:ascii="Arial" w:hAnsi="Arial" w:cs="Arial"/>
          <w:color w:val="000000"/>
          <w:sz w:val="20"/>
          <w:szCs w:val="20"/>
        </w:rPr>
        <w:t xml:space="preserve"> („</w:t>
      </w:r>
      <w:r w:rsidRPr="00EA79DF">
        <w:rPr>
          <w:rFonts w:ascii="Arial" w:hAnsi="Arial" w:cs="Arial"/>
          <w:b/>
          <w:bCs/>
          <w:color w:val="000000"/>
          <w:sz w:val="20"/>
          <w:szCs w:val="20"/>
        </w:rPr>
        <w:t>Dzień Preferencji</w:t>
      </w:r>
      <w:r w:rsidRPr="00EA79DF">
        <w:rPr>
          <w:rFonts w:ascii="Arial" w:hAnsi="Arial" w:cs="Arial"/>
          <w:color w:val="000000"/>
          <w:sz w:val="20"/>
          <w:szCs w:val="20"/>
        </w:rPr>
        <w:t>”) posiadającymi według stanu na koniec Dnia Preferencji akcje Spółki o łącznej wartości nominalnej nie mniejszej niż 0,25% (dwudziestu pięciu setnych procenta) kapitału zakładowego Spółki (dotyczy zarówno pojedynczych akcjonariuszy, jak i grup akcjonariuszy, których aktywa są zarządzane przez jedną instytucję) (łącznie jako „</w:t>
      </w:r>
      <w:r w:rsidRPr="00EA79DF">
        <w:rPr>
          <w:rFonts w:ascii="Arial" w:hAnsi="Arial" w:cs="Arial"/>
          <w:b/>
          <w:bCs/>
          <w:color w:val="000000"/>
          <w:sz w:val="20"/>
          <w:szCs w:val="20"/>
        </w:rPr>
        <w:t>Uprawnieni Inwestorzy</w:t>
      </w:r>
      <w:r w:rsidRPr="00EA79DF">
        <w:rPr>
          <w:rFonts w:ascii="Arial" w:hAnsi="Arial" w:cs="Arial"/>
          <w:color w:val="000000"/>
          <w:sz w:val="20"/>
          <w:szCs w:val="20"/>
        </w:rPr>
        <w:t>”)</w:t>
      </w:r>
      <w:r w:rsidR="00C23663">
        <w:rPr>
          <w:rFonts w:ascii="Arial" w:hAnsi="Arial" w:cs="Arial"/>
          <w:color w:val="000000"/>
          <w:sz w:val="20"/>
          <w:szCs w:val="20"/>
        </w:rPr>
        <w:t xml:space="preserve">, którzy </w:t>
      </w:r>
      <w:r w:rsidR="00C23663" w:rsidRPr="00EA79DF">
        <w:rPr>
          <w:rFonts w:ascii="Arial" w:hAnsi="Arial" w:cs="Arial"/>
          <w:color w:val="000000"/>
          <w:sz w:val="20"/>
          <w:szCs w:val="20"/>
        </w:rPr>
        <w:t xml:space="preserve">złożą w Procesie Budowania Księgi Popytu </w:t>
      </w:r>
      <w:r w:rsidR="00C23663">
        <w:rPr>
          <w:rFonts w:ascii="Arial" w:hAnsi="Arial" w:cs="Arial"/>
          <w:color w:val="000000"/>
          <w:sz w:val="20"/>
          <w:szCs w:val="20"/>
        </w:rPr>
        <w:t>Deklarację</w:t>
      </w:r>
      <w:r w:rsidR="00C23663" w:rsidRPr="00EA79DF">
        <w:rPr>
          <w:rFonts w:ascii="Arial" w:hAnsi="Arial" w:cs="Arial"/>
          <w:color w:val="000000"/>
          <w:sz w:val="20"/>
          <w:szCs w:val="20"/>
        </w:rPr>
        <w:t xml:space="preserve"> po cenie nie niższej niż </w:t>
      </w:r>
      <w:r w:rsidR="00C23663">
        <w:rPr>
          <w:rFonts w:ascii="Arial" w:hAnsi="Arial" w:cs="Arial"/>
          <w:color w:val="000000"/>
          <w:sz w:val="20"/>
          <w:szCs w:val="20"/>
        </w:rPr>
        <w:t xml:space="preserve">Cena Emisyjna </w:t>
      </w:r>
      <w:r w:rsidRPr="00EA79DF">
        <w:rPr>
          <w:rFonts w:ascii="Arial" w:hAnsi="Arial" w:cs="Arial"/>
          <w:color w:val="000000"/>
          <w:sz w:val="20"/>
          <w:szCs w:val="20"/>
        </w:rPr>
        <w:t xml:space="preserve">oraz przedstawią w Procesie Budowania Księgi Popytu informację na temat posiadanej liczby akcji Spółki na koniec dnia w Dniu Preferencji, poprzez złożenie zaświadczenia lub zaświadczeń potwierdzających posiadanie akcji </w:t>
      </w:r>
      <w:r w:rsidRPr="00EA79DF">
        <w:rPr>
          <w:rFonts w:ascii="Arial" w:hAnsi="Arial" w:cs="Arial"/>
          <w:color w:val="000000"/>
          <w:sz w:val="20"/>
          <w:szCs w:val="20"/>
        </w:rPr>
        <w:lastRenderedPageBreak/>
        <w:t>Spółki oraz ich liczbę, wystawionych przez firmę inwestycyjną prowadzącą rachunek papierów wartościowych danego podmiotu)</w:t>
      </w:r>
      <w:r>
        <w:rPr>
          <w:rFonts w:ascii="Arial" w:hAnsi="Arial" w:cs="Arial"/>
          <w:color w:val="000000"/>
          <w:sz w:val="20"/>
          <w:szCs w:val="20"/>
        </w:rPr>
        <w:t xml:space="preserve">, będzie przysługiwać </w:t>
      </w:r>
      <w:r w:rsidR="00322B0C" w:rsidRPr="001723B0">
        <w:rPr>
          <w:rFonts w:ascii="Arial" w:hAnsi="Arial" w:cs="Arial"/>
          <w:color w:val="000000"/>
          <w:sz w:val="20"/>
          <w:szCs w:val="20"/>
        </w:rPr>
        <w:t xml:space="preserve">uprawnienie do pierwszeństwa objęcia Akcji </w:t>
      </w:r>
      <w:r w:rsidR="001870FA" w:rsidRPr="001723B0">
        <w:rPr>
          <w:rFonts w:ascii="Arial" w:hAnsi="Arial" w:cs="Arial"/>
          <w:color w:val="000000"/>
          <w:sz w:val="20"/>
          <w:szCs w:val="20"/>
        </w:rPr>
        <w:t xml:space="preserve">Serii </w:t>
      </w:r>
      <w:r w:rsidR="00A527E9">
        <w:rPr>
          <w:rFonts w:ascii="Arial" w:hAnsi="Arial" w:cs="Arial"/>
          <w:color w:val="000000"/>
          <w:sz w:val="20"/>
          <w:szCs w:val="20"/>
        </w:rPr>
        <w:t>I</w:t>
      </w:r>
      <w:r w:rsidR="00322B0C" w:rsidRPr="001723B0">
        <w:rPr>
          <w:rFonts w:ascii="Arial" w:hAnsi="Arial" w:cs="Arial"/>
          <w:color w:val="000000"/>
          <w:sz w:val="20"/>
          <w:szCs w:val="20"/>
        </w:rPr>
        <w:t xml:space="preserve"> w liczbie nie niższej niż liczba Akcji </w:t>
      </w:r>
      <w:r w:rsidR="001870FA" w:rsidRPr="001723B0">
        <w:rPr>
          <w:rFonts w:ascii="Arial" w:hAnsi="Arial" w:cs="Arial"/>
          <w:color w:val="000000"/>
          <w:sz w:val="20"/>
          <w:szCs w:val="20"/>
        </w:rPr>
        <w:t xml:space="preserve">Serii </w:t>
      </w:r>
      <w:r w:rsidR="00A527E9">
        <w:rPr>
          <w:rFonts w:ascii="Arial" w:hAnsi="Arial" w:cs="Arial"/>
          <w:color w:val="000000"/>
          <w:sz w:val="20"/>
          <w:szCs w:val="20"/>
        </w:rPr>
        <w:t>I</w:t>
      </w:r>
      <w:r w:rsidR="00322B0C" w:rsidRPr="001723B0">
        <w:rPr>
          <w:rFonts w:ascii="Arial" w:hAnsi="Arial" w:cs="Arial"/>
          <w:color w:val="000000"/>
          <w:sz w:val="20"/>
          <w:szCs w:val="20"/>
        </w:rPr>
        <w:t xml:space="preserve">, która – po wyemitowaniu Akcji </w:t>
      </w:r>
      <w:r w:rsidR="001870FA" w:rsidRPr="001723B0">
        <w:rPr>
          <w:rFonts w:ascii="Arial" w:hAnsi="Arial" w:cs="Arial"/>
          <w:color w:val="000000"/>
          <w:sz w:val="20"/>
          <w:szCs w:val="20"/>
        </w:rPr>
        <w:t xml:space="preserve">Serii </w:t>
      </w:r>
      <w:r w:rsidR="00330DC4">
        <w:rPr>
          <w:rFonts w:ascii="Arial" w:hAnsi="Arial" w:cs="Arial"/>
          <w:color w:val="000000"/>
          <w:sz w:val="20"/>
          <w:szCs w:val="20"/>
        </w:rPr>
        <w:t>I</w:t>
      </w:r>
      <w:r w:rsidR="00322B0C" w:rsidRPr="001723B0">
        <w:rPr>
          <w:rFonts w:ascii="Arial" w:hAnsi="Arial" w:cs="Arial"/>
          <w:color w:val="000000"/>
          <w:sz w:val="20"/>
          <w:szCs w:val="20"/>
        </w:rPr>
        <w:t xml:space="preserve"> – umożliwi takiemu Uprawnionemu Inwestorowi utrzymanie udziału w ogólnej liczbie głosów na Walnym Zgromadzeniu Spółki nie niższego niż udział w ogólnej liczbie głosów na Walnym Zgromadzeniu Spółki, jaki ten Uprawniony Inwestor posiadał na koniec dnia w Dniu Preferencji, przy czym jeżeli ustalona w</w:t>
      </w:r>
      <w:r w:rsidR="004D6BDD" w:rsidRPr="001723B0">
        <w:rPr>
          <w:rFonts w:ascii="Arial" w:hAnsi="Arial" w:cs="Arial"/>
          <w:color w:val="000000"/>
          <w:sz w:val="20"/>
          <w:szCs w:val="20"/>
        </w:rPr>
        <w:t> </w:t>
      </w:r>
      <w:r w:rsidR="00322B0C" w:rsidRPr="001723B0">
        <w:rPr>
          <w:rFonts w:ascii="Arial" w:hAnsi="Arial" w:cs="Arial"/>
          <w:color w:val="000000"/>
          <w:sz w:val="20"/>
          <w:szCs w:val="20"/>
        </w:rPr>
        <w:t xml:space="preserve">ten sposób liczba Akcji </w:t>
      </w:r>
      <w:r w:rsidR="001870FA" w:rsidRPr="001723B0">
        <w:rPr>
          <w:rFonts w:ascii="Arial" w:hAnsi="Arial" w:cs="Arial"/>
          <w:color w:val="000000"/>
          <w:sz w:val="20"/>
          <w:szCs w:val="20"/>
        </w:rPr>
        <w:t xml:space="preserve">Serii </w:t>
      </w:r>
      <w:r w:rsidR="00A527E9">
        <w:rPr>
          <w:rFonts w:ascii="Arial" w:hAnsi="Arial" w:cs="Arial"/>
          <w:color w:val="000000"/>
          <w:sz w:val="20"/>
          <w:szCs w:val="20"/>
        </w:rPr>
        <w:t>I</w:t>
      </w:r>
      <w:r w:rsidR="00322B0C" w:rsidRPr="001723B0">
        <w:rPr>
          <w:rFonts w:ascii="Arial" w:hAnsi="Arial" w:cs="Arial"/>
          <w:color w:val="000000"/>
          <w:sz w:val="20"/>
          <w:szCs w:val="20"/>
        </w:rPr>
        <w:t xml:space="preserve"> nie będzie liczbą całkowitą, zostanie ona zaokrąglona w dół do najbliższej liczby całkowitej („</w:t>
      </w:r>
      <w:r w:rsidR="00322B0C" w:rsidRPr="001723B0">
        <w:rPr>
          <w:rFonts w:ascii="Arial" w:hAnsi="Arial" w:cs="Arial"/>
          <w:b/>
          <w:bCs/>
          <w:color w:val="000000"/>
          <w:sz w:val="20"/>
          <w:szCs w:val="20"/>
        </w:rPr>
        <w:t>Prawo Pierwszeństwa</w:t>
      </w:r>
      <w:r w:rsidR="00322B0C" w:rsidRPr="001723B0">
        <w:rPr>
          <w:rFonts w:ascii="Arial" w:hAnsi="Arial" w:cs="Arial"/>
          <w:color w:val="000000"/>
          <w:sz w:val="20"/>
          <w:szCs w:val="20"/>
        </w:rPr>
        <w:t>”)</w:t>
      </w:r>
      <w:r w:rsidR="0077161C" w:rsidRPr="001723B0">
        <w:rPr>
          <w:rFonts w:ascii="Arial" w:hAnsi="Arial" w:cs="Arial"/>
          <w:color w:val="000000"/>
          <w:sz w:val="20"/>
          <w:szCs w:val="20"/>
        </w:rPr>
        <w:t>.</w:t>
      </w:r>
    </w:p>
    <w:p w14:paraId="0B4FAC49" w14:textId="79E288C1" w:rsidR="00BD39E5" w:rsidRPr="001723B0" w:rsidRDefault="00322B0C" w:rsidP="00074294">
      <w:pPr>
        <w:jc w:val="both"/>
        <w:rPr>
          <w:rFonts w:ascii="Arial" w:hAnsi="Arial" w:cs="Arial"/>
          <w:color w:val="000000"/>
          <w:sz w:val="20"/>
          <w:szCs w:val="20"/>
        </w:rPr>
      </w:pPr>
      <w:r w:rsidRPr="001723B0">
        <w:rPr>
          <w:rFonts w:ascii="Arial" w:hAnsi="Arial" w:cs="Arial"/>
          <w:color w:val="000000"/>
          <w:sz w:val="20"/>
          <w:szCs w:val="20"/>
        </w:rPr>
        <w:t xml:space="preserve">Wybór </w:t>
      </w:r>
      <w:r w:rsidR="00C23663">
        <w:rPr>
          <w:rFonts w:ascii="Arial" w:hAnsi="Arial" w:cs="Arial"/>
          <w:color w:val="000000"/>
          <w:sz w:val="20"/>
          <w:szCs w:val="20"/>
        </w:rPr>
        <w:t>I</w:t>
      </w:r>
      <w:r w:rsidRPr="001723B0">
        <w:rPr>
          <w:rFonts w:ascii="Arial" w:hAnsi="Arial" w:cs="Arial"/>
          <w:color w:val="000000"/>
          <w:sz w:val="20"/>
          <w:szCs w:val="20"/>
        </w:rPr>
        <w:t xml:space="preserve">nwestorów, </w:t>
      </w:r>
      <w:r w:rsidR="00E01EFC" w:rsidRPr="001723B0">
        <w:rPr>
          <w:rFonts w:ascii="Arial" w:hAnsi="Arial" w:cs="Arial"/>
          <w:color w:val="000000"/>
          <w:sz w:val="20"/>
          <w:szCs w:val="20"/>
        </w:rPr>
        <w:t xml:space="preserve">w tym Uprawnionych Inwestorów, </w:t>
      </w:r>
      <w:r w:rsidRPr="001723B0">
        <w:rPr>
          <w:rFonts w:ascii="Arial" w:hAnsi="Arial" w:cs="Arial"/>
          <w:color w:val="000000"/>
          <w:sz w:val="20"/>
          <w:szCs w:val="20"/>
        </w:rPr>
        <w:t xml:space="preserve">którym zostaną złożone oferty objęcia Akcji </w:t>
      </w:r>
      <w:r w:rsidR="001870FA" w:rsidRPr="001723B0">
        <w:rPr>
          <w:rFonts w:ascii="Arial" w:hAnsi="Arial" w:cs="Arial"/>
          <w:color w:val="000000"/>
          <w:sz w:val="20"/>
          <w:szCs w:val="20"/>
        </w:rPr>
        <w:t>Serii</w:t>
      </w:r>
      <w:r w:rsidR="00CA7BAD">
        <w:rPr>
          <w:rFonts w:ascii="Arial" w:hAnsi="Arial" w:cs="Arial"/>
          <w:color w:val="000000"/>
          <w:sz w:val="20"/>
          <w:szCs w:val="20"/>
        </w:rPr>
        <w:t> </w:t>
      </w:r>
      <w:r w:rsidR="00A527E9">
        <w:rPr>
          <w:rFonts w:ascii="Arial" w:hAnsi="Arial" w:cs="Arial"/>
          <w:color w:val="000000"/>
          <w:sz w:val="20"/>
          <w:szCs w:val="20"/>
        </w:rPr>
        <w:t>I</w:t>
      </w:r>
      <w:r w:rsidRPr="001723B0">
        <w:rPr>
          <w:rFonts w:ascii="Arial" w:hAnsi="Arial" w:cs="Arial"/>
          <w:color w:val="000000"/>
          <w:sz w:val="20"/>
          <w:szCs w:val="20"/>
        </w:rPr>
        <w:t xml:space="preserve">, </w:t>
      </w:r>
      <w:r w:rsidR="004B52AA">
        <w:rPr>
          <w:rFonts w:ascii="Arial" w:hAnsi="Arial" w:cs="Arial"/>
          <w:color w:val="000000"/>
          <w:sz w:val="20"/>
          <w:szCs w:val="20"/>
        </w:rPr>
        <w:t xml:space="preserve">zostanie dokonany przez Spółkę i </w:t>
      </w:r>
      <w:r w:rsidRPr="001723B0">
        <w:rPr>
          <w:rFonts w:ascii="Arial" w:hAnsi="Arial" w:cs="Arial"/>
          <w:color w:val="000000"/>
          <w:sz w:val="20"/>
          <w:szCs w:val="20"/>
        </w:rPr>
        <w:t xml:space="preserve">nastąpi w taki sposób, aby zmaksymalizować wartość wpływów z emisji Akcji </w:t>
      </w:r>
      <w:r w:rsidR="001870FA" w:rsidRPr="001723B0">
        <w:rPr>
          <w:rFonts w:ascii="Arial" w:hAnsi="Arial" w:cs="Arial"/>
          <w:color w:val="000000"/>
          <w:sz w:val="20"/>
          <w:szCs w:val="20"/>
        </w:rPr>
        <w:t xml:space="preserve">Serii </w:t>
      </w:r>
      <w:r w:rsidR="00A527E9">
        <w:rPr>
          <w:rFonts w:ascii="Arial" w:hAnsi="Arial" w:cs="Arial"/>
          <w:color w:val="000000"/>
          <w:sz w:val="20"/>
          <w:szCs w:val="20"/>
        </w:rPr>
        <w:t>I</w:t>
      </w:r>
      <w:r w:rsidRPr="001723B0">
        <w:rPr>
          <w:rFonts w:ascii="Arial" w:hAnsi="Arial" w:cs="Arial"/>
          <w:color w:val="000000"/>
          <w:sz w:val="20"/>
          <w:szCs w:val="20"/>
        </w:rPr>
        <w:t>, z</w:t>
      </w:r>
      <w:r w:rsidR="004620A1" w:rsidRPr="001723B0">
        <w:rPr>
          <w:rFonts w:ascii="Arial" w:hAnsi="Arial" w:cs="Arial"/>
          <w:color w:val="000000"/>
          <w:sz w:val="20"/>
          <w:szCs w:val="20"/>
        </w:rPr>
        <w:t> </w:t>
      </w:r>
      <w:r w:rsidRPr="001723B0">
        <w:rPr>
          <w:rFonts w:ascii="Arial" w:hAnsi="Arial" w:cs="Arial"/>
          <w:color w:val="000000"/>
          <w:sz w:val="20"/>
          <w:szCs w:val="20"/>
        </w:rPr>
        <w:t xml:space="preserve">uwzględnieniem </w:t>
      </w:r>
      <w:r w:rsidR="00F86CA9" w:rsidRPr="001723B0">
        <w:rPr>
          <w:rFonts w:ascii="Arial" w:hAnsi="Arial" w:cs="Arial"/>
          <w:color w:val="000000"/>
          <w:sz w:val="20"/>
          <w:szCs w:val="20"/>
        </w:rPr>
        <w:t>P</w:t>
      </w:r>
      <w:r w:rsidRPr="001723B0">
        <w:rPr>
          <w:rFonts w:ascii="Arial" w:hAnsi="Arial" w:cs="Arial"/>
          <w:color w:val="000000"/>
          <w:sz w:val="20"/>
          <w:szCs w:val="20"/>
        </w:rPr>
        <w:t xml:space="preserve">rocesu </w:t>
      </w:r>
      <w:r w:rsidR="006D3C03" w:rsidRPr="001723B0">
        <w:rPr>
          <w:rFonts w:ascii="Arial" w:hAnsi="Arial" w:cs="Arial"/>
          <w:color w:val="000000"/>
          <w:sz w:val="20"/>
          <w:szCs w:val="20"/>
        </w:rPr>
        <w:t>Budowania Księgi Popytu</w:t>
      </w:r>
      <w:r w:rsidRPr="001723B0">
        <w:rPr>
          <w:rFonts w:ascii="Arial" w:hAnsi="Arial" w:cs="Arial"/>
          <w:color w:val="000000"/>
          <w:sz w:val="20"/>
          <w:szCs w:val="20"/>
        </w:rPr>
        <w:t>.</w:t>
      </w:r>
      <w:r w:rsidR="00172578" w:rsidRPr="001723B0">
        <w:rPr>
          <w:rFonts w:ascii="Arial" w:hAnsi="Arial" w:cs="Arial"/>
          <w:color w:val="000000"/>
          <w:sz w:val="20"/>
          <w:szCs w:val="20"/>
        </w:rPr>
        <w:t xml:space="preserve"> </w:t>
      </w:r>
      <w:r w:rsidR="00BD39E5" w:rsidRPr="001723B0">
        <w:rPr>
          <w:rFonts w:ascii="Arial" w:hAnsi="Arial" w:cs="Arial"/>
          <w:color w:val="000000"/>
          <w:sz w:val="20"/>
          <w:szCs w:val="20"/>
        </w:rPr>
        <w:t xml:space="preserve">W przypadku jeśli Uprawniony Inwestor złoży </w:t>
      </w:r>
      <w:r w:rsidR="005C4FDF" w:rsidRPr="001723B0">
        <w:rPr>
          <w:rFonts w:ascii="Arial" w:hAnsi="Arial" w:cs="Arial"/>
          <w:color w:val="000000"/>
          <w:sz w:val="20"/>
          <w:szCs w:val="20"/>
        </w:rPr>
        <w:t>D</w:t>
      </w:r>
      <w:r w:rsidR="00BD39E5" w:rsidRPr="001723B0">
        <w:rPr>
          <w:rFonts w:ascii="Arial" w:hAnsi="Arial" w:cs="Arial"/>
          <w:color w:val="000000"/>
          <w:sz w:val="20"/>
          <w:szCs w:val="20"/>
        </w:rPr>
        <w:t>eklarację w</w:t>
      </w:r>
      <w:r w:rsidR="005C4FDF" w:rsidRPr="001723B0">
        <w:rPr>
          <w:rFonts w:ascii="Arial" w:hAnsi="Arial" w:cs="Arial"/>
          <w:color w:val="000000"/>
          <w:sz w:val="20"/>
          <w:szCs w:val="20"/>
        </w:rPr>
        <w:t> </w:t>
      </w:r>
      <w:r w:rsidR="00BD39E5" w:rsidRPr="001723B0">
        <w:rPr>
          <w:rFonts w:ascii="Arial" w:hAnsi="Arial" w:cs="Arial"/>
          <w:color w:val="000000"/>
          <w:sz w:val="20"/>
          <w:szCs w:val="20"/>
        </w:rPr>
        <w:t>liczbie równej lub mniejszej niż wynikająca z Prawa Pierwszeństwa – wtedy takiemu Uprawnionemu Inwestorowi (z zastrzeżeniem wymog</w:t>
      </w:r>
      <w:r w:rsidR="0092778D">
        <w:rPr>
          <w:rFonts w:ascii="Arial" w:hAnsi="Arial" w:cs="Arial"/>
          <w:color w:val="000000"/>
          <w:sz w:val="20"/>
          <w:szCs w:val="20"/>
        </w:rPr>
        <w:t>ów, o których mowa w akapicie poniżej</w:t>
      </w:r>
      <w:r w:rsidR="00BD39E5" w:rsidRPr="001723B0">
        <w:rPr>
          <w:rFonts w:ascii="Arial" w:hAnsi="Arial" w:cs="Arial"/>
          <w:color w:val="000000"/>
          <w:sz w:val="20"/>
          <w:szCs w:val="20"/>
        </w:rPr>
        <w:t xml:space="preserve">) zostanie złożona oferta objęcia Akcji Oferowanych w liczbie wynikającej z jego </w:t>
      </w:r>
      <w:r w:rsidR="001D3034" w:rsidRPr="001723B0">
        <w:rPr>
          <w:rFonts w:ascii="Arial" w:hAnsi="Arial" w:cs="Arial"/>
          <w:color w:val="000000"/>
          <w:sz w:val="20"/>
          <w:szCs w:val="20"/>
        </w:rPr>
        <w:t>D</w:t>
      </w:r>
      <w:r w:rsidR="00BD39E5" w:rsidRPr="001723B0">
        <w:rPr>
          <w:rFonts w:ascii="Arial" w:hAnsi="Arial" w:cs="Arial"/>
          <w:color w:val="000000"/>
          <w:sz w:val="20"/>
          <w:szCs w:val="20"/>
        </w:rPr>
        <w:t>eklaracji.</w:t>
      </w:r>
    </w:p>
    <w:p w14:paraId="0A911FB3" w14:textId="70B20295" w:rsidR="00BD39E5" w:rsidRPr="001723B0" w:rsidRDefault="00BD39E5" w:rsidP="00074294">
      <w:pPr>
        <w:jc w:val="both"/>
        <w:rPr>
          <w:rFonts w:ascii="Arial" w:hAnsi="Arial" w:cs="Arial"/>
          <w:color w:val="000000"/>
          <w:sz w:val="20"/>
          <w:szCs w:val="20"/>
        </w:rPr>
      </w:pPr>
      <w:r w:rsidRPr="001723B0">
        <w:rPr>
          <w:rFonts w:ascii="Arial" w:hAnsi="Arial" w:cs="Arial"/>
          <w:color w:val="000000"/>
          <w:sz w:val="20"/>
          <w:szCs w:val="20"/>
        </w:rPr>
        <w:t xml:space="preserve">W przypadku </w:t>
      </w:r>
      <w:r w:rsidR="00462330">
        <w:rPr>
          <w:rFonts w:ascii="Arial" w:hAnsi="Arial" w:cs="Arial"/>
          <w:color w:val="000000"/>
          <w:sz w:val="20"/>
          <w:szCs w:val="20"/>
        </w:rPr>
        <w:t>I</w:t>
      </w:r>
      <w:r w:rsidRPr="001723B0">
        <w:rPr>
          <w:rFonts w:ascii="Arial" w:hAnsi="Arial" w:cs="Arial"/>
          <w:color w:val="000000"/>
          <w:sz w:val="20"/>
          <w:szCs w:val="20"/>
        </w:rPr>
        <w:t xml:space="preserve">nwestorów nieposiadających statusu Inwestora Kwalifikowanego, do </w:t>
      </w:r>
      <w:r w:rsidR="00F86CA9" w:rsidRPr="001723B0">
        <w:rPr>
          <w:rFonts w:ascii="Arial" w:hAnsi="Arial" w:cs="Arial"/>
          <w:color w:val="000000"/>
          <w:sz w:val="20"/>
          <w:szCs w:val="20"/>
        </w:rPr>
        <w:t xml:space="preserve">zawarcia </w:t>
      </w:r>
      <w:r w:rsidRPr="001723B0">
        <w:rPr>
          <w:rFonts w:ascii="Arial" w:hAnsi="Arial" w:cs="Arial"/>
          <w:color w:val="000000"/>
          <w:sz w:val="20"/>
          <w:szCs w:val="20"/>
        </w:rPr>
        <w:t xml:space="preserve">umowy objęcia Akcji Oferowanych będą mogli zostać zaproszeni wyłącznie tacy </w:t>
      </w:r>
      <w:r w:rsidR="00462330">
        <w:rPr>
          <w:rFonts w:ascii="Arial" w:hAnsi="Arial" w:cs="Arial"/>
          <w:color w:val="000000"/>
          <w:sz w:val="20"/>
          <w:szCs w:val="20"/>
        </w:rPr>
        <w:t>I</w:t>
      </w:r>
      <w:r w:rsidRPr="001723B0">
        <w:rPr>
          <w:rFonts w:ascii="Arial" w:hAnsi="Arial" w:cs="Arial"/>
          <w:color w:val="000000"/>
          <w:sz w:val="20"/>
          <w:szCs w:val="20"/>
        </w:rPr>
        <w:t>nwestorzy, którym zostaną wstępnie zaalokowane Akcje Oferowane o wartości minimum 100</w:t>
      </w:r>
      <w:r w:rsidR="00CA7BAD">
        <w:rPr>
          <w:rFonts w:ascii="Arial" w:hAnsi="Arial" w:cs="Arial"/>
          <w:color w:val="000000"/>
          <w:sz w:val="20"/>
          <w:szCs w:val="20"/>
        </w:rPr>
        <w:t>.000</w:t>
      </w:r>
      <w:r w:rsidRPr="001723B0">
        <w:rPr>
          <w:rFonts w:ascii="Arial" w:hAnsi="Arial" w:cs="Arial"/>
          <w:color w:val="000000"/>
          <w:sz w:val="20"/>
          <w:szCs w:val="20"/>
        </w:rPr>
        <w:t xml:space="preserve"> EUR</w:t>
      </w:r>
      <w:r w:rsidR="00D56D6E">
        <w:rPr>
          <w:rFonts w:ascii="Arial" w:hAnsi="Arial" w:cs="Arial"/>
          <w:color w:val="000000"/>
          <w:sz w:val="20"/>
          <w:szCs w:val="20"/>
        </w:rPr>
        <w:t xml:space="preserve"> lub Inwestorzy, który </w:t>
      </w:r>
      <w:r w:rsidR="00D56D6E" w:rsidRPr="00D56D6E">
        <w:rPr>
          <w:rFonts w:ascii="Arial" w:hAnsi="Arial" w:cs="Arial"/>
          <w:color w:val="000000"/>
          <w:sz w:val="20"/>
          <w:szCs w:val="20"/>
        </w:rPr>
        <w:t>spełniają inne przesłanki pozwalające Spółce na przeprowadzenie Oferty zwolnionej z obowiązku opublikowania prospektu w rozumieniu właściwych przepisów prawa, bądź obowiązku opublikowania innego dokumentu informacyjnego albo ofertowego na potrzeby takiej oferty lub na podstawie wyjątku od obowiązku przeprowadzenia procesu rejestracyjnego w innej jurysdykcji</w:t>
      </w:r>
      <w:r w:rsidRPr="001723B0">
        <w:rPr>
          <w:rFonts w:ascii="Arial" w:hAnsi="Arial" w:cs="Arial"/>
          <w:color w:val="000000"/>
          <w:sz w:val="20"/>
          <w:szCs w:val="20"/>
        </w:rPr>
        <w:t>.</w:t>
      </w:r>
    </w:p>
    <w:p w14:paraId="7C79CBD3" w14:textId="77777777" w:rsidR="00F86CA9" w:rsidRPr="001723B0" w:rsidRDefault="00F86CA9" w:rsidP="00074294">
      <w:pPr>
        <w:jc w:val="both"/>
        <w:rPr>
          <w:rFonts w:ascii="Arial" w:hAnsi="Arial" w:cs="Arial"/>
          <w:color w:val="000000"/>
          <w:sz w:val="20"/>
          <w:szCs w:val="20"/>
        </w:rPr>
      </w:pPr>
      <w:r w:rsidRPr="001723B0">
        <w:rPr>
          <w:rFonts w:ascii="Arial" w:hAnsi="Arial" w:cs="Arial"/>
          <w:color w:val="000000"/>
          <w:sz w:val="20"/>
          <w:szCs w:val="20"/>
        </w:rPr>
        <w:t xml:space="preserve">Zarząd będzie uprawniony do zaoferowania Akcji </w:t>
      </w:r>
      <w:r w:rsidR="001870FA" w:rsidRPr="001723B0">
        <w:rPr>
          <w:rFonts w:ascii="Arial" w:hAnsi="Arial" w:cs="Arial"/>
          <w:color w:val="000000"/>
          <w:sz w:val="20"/>
          <w:szCs w:val="20"/>
        </w:rPr>
        <w:t xml:space="preserve">Serii </w:t>
      </w:r>
      <w:r w:rsidR="00A527E9">
        <w:rPr>
          <w:rFonts w:ascii="Arial" w:hAnsi="Arial" w:cs="Arial"/>
          <w:color w:val="000000"/>
          <w:sz w:val="20"/>
          <w:szCs w:val="20"/>
        </w:rPr>
        <w:t>I</w:t>
      </w:r>
      <w:r w:rsidRPr="001723B0">
        <w:rPr>
          <w:rFonts w:ascii="Arial" w:hAnsi="Arial" w:cs="Arial"/>
          <w:color w:val="000000"/>
          <w:sz w:val="20"/>
          <w:szCs w:val="20"/>
        </w:rPr>
        <w:t xml:space="preserve">, które nie zostały zaalokowane Uprawnionym Inwestorom zgodnie z zasadami określonymi w powyższych akapitach, innym podmiotom, uprawnionym do udziału w Ofercie na zasadach wskazanych w </w:t>
      </w:r>
      <w:r w:rsidR="00C23663" w:rsidRPr="00C23663">
        <w:rPr>
          <w:rFonts w:ascii="Arial" w:hAnsi="Arial" w:cs="Arial"/>
          <w:color w:val="000000"/>
          <w:sz w:val="20"/>
          <w:szCs w:val="20"/>
        </w:rPr>
        <w:t>niniejszych Zasadach Budowy Księgi Popytu i Subskrypcji</w:t>
      </w:r>
      <w:r w:rsidRPr="001723B0">
        <w:rPr>
          <w:rFonts w:ascii="Arial" w:hAnsi="Arial" w:cs="Arial"/>
          <w:color w:val="000000"/>
          <w:sz w:val="20"/>
          <w:szCs w:val="20"/>
        </w:rPr>
        <w:t>.</w:t>
      </w:r>
    </w:p>
    <w:p w14:paraId="678D4786" w14:textId="77777777" w:rsidR="00E01EFC" w:rsidRPr="001723B0" w:rsidRDefault="00E01EFC" w:rsidP="00074294">
      <w:pPr>
        <w:jc w:val="both"/>
        <w:rPr>
          <w:rFonts w:ascii="Arial" w:hAnsi="Arial" w:cs="Arial"/>
          <w:color w:val="000000"/>
          <w:sz w:val="20"/>
          <w:szCs w:val="20"/>
        </w:rPr>
      </w:pPr>
      <w:r w:rsidRPr="001723B0">
        <w:rPr>
          <w:rFonts w:ascii="Arial" w:hAnsi="Arial" w:cs="Arial"/>
          <w:color w:val="000000"/>
          <w:sz w:val="20"/>
          <w:szCs w:val="20"/>
        </w:rPr>
        <w:t>W celu uzyskania informacji na temat szczegółowych zasad</w:t>
      </w:r>
      <w:r w:rsidR="009159B9" w:rsidRPr="001723B0">
        <w:rPr>
          <w:rFonts w:ascii="Arial" w:hAnsi="Arial" w:cs="Arial"/>
          <w:color w:val="000000"/>
          <w:sz w:val="20"/>
          <w:szCs w:val="20"/>
        </w:rPr>
        <w:t xml:space="preserve"> </w:t>
      </w:r>
      <w:r w:rsidR="00823A4C" w:rsidRPr="001723B0">
        <w:rPr>
          <w:rFonts w:ascii="Arial" w:hAnsi="Arial" w:cs="Arial"/>
          <w:color w:val="000000"/>
          <w:sz w:val="20"/>
          <w:szCs w:val="20"/>
        </w:rPr>
        <w:t>udziału w Ofercie</w:t>
      </w:r>
      <w:r w:rsidRPr="001723B0">
        <w:rPr>
          <w:rFonts w:ascii="Arial" w:hAnsi="Arial" w:cs="Arial"/>
          <w:color w:val="000000"/>
          <w:sz w:val="20"/>
          <w:szCs w:val="20"/>
        </w:rPr>
        <w:t xml:space="preserve">, w szczególności na temat: (i) zasad i dokumentów wymaganych przy </w:t>
      </w:r>
      <w:r w:rsidR="009159B9" w:rsidRPr="001723B0">
        <w:rPr>
          <w:rFonts w:ascii="Arial" w:hAnsi="Arial" w:cs="Arial"/>
          <w:color w:val="000000"/>
          <w:sz w:val="20"/>
          <w:szCs w:val="20"/>
        </w:rPr>
        <w:t xml:space="preserve">składaniu Deklaracji i </w:t>
      </w:r>
      <w:r w:rsidR="00823A4C" w:rsidRPr="001723B0">
        <w:rPr>
          <w:rFonts w:ascii="Arial" w:hAnsi="Arial" w:cs="Arial"/>
          <w:color w:val="000000"/>
          <w:sz w:val="20"/>
          <w:szCs w:val="20"/>
        </w:rPr>
        <w:t xml:space="preserve">zawieraniu </w:t>
      </w:r>
      <w:r w:rsidR="009159B9" w:rsidRPr="001723B0">
        <w:rPr>
          <w:rFonts w:ascii="Arial" w:hAnsi="Arial" w:cs="Arial"/>
          <w:bCs/>
          <w:sz w:val="20"/>
          <w:szCs w:val="20"/>
        </w:rPr>
        <w:t>Umów</w:t>
      </w:r>
      <w:r w:rsidR="00DF4307" w:rsidRPr="001723B0">
        <w:rPr>
          <w:rFonts w:ascii="Arial" w:hAnsi="Arial" w:cs="Arial"/>
          <w:bCs/>
          <w:sz w:val="20"/>
          <w:szCs w:val="20"/>
        </w:rPr>
        <w:t xml:space="preserve"> </w:t>
      </w:r>
      <w:r w:rsidR="00BA02B8" w:rsidRPr="001723B0">
        <w:rPr>
          <w:rFonts w:ascii="Arial" w:hAnsi="Arial" w:cs="Arial"/>
          <w:bCs/>
          <w:sz w:val="20"/>
          <w:szCs w:val="20"/>
        </w:rPr>
        <w:t>O</w:t>
      </w:r>
      <w:r w:rsidR="00DF4307" w:rsidRPr="001723B0">
        <w:rPr>
          <w:rFonts w:ascii="Arial" w:hAnsi="Arial" w:cs="Arial"/>
          <w:bCs/>
          <w:sz w:val="20"/>
          <w:szCs w:val="20"/>
        </w:rPr>
        <w:t xml:space="preserve">bjęcia Akcji </w:t>
      </w:r>
      <w:r w:rsidR="00BA02B8" w:rsidRPr="001723B0">
        <w:rPr>
          <w:rFonts w:ascii="Arial" w:hAnsi="Arial" w:cs="Arial"/>
          <w:bCs/>
          <w:sz w:val="20"/>
          <w:szCs w:val="20"/>
        </w:rPr>
        <w:t>(zgodnie z definicją poniżej)</w:t>
      </w:r>
      <w:r w:rsidRPr="001723B0">
        <w:rPr>
          <w:rFonts w:ascii="Arial" w:hAnsi="Arial" w:cs="Arial"/>
          <w:color w:val="000000"/>
          <w:sz w:val="20"/>
          <w:szCs w:val="20"/>
        </w:rPr>
        <w:t xml:space="preserve">, w tym przez przedstawicieli ustawowych, pełnomocników lub inne osoby działające w imieniu </w:t>
      </w:r>
      <w:r w:rsidR="00462330">
        <w:rPr>
          <w:rFonts w:ascii="Arial" w:hAnsi="Arial" w:cs="Arial"/>
          <w:color w:val="000000"/>
          <w:sz w:val="20"/>
          <w:szCs w:val="20"/>
        </w:rPr>
        <w:t>I</w:t>
      </w:r>
      <w:r w:rsidRPr="001723B0">
        <w:rPr>
          <w:rFonts w:ascii="Arial" w:hAnsi="Arial" w:cs="Arial"/>
          <w:color w:val="000000"/>
          <w:sz w:val="20"/>
          <w:szCs w:val="20"/>
        </w:rPr>
        <w:t xml:space="preserve">nwestorów; oraz (ii) możliwości </w:t>
      </w:r>
      <w:r w:rsidR="009159B9" w:rsidRPr="001723B0">
        <w:rPr>
          <w:rFonts w:ascii="Arial" w:hAnsi="Arial" w:cs="Arial"/>
          <w:color w:val="000000"/>
          <w:sz w:val="20"/>
          <w:szCs w:val="20"/>
        </w:rPr>
        <w:t xml:space="preserve">składania Deklaracji </w:t>
      </w:r>
      <w:r w:rsidRPr="001723B0">
        <w:rPr>
          <w:rFonts w:ascii="Arial" w:hAnsi="Arial" w:cs="Arial"/>
          <w:color w:val="000000"/>
          <w:sz w:val="20"/>
          <w:szCs w:val="20"/>
        </w:rPr>
        <w:t xml:space="preserve">w innej formie niż pisemna, potencjalni </w:t>
      </w:r>
      <w:r w:rsidR="00462330">
        <w:rPr>
          <w:rFonts w:ascii="Arial" w:hAnsi="Arial" w:cs="Arial"/>
          <w:color w:val="000000"/>
          <w:sz w:val="20"/>
          <w:szCs w:val="20"/>
        </w:rPr>
        <w:t>I</w:t>
      </w:r>
      <w:r w:rsidRPr="001723B0">
        <w:rPr>
          <w:rFonts w:ascii="Arial" w:hAnsi="Arial" w:cs="Arial"/>
          <w:color w:val="000000"/>
          <w:sz w:val="20"/>
          <w:szCs w:val="20"/>
        </w:rPr>
        <w:t>nwestorzy powinni skontaktować się z</w:t>
      </w:r>
      <w:r w:rsidR="00EA50C1" w:rsidRPr="001723B0">
        <w:rPr>
          <w:rFonts w:ascii="Arial" w:hAnsi="Arial" w:cs="Arial"/>
          <w:color w:val="000000"/>
          <w:sz w:val="20"/>
          <w:szCs w:val="20"/>
        </w:rPr>
        <w:t xml:space="preserve"> </w:t>
      </w:r>
      <w:r w:rsidR="00DD3413" w:rsidRPr="001723B0">
        <w:rPr>
          <w:rFonts w:ascii="Arial" w:hAnsi="Arial" w:cs="Arial"/>
          <w:color w:val="000000"/>
          <w:sz w:val="20"/>
          <w:szCs w:val="20"/>
        </w:rPr>
        <w:t>Trigon DM</w:t>
      </w:r>
      <w:r w:rsidRPr="001723B0">
        <w:rPr>
          <w:rFonts w:ascii="Arial" w:hAnsi="Arial" w:cs="Arial"/>
          <w:color w:val="000000"/>
          <w:sz w:val="20"/>
          <w:szCs w:val="20"/>
        </w:rPr>
        <w:t>.</w:t>
      </w:r>
    </w:p>
    <w:p w14:paraId="31FDD2D8" w14:textId="77777777" w:rsidR="009E1D43" w:rsidRPr="001723B0" w:rsidRDefault="00247990">
      <w:pPr>
        <w:spacing w:after="120" w:line="240" w:lineRule="auto"/>
        <w:jc w:val="both"/>
        <w:rPr>
          <w:rFonts w:ascii="Arial" w:hAnsi="Arial" w:cs="Arial"/>
          <w:b/>
          <w:bCs/>
          <w:sz w:val="20"/>
          <w:szCs w:val="20"/>
          <w:u w:val="single"/>
        </w:rPr>
      </w:pPr>
      <w:r w:rsidRPr="001723B0">
        <w:rPr>
          <w:rFonts w:ascii="Arial" w:hAnsi="Arial" w:cs="Arial"/>
          <w:b/>
          <w:bCs/>
          <w:sz w:val="20"/>
          <w:szCs w:val="20"/>
          <w:u w:val="single"/>
        </w:rPr>
        <w:t xml:space="preserve">Wybrane informacje o </w:t>
      </w:r>
      <w:r w:rsidR="009E1D43" w:rsidRPr="001723B0">
        <w:rPr>
          <w:rFonts w:ascii="Arial" w:hAnsi="Arial" w:cs="Arial"/>
          <w:b/>
          <w:bCs/>
          <w:sz w:val="20"/>
          <w:szCs w:val="20"/>
          <w:u w:val="single"/>
        </w:rPr>
        <w:t>Akcj</w:t>
      </w:r>
      <w:r w:rsidRPr="001723B0">
        <w:rPr>
          <w:rFonts w:ascii="Arial" w:hAnsi="Arial" w:cs="Arial"/>
          <w:b/>
          <w:bCs/>
          <w:sz w:val="20"/>
          <w:szCs w:val="20"/>
          <w:u w:val="single"/>
        </w:rPr>
        <w:t>ach</w:t>
      </w:r>
      <w:r w:rsidR="00B84201" w:rsidRPr="001723B0">
        <w:rPr>
          <w:rFonts w:ascii="Arial" w:hAnsi="Arial" w:cs="Arial"/>
          <w:b/>
          <w:bCs/>
          <w:sz w:val="20"/>
          <w:szCs w:val="20"/>
          <w:u w:val="single"/>
        </w:rPr>
        <w:t xml:space="preserve"> </w:t>
      </w:r>
      <w:r w:rsidR="009E1D43" w:rsidRPr="001723B0">
        <w:rPr>
          <w:rFonts w:ascii="Arial" w:hAnsi="Arial" w:cs="Arial"/>
          <w:b/>
          <w:bCs/>
          <w:sz w:val="20"/>
          <w:szCs w:val="20"/>
          <w:u w:val="single"/>
        </w:rPr>
        <w:t>Oferowan</w:t>
      </w:r>
      <w:r w:rsidR="00B84201" w:rsidRPr="001723B0">
        <w:rPr>
          <w:rFonts w:ascii="Arial" w:hAnsi="Arial" w:cs="Arial"/>
          <w:b/>
          <w:bCs/>
          <w:sz w:val="20"/>
          <w:szCs w:val="20"/>
          <w:u w:val="single"/>
        </w:rPr>
        <w:t>ych</w:t>
      </w:r>
    </w:p>
    <w:p w14:paraId="718E8946" w14:textId="77777777" w:rsidR="00A5581A" w:rsidRPr="001723B0" w:rsidRDefault="00552F46" w:rsidP="00074294">
      <w:pPr>
        <w:jc w:val="both"/>
        <w:rPr>
          <w:rFonts w:ascii="Arial" w:hAnsi="Arial" w:cs="Arial"/>
          <w:color w:val="000000"/>
          <w:sz w:val="20"/>
          <w:szCs w:val="20"/>
        </w:rPr>
      </w:pPr>
      <w:r>
        <w:rPr>
          <w:rFonts w:ascii="Arial" w:hAnsi="Arial" w:cs="Arial"/>
          <w:color w:val="000000"/>
          <w:sz w:val="20"/>
          <w:szCs w:val="20"/>
        </w:rPr>
        <w:t xml:space="preserve">Z zastrzeżeniem wyników </w:t>
      </w:r>
      <w:r w:rsidRPr="001723B0">
        <w:rPr>
          <w:rFonts w:ascii="Arial" w:hAnsi="Arial" w:cs="Arial"/>
          <w:color w:val="000000"/>
          <w:sz w:val="20"/>
          <w:szCs w:val="20"/>
        </w:rPr>
        <w:t xml:space="preserve">Procesu Budowania Księgi Popytu </w:t>
      </w:r>
      <w:r>
        <w:rPr>
          <w:rFonts w:ascii="Arial" w:hAnsi="Arial" w:cs="Arial"/>
          <w:color w:val="000000"/>
          <w:sz w:val="20"/>
          <w:szCs w:val="20"/>
        </w:rPr>
        <w:t>Emitent przewiduje, że w przypadku podjęcia decyzji o przeprowadzeniu Oferty Emitent za</w:t>
      </w:r>
      <w:r w:rsidR="009E1D43" w:rsidRPr="001723B0">
        <w:rPr>
          <w:rFonts w:ascii="Arial" w:hAnsi="Arial" w:cs="Arial"/>
          <w:color w:val="000000"/>
          <w:sz w:val="20"/>
          <w:szCs w:val="20"/>
        </w:rPr>
        <w:t>oferuje do objęcia</w:t>
      </w:r>
      <w:r w:rsidR="00B84201" w:rsidRPr="001723B0">
        <w:rPr>
          <w:rFonts w:ascii="Arial" w:hAnsi="Arial" w:cs="Arial"/>
          <w:color w:val="000000"/>
          <w:sz w:val="20"/>
          <w:szCs w:val="20"/>
        </w:rPr>
        <w:t xml:space="preserve"> nie mniej niż </w:t>
      </w:r>
      <w:r w:rsidR="00A5581A" w:rsidRPr="001723B0">
        <w:rPr>
          <w:rFonts w:ascii="Arial" w:hAnsi="Arial" w:cs="Arial"/>
          <w:color w:val="000000"/>
          <w:sz w:val="20"/>
          <w:szCs w:val="20"/>
        </w:rPr>
        <w:t xml:space="preserve">1 i nie więcej niż </w:t>
      </w:r>
      <w:r w:rsidR="00A527E9" w:rsidRPr="00B22BA6">
        <w:rPr>
          <w:rFonts w:ascii="Arial" w:hAnsi="Arial" w:cs="Arial"/>
          <w:color w:val="000000"/>
          <w:sz w:val="20"/>
          <w:szCs w:val="20"/>
        </w:rPr>
        <w:t>4.112.081</w:t>
      </w:r>
      <w:r w:rsidR="00A527E9">
        <w:rPr>
          <w:rFonts w:ascii="Arial" w:hAnsi="Arial" w:cs="Arial"/>
          <w:color w:val="000000"/>
          <w:sz w:val="20"/>
          <w:szCs w:val="20"/>
        </w:rPr>
        <w:t xml:space="preserve"> </w:t>
      </w:r>
      <w:r w:rsidR="00D76E10" w:rsidRPr="001723B0">
        <w:rPr>
          <w:rFonts w:ascii="Arial" w:hAnsi="Arial" w:cs="Arial"/>
          <w:color w:val="000000"/>
          <w:sz w:val="20"/>
          <w:szCs w:val="20"/>
        </w:rPr>
        <w:t>Akcji Oferowanych</w:t>
      </w:r>
      <w:r w:rsidR="00AD3CE6" w:rsidRPr="00074294">
        <w:rPr>
          <w:rFonts w:ascii="Arial" w:hAnsi="Arial" w:cs="Arial"/>
          <w:color w:val="000000"/>
          <w:sz w:val="20"/>
          <w:szCs w:val="20"/>
        </w:rPr>
        <w:t>.</w:t>
      </w:r>
    </w:p>
    <w:p w14:paraId="04353659" w14:textId="77777777" w:rsidR="002E592B" w:rsidRPr="001723B0" w:rsidRDefault="009E1D43" w:rsidP="00074294">
      <w:pPr>
        <w:jc w:val="both"/>
        <w:rPr>
          <w:rFonts w:ascii="Arial" w:hAnsi="Arial" w:cs="Arial"/>
          <w:color w:val="000000"/>
          <w:sz w:val="20"/>
          <w:szCs w:val="20"/>
        </w:rPr>
      </w:pPr>
      <w:r w:rsidRPr="001723B0">
        <w:rPr>
          <w:rFonts w:ascii="Arial" w:hAnsi="Arial" w:cs="Arial"/>
          <w:color w:val="000000"/>
          <w:sz w:val="20"/>
          <w:szCs w:val="20"/>
        </w:rPr>
        <w:t xml:space="preserve">Akcje Oferowane mogą być </w:t>
      </w:r>
      <w:r w:rsidR="00B84201" w:rsidRPr="001723B0">
        <w:rPr>
          <w:rFonts w:ascii="Arial" w:hAnsi="Arial" w:cs="Arial"/>
          <w:color w:val="000000"/>
          <w:sz w:val="20"/>
          <w:szCs w:val="20"/>
        </w:rPr>
        <w:t>obejmowane wyłącznie za wkłady pieniężne</w:t>
      </w:r>
      <w:r w:rsidRPr="001723B0">
        <w:rPr>
          <w:rFonts w:ascii="Arial" w:hAnsi="Arial" w:cs="Arial"/>
          <w:color w:val="000000"/>
          <w:sz w:val="20"/>
          <w:szCs w:val="20"/>
        </w:rPr>
        <w:t>.</w:t>
      </w:r>
    </w:p>
    <w:p w14:paraId="0872A7D0" w14:textId="1734D79B" w:rsidR="009E1D43" w:rsidRPr="001723B0" w:rsidRDefault="00B84201" w:rsidP="00074294">
      <w:pPr>
        <w:jc w:val="both"/>
        <w:rPr>
          <w:rFonts w:ascii="Arial" w:hAnsi="Arial" w:cs="Arial"/>
          <w:color w:val="000000"/>
          <w:sz w:val="20"/>
          <w:szCs w:val="20"/>
        </w:rPr>
      </w:pPr>
      <w:r w:rsidRPr="001723B0">
        <w:rPr>
          <w:rFonts w:ascii="Arial" w:hAnsi="Arial" w:cs="Arial"/>
          <w:color w:val="000000"/>
          <w:sz w:val="20"/>
          <w:szCs w:val="20"/>
        </w:rPr>
        <w:t xml:space="preserve">Akcje </w:t>
      </w:r>
      <w:r w:rsidR="001870FA" w:rsidRPr="001723B0">
        <w:rPr>
          <w:rFonts w:ascii="Arial" w:hAnsi="Arial" w:cs="Arial"/>
          <w:color w:val="000000"/>
          <w:sz w:val="20"/>
          <w:szCs w:val="20"/>
        </w:rPr>
        <w:t xml:space="preserve">Serii </w:t>
      </w:r>
      <w:r w:rsidR="00A527E9">
        <w:rPr>
          <w:rFonts w:ascii="Arial" w:hAnsi="Arial" w:cs="Arial"/>
          <w:color w:val="000000"/>
          <w:sz w:val="20"/>
          <w:szCs w:val="20"/>
        </w:rPr>
        <w:t>I</w:t>
      </w:r>
      <w:r w:rsidR="000868D7" w:rsidRPr="001723B0">
        <w:rPr>
          <w:rFonts w:ascii="Arial" w:hAnsi="Arial" w:cs="Arial"/>
          <w:color w:val="000000"/>
          <w:sz w:val="20"/>
          <w:szCs w:val="20"/>
        </w:rPr>
        <w:t xml:space="preserve"> </w:t>
      </w:r>
      <w:r w:rsidRPr="001723B0">
        <w:rPr>
          <w:rFonts w:ascii="Arial" w:hAnsi="Arial" w:cs="Arial"/>
          <w:color w:val="000000"/>
          <w:sz w:val="20"/>
          <w:szCs w:val="20"/>
        </w:rPr>
        <w:t>będą oferowane przez Emitenta w</w:t>
      </w:r>
      <w:r w:rsidR="008C6237" w:rsidRPr="001723B0">
        <w:rPr>
          <w:rFonts w:ascii="Arial" w:hAnsi="Arial" w:cs="Arial"/>
          <w:color w:val="000000"/>
          <w:sz w:val="20"/>
          <w:szCs w:val="20"/>
        </w:rPr>
        <w:t xml:space="preserve"> </w:t>
      </w:r>
      <w:r w:rsidRPr="001723B0">
        <w:rPr>
          <w:rFonts w:ascii="Arial" w:hAnsi="Arial" w:cs="Arial"/>
          <w:color w:val="000000"/>
          <w:sz w:val="20"/>
          <w:szCs w:val="20"/>
        </w:rPr>
        <w:t xml:space="preserve">całości za pośrednictwem </w:t>
      </w:r>
      <w:r w:rsidR="00DD3413" w:rsidRPr="001723B0">
        <w:rPr>
          <w:rFonts w:ascii="Arial" w:hAnsi="Arial" w:cs="Arial"/>
          <w:color w:val="000000"/>
          <w:sz w:val="20"/>
          <w:szCs w:val="20"/>
        </w:rPr>
        <w:t>Trigon DM</w:t>
      </w:r>
      <w:r w:rsidRPr="001723B0">
        <w:rPr>
          <w:rFonts w:ascii="Arial" w:hAnsi="Arial" w:cs="Arial"/>
          <w:color w:val="000000"/>
          <w:sz w:val="20"/>
          <w:szCs w:val="20"/>
        </w:rPr>
        <w:t xml:space="preserve">. Cena </w:t>
      </w:r>
      <w:r w:rsidR="00382A81" w:rsidRPr="001723B0">
        <w:rPr>
          <w:rFonts w:ascii="Arial" w:hAnsi="Arial" w:cs="Arial"/>
          <w:color w:val="000000"/>
          <w:sz w:val="20"/>
          <w:szCs w:val="20"/>
        </w:rPr>
        <w:t>Emisyjna</w:t>
      </w:r>
      <w:r w:rsidR="002E592B" w:rsidRPr="001723B0">
        <w:rPr>
          <w:rFonts w:ascii="Arial" w:hAnsi="Arial" w:cs="Arial"/>
          <w:color w:val="000000"/>
          <w:sz w:val="20"/>
          <w:szCs w:val="20"/>
        </w:rPr>
        <w:t xml:space="preserve"> </w:t>
      </w:r>
      <w:r w:rsidRPr="001723B0">
        <w:rPr>
          <w:rFonts w:ascii="Arial" w:hAnsi="Arial" w:cs="Arial"/>
          <w:color w:val="000000"/>
          <w:sz w:val="20"/>
          <w:szCs w:val="20"/>
        </w:rPr>
        <w:t>zostanie określona przez Zarząd</w:t>
      </w:r>
      <w:r w:rsidR="00FF36D8">
        <w:rPr>
          <w:rFonts w:ascii="Arial" w:hAnsi="Arial" w:cs="Arial"/>
          <w:color w:val="000000"/>
          <w:sz w:val="20"/>
          <w:szCs w:val="20"/>
        </w:rPr>
        <w:t xml:space="preserve"> na poziomie nie niższym niż 4,00 PLN za jedną Akcję Serii I</w:t>
      </w:r>
      <w:r w:rsidRPr="001723B0">
        <w:rPr>
          <w:rFonts w:ascii="Arial" w:hAnsi="Arial" w:cs="Arial"/>
          <w:color w:val="000000"/>
          <w:sz w:val="20"/>
          <w:szCs w:val="20"/>
        </w:rPr>
        <w:t xml:space="preserve">, z uwzględnieniem wyników </w:t>
      </w:r>
      <w:r w:rsidR="00F86CA9" w:rsidRPr="001723B0">
        <w:rPr>
          <w:rFonts w:ascii="Arial" w:hAnsi="Arial" w:cs="Arial"/>
          <w:color w:val="000000"/>
          <w:sz w:val="20"/>
          <w:szCs w:val="20"/>
        </w:rPr>
        <w:t>P</w:t>
      </w:r>
      <w:r w:rsidR="006D3C03" w:rsidRPr="001723B0">
        <w:rPr>
          <w:rFonts w:ascii="Arial" w:hAnsi="Arial" w:cs="Arial"/>
          <w:color w:val="000000"/>
          <w:sz w:val="20"/>
          <w:szCs w:val="20"/>
        </w:rPr>
        <w:t>rocesu Budowania Księgi Popytu</w:t>
      </w:r>
      <w:r w:rsidRPr="001723B0">
        <w:rPr>
          <w:rFonts w:ascii="Arial" w:hAnsi="Arial" w:cs="Arial"/>
          <w:color w:val="000000"/>
          <w:sz w:val="20"/>
          <w:szCs w:val="20"/>
        </w:rPr>
        <w:t>.</w:t>
      </w:r>
    </w:p>
    <w:p w14:paraId="319C81DF" w14:textId="77777777" w:rsidR="009E1D43" w:rsidRPr="001723B0" w:rsidRDefault="009E1D43" w:rsidP="00074294">
      <w:pPr>
        <w:jc w:val="both"/>
        <w:rPr>
          <w:rFonts w:ascii="Arial" w:hAnsi="Arial" w:cs="Arial"/>
          <w:color w:val="000000"/>
          <w:sz w:val="20"/>
          <w:szCs w:val="20"/>
        </w:rPr>
      </w:pPr>
      <w:r w:rsidRPr="001723B0">
        <w:rPr>
          <w:rFonts w:ascii="Arial" w:hAnsi="Arial" w:cs="Arial"/>
          <w:color w:val="000000"/>
          <w:sz w:val="20"/>
          <w:szCs w:val="20"/>
        </w:rPr>
        <w:t xml:space="preserve">Akcje </w:t>
      </w:r>
      <w:r w:rsidR="001870FA" w:rsidRPr="001723B0">
        <w:rPr>
          <w:rFonts w:ascii="Arial" w:hAnsi="Arial" w:cs="Arial"/>
          <w:color w:val="000000"/>
          <w:sz w:val="20"/>
          <w:szCs w:val="20"/>
        </w:rPr>
        <w:t xml:space="preserve">Serii </w:t>
      </w:r>
      <w:r w:rsidR="00A527E9">
        <w:rPr>
          <w:rFonts w:ascii="Arial" w:hAnsi="Arial" w:cs="Arial"/>
          <w:color w:val="000000"/>
          <w:sz w:val="20"/>
          <w:szCs w:val="20"/>
        </w:rPr>
        <w:t>I</w:t>
      </w:r>
      <w:r w:rsidR="002E592B" w:rsidRPr="001723B0">
        <w:rPr>
          <w:rFonts w:ascii="Arial" w:hAnsi="Arial" w:cs="Arial"/>
          <w:color w:val="000000"/>
          <w:sz w:val="20"/>
          <w:szCs w:val="20"/>
        </w:rPr>
        <w:t xml:space="preserve"> </w:t>
      </w:r>
      <w:r w:rsidRPr="001723B0">
        <w:rPr>
          <w:rFonts w:ascii="Arial" w:hAnsi="Arial" w:cs="Arial"/>
          <w:color w:val="000000"/>
          <w:sz w:val="20"/>
          <w:szCs w:val="20"/>
        </w:rPr>
        <w:t>będą uczestniczyć w dywidendzie na następujących warunkach:</w:t>
      </w:r>
    </w:p>
    <w:p w14:paraId="5C2F2166" w14:textId="77777777" w:rsidR="008B4CCA" w:rsidRPr="001723B0" w:rsidRDefault="00DD3413" w:rsidP="00DD3413">
      <w:pPr>
        <w:numPr>
          <w:ilvl w:val="0"/>
          <w:numId w:val="16"/>
        </w:numPr>
        <w:autoSpaceDE w:val="0"/>
        <w:autoSpaceDN w:val="0"/>
        <w:adjustRightInd w:val="0"/>
        <w:spacing w:after="120" w:line="240" w:lineRule="auto"/>
        <w:jc w:val="both"/>
        <w:rPr>
          <w:rFonts w:ascii="Arial" w:hAnsi="Arial" w:cs="Arial"/>
          <w:color w:val="000000"/>
          <w:sz w:val="20"/>
          <w:szCs w:val="20"/>
        </w:rPr>
      </w:pPr>
      <w:r w:rsidRPr="001723B0">
        <w:rPr>
          <w:rFonts w:ascii="Arial" w:hAnsi="Arial" w:cs="Arial"/>
          <w:sz w:val="20"/>
          <w:szCs w:val="20"/>
        </w:rPr>
        <w:t xml:space="preserve">Akcje Oferowane zapisane po raz pierwszy na rachunku papierów wartościowych najpóźniej w dniu dywidendy ustalonym w uchwale Walnego Zgromadzenia w sprawie podziału zysku, uczestniczą w dywidendzie począwszy od zysku za poprzedni rok obrotowy, tzn. od dnia 1 stycznia roku </w:t>
      </w:r>
      <w:r w:rsidRPr="001723B0">
        <w:rPr>
          <w:rFonts w:ascii="Arial" w:hAnsi="Arial" w:cs="Arial"/>
          <w:sz w:val="20"/>
          <w:szCs w:val="20"/>
        </w:rPr>
        <w:lastRenderedPageBreak/>
        <w:t>obrotowego poprzedzającego bezpośrednio rok, w którym te akcje zostały zapisane po raz pierwszy na rachunku papierów wartościowych</w:t>
      </w:r>
      <w:r w:rsidR="008B4CCA" w:rsidRPr="001723B0">
        <w:rPr>
          <w:rFonts w:ascii="Arial" w:hAnsi="Arial" w:cs="Arial"/>
          <w:color w:val="000000"/>
          <w:sz w:val="20"/>
          <w:szCs w:val="20"/>
        </w:rPr>
        <w:t>;</w:t>
      </w:r>
    </w:p>
    <w:p w14:paraId="17213AA5" w14:textId="77777777" w:rsidR="002E592B" w:rsidRPr="001723B0" w:rsidRDefault="00DD3413" w:rsidP="00DD3413">
      <w:pPr>
        <w:numPr>
          <w:ilvl w:val="0"/>
          <w:numId w:val="16"/>
        </w:numPr>
        <w:autoSpaceDE w:val="0"/>
        <w:autoSpaceDN w:val="0"/>
        <w:adjustRightInd w:val="0"/>
        <w:spacing w:after="120" w:line="240" w:lineRule="auto"/>
        <w:jc w:val="both"/>
        <w:rPr>
          <w:rFonts w:ascii="Arial" w:hAnsi="Arial" w:cs="Arial"/>
          <w:color w:val="000000"/>
          <w:sz w:val="20"/>
          <w:szCs w:val="20"/>
        </w:rPr>
      </w:pPr>
      <w:r w:rsidRPr="001723B0">
        <w:rPr>
          <w:rFonts w:ascii="Arial" w:hAnsi="Arial" w:cs="Arial"/>
          <w:sz w:val="20"/>
          <w:szCs w:val="20"/>
        </w:rPr>
        <w:t>Akcje Oferowane zapisane po raz pierwszy na rachunku papierów wartościowych w dniu przypadającym po dniu dywidendy ustalonym w uchwale Walnego Zgromadzenia w sprawie podziału zysku, uczestniczą w dywidendzie począwszy od zysku za rok obrotowy, w którym te akcje zostały zapisane po raz pierwszy na rachunku papierów wartościowych, tzn. od dnia 1 stycznia tego roku obrotowego</w:t>
      </w:r>
      <w:r w:rsidR="00074294">
        <w:rPr>
          <w:rFonts w:ascii="Arial" w:hAnsi="Arial" w:cs="Arial"/>
          <w:sz w:val="20"/>
          <w:szCs w:val="20"/>
        </w:rPr>
        <w:t>.</w:t>
      </w:r>
    </w:p>
    <w:p w14:paraId="70D397B1" w14:textId="77777777" w:rsidR="002E592B" w:rsidRPr="001723B0" w:rsidRDefault="002E592B" w:rsidP="00074294">
      <w:pPr>
        <w:jc w:val="both"/>
        <w:rPr>
          <w:rFonts w:ascii="Arial" w:hAnsi="Arial" w:cs="Arial"/>
          <w:color w:val="000000"/>
          <w:sz w:val="20"/>
          <w:szCs w:val="20"/>
        </w:rPr>
      </w:pPr>
      <w:r w:rsidRPr="001723B0">
        <w:rPr>
          <w:rFonts w:ascii="Arial" w:hAnsi="Arial" w:cs="Arial"/>
          <w:color w:val="000000"/>
          <w:sz w:val="20"/>
          <w:szCs w:val="20"/>
        </w:rPr>
        <w:t xml:space="preserve">Akcje </w:t>
      </w:r>
      <w:r w:rsidR="001870FA" w:rsidRPr="001723B0">
        <w:rPr>
          <w:rFonts w:ascii="Arial" w:hAnsi="Arial" w:cs="Arial"/>
          <w:color w:val="000000"/>
          <w:sz w:val="20"/>
          <w:szCs w:val="20"/>
        </w:rPr>
        <w:t xml:space="preserve">Serii </w:t>
      </w:r>
      <w:r w:rsidR="00A527E9">
        <w:rPr>
          <w:rFonts w:ascii="Arial" w:hAnsi="Arial" w:cs="Arial"/>
          <w:color w:val="000000"/>
          <w:sz w:val="20"/>
          <w:szCs w:val="20"/>
        </w:rPr>
        <w:t>I</w:t>
      </w:r>
      <w:r w:rsidRPr="001723B0">
        <w:rPr>
          <w:rFonts w:ascii="Arial" w:hAnsi="Arial" w:cs="Arial"/>
          <w:color w:val="000000"/>
          <w:sz w:val="20"/>
          <w:szCs w:val="20"/>
        </w:rPr>
        <w:t xml:space="preserve"> będą podlegać dematerializacji w rozumieniu właściwych przepisów prawa, w szczególności przepisów </w:t>
      </w:r>
      <w:r w:rsidR="00DF7590" w:rsidRPr="001723B0">
        <w:rPr>
          <w:rFonts w:ascii="Arial" w:hAnsi="Arial" w:cs="Arial"/>
          <w:color w:val="000000"/>
          <w:sz w:val="20"/>
          <w:szCs w:val="20"/>
        </w:rPr>
        <w:t>ustawy z dnia 29 lipca 2005 r. o obrocie instrumentami finansowymi („</w:t>
      </w:r>
      <w:r w:rsidR="00DF7590" w:rsidRPr="001723B0">
        <w:rPr>
          <w:rFonts w:ascii="Arial" w:hAnsi="Arial" w:cs="Arial"/>
          <w:b/>
          <w:bCs/>
          <w:color w:val="000000"/>
          <w:sz w:val="20"/>
          <w:szCs w:val="20"/>
        </w:rPr>
        <w:t xml:space="preserve">Ustawa </w:t>
      </w:r>
      <w:r w:rsidRPr="001723B0">
        <w:rPr>
          <w:rFonts w:ascii="Arial" w:hAnsi="Arial" w:cs="Arial"/>
          <w:b/>
          <w:bCs/>
          <w:color w:val="000000"/>
          <w:sz w:val="20"/>
          <w:szCs w:val="20"/>
        </w:rPr>
        <w:t>o Obrocie Instrumentami Finansowymi</w:t>
      </w:r>
      <w:r w:rsidR="00DF7590" w:rsidRPr="001723B0">
        <w:rPr>
          <w:rFonts w:ascii="Arial" w:hAnsi="Arial" w:cs="Arial"/>
          <w:color w:val="000000"/>
          <w:sz w:val="20"/>
          <w:szCs w:val="20"/>
        </w:rPr>
        <w:t>”)</w:t>
      </w:r>
      <w:r w:rsidRPr="001723B0">
        <w:rPr>
          <w:rFonts w:ascii="Arial" w:hAnsi="Arial" w:cs="Arial"/>
          <w:color w:val="000000"/>
          <w:sz w:val="20"/>
          <w:szCs w:val="20"/>
        </w:rPr>
        <w:t xml:space="preserve"> oraz zostaną zarejestrowane w</w:t>
      </w:r>
      <w:r w:rsidR="00B3661E" w:rsidRPr="001723B0">
        <w:rPr>
          <w:rFonts w:ascii="Arial" w:hAnsi="Arial" w:cs="Arial"/>
          <w:color w:val="000000"/>
          <w:sz w:val="20"/>
          <w:szCs w:val="20"/>
        </w:rPr>
        <w:t> </w:t>
      </w:r>
      <w:r w:rsidRPr="001723B0">
        <w:rPr>
          <w:rFonts w:ascii="Arial" w:hAnsi="Arial" w:cs="Arial"/>
          <w:color w:val="000000"/>
          <w:sz w:val="20"/>
          <w:szCs w:val="20"/>
        </w:rPr>
        <w:t xml:space="preserve">depozycie papierów wartościowych, prowadzonym przez </w:t>
      </w:r>
      <w:r w:rsidR="004F3415" w:rsidRPr="001723B0">
        <w:rPr>
          <w:rFonts w:ascii="Arial" w:hAnsi="Arial" w:cs="Arial"/>
          <w:color w:val="000000"/>
          <w:sz w:val="20"/>
          <w:szCs w:val="20"/>
        </w:rPr>
        <w:t>Krajowy Depozy</w:t>
      </w:r>
      <w:r w:rsidRPr="001723B0">
        <w:rPr>
          <w:rFonts w:ascii="Arial" w:hAnsi="Arial" w:cs="Arial"/>
          <w:color w:val="000000"/>
          <w:sz w:val="20"/>
          <w:szCs w:val="20"/>
        </w:rPr>
        <w:t>t</w:t>
      </w:r>
      <w:r w:rsidR="004F3415" w:rsidRPr="001723B0">
        <w:rPr>
          <w:rFonts w:ascii="Arial" w:hAnsi="Arial" w:cs="Arial"/>
          <w:color w:val="000000"/>
          <w:sz w:val="20"/>
          <w:szCs w:val="20"/>
        </w:rPr>
        <w:t xml:space="preserve"> Papierów Wartościowych</w:t>
      </w:r>
      <w:r w:rsidR="00795CF5" w:rsidRPr="001723B0">
        <w:rPr>
          <w:rFonts w:ascii="Arial" w:hAnsi="Arial" w:cs="Arial"/>
          <w:color w:val="000000"/>
          <w:sz w:val="20"/>
          <w:szCs w:val="20"/>
        </w:rPr>
        <w:t xml:space="preserve"> S.A.</w:t>
      </w:r>
      <w:r w:rsidR="004F3415" w:rsidRPr="001723B0">
        <w:rPr>
          <w:rFonts w:ascii="Arial" w:hAnsi="Arial" w:cs="Arial"/>
          <w:color w:val="000000"/>
          <w:sz w:val="20"/>
          <w:szCs w:val="20"/>
        </w:rPr>
        <w:t xml:space="preserve"> („</w:t>
      </w:r>
      <w:r w:rsidR="00894BF3" w:rsidRPr="001723B0">
        <w:rPr>
          <w:rFonts w:ascii="Arial" w:hAnsi="Arial" w:cs="Arial"/>
          <w:b/>
          <w:color w:val="000000"/>
          <w:sz w:val="20"/>
          <w:szCs w:val="20"/>
        </w:rPr>
        <w:t>KDPW</w:t>
      </w:r>
      <w:r w:rsidR="004F3415" w:rsidRPr="001723B0">
        <w:rPr>
          <w:rFonts w:ascii="Arial" w:hAnsi="Arial" w:cs="Arial"/>
          <w:color w:val="000000"/>
          <w:sz w:val="20"/>
          <w:szCs w:val="20"/>
        </w:rPr>
        <w:t>”)</w:t>
      </w:r>
      <w:r w:rsidR="009159B9" w:rsidRPr="001723B0">
        <w:rPr>
          <w:rFonts w:ascii="Arial" w:hAnsi="Arial" w:cs="Arial"/>
          <w:color w:val="000000"/>
          <w:sz w:val="20"/>
          <w:szCs w:val="20"/>
        </w:rPr>
        <w:t>,</w:t>
      </w:r>
      <w:r w:rsidR="004D1AC2" w:rsidRPr="001723B0">
        <w:rPr>
          <w:rFonts w:ascii="Arial" w:hAnsi="Arial" w:cs="Arial"/>
          <w:color w:val="000000"/>
          <w:sz w:val="20"/>
          <w:szCs w:val="20"/>
        </w:rPr>
        <w:t xml:space="preserve"> dlatego </w:t>
      </w:r>
      <w:r w:rsidR="00462330">
        <w:rPr>
          <w:rFonts w:ascii="Arial" w:hAnsi="Arial" w:cs="Arial"/>
          <w:color w:val="000000"/>
          <w:sz w:val="20"/>
          <w:szCs w:val="20"/>
        </w:rPr>
        <w:t>I</w:t>
      </w:r>
      <w:r w:rsidR="004D1AC2" w:rsidRPr="001723B0">
        <w:rPr>
          <w:rFonts w:ascii="Arial" w:hAnsi="Arial" w:cs="Arial"/>
          <w:color w:val="000000"/>
          <w:sz w:val="20"/>
          <w:szCs w:val="20"/>
        </w:rPr>
        <w:t>nwestorzy zainteresowani objęciem Akcji Oferowany</w:t>
      </w:r>
      <w:r w:rsidR="00B51ADD" w:rsidRPr="001723B0">
        <w:rPr>
          <w:rFonts w:ascii="Arial" w:hAnsi="Arial" w:cs="Arial"/>
          <w:color w:val="000000"/>
          <w:sz w:val="20"/>
          <w:szCs w:val="20"/>
        </w:rPr>
        <w:t>ch</w:t>
      </w:r>
      <w:r w:rsidR="004D1AC2" w:rsidRPr="001723B0">
        <w:rPr>
          <w:rFonts w:ascii="Arial" w:hAnsi="Arial" w:cs="Arial"/>
          <w:color w:val="000000"/>
          <w:sz w:val="20"/>
          <w:szCs w:val="20"/>
        </w:rPr>
        <w:t xml:space="preserve"> powinni posiadać rachunki papierów wartościowych</w:t>
      </w:r>
      <w:r w:rsidRPr="001723B0">
        <w:rPr>
          <w:rFonts w:ascii="Arial" w:hAnsi="Arial" w:cs="Arial"/>
          <w:color w:val="000000"/>
          <w:sz w:val="20"/>
          <w:szCs w:val="20"/>
        </w:rPr>
        <w:t>.</w:t>
      </w:r>
    </w:p>
    <w:p w14:paraId="006F53A5" w14:textId="77777777" w:rsidR="00B509A8" w:rsidRPr="001723B0" w:rsidRDefault="00B509A8" w:rsidP="000868D7">
      <w:pPr>
        <w:keepNext/>
        <w:spacing w:after="120" w:line="240" w:lineRule="auto"/>
        <w:jc w:val="both"/>
        <w:rPr>
          <w:rFonts w:ascii="Arial" w:hAnsi="Arial" w:cs="Arial"/>
          <w:b/>
          <w:bCs/>
          <w:sz w:val="20"/>
          <w:szCs w:val="20"/>
          <w:u w:val="single"/>
        </w:rPr>
      </w:pPr>
      <w:r w:rsidRPr="001723B0">
        <w:rPr>
          <w:rFonts w:ascii="Arial" w:hAnsi="Arial" w:cs="Arial"/>
          <w:b/>
          <w:bCs/>
          <w:sz w:val="20"/>
          <w:szCs w:val="20"/>
          <w:u w:val="single"/>
        </w:rPr>
        <w:t xml:space="preserve">Przebieg </w:t>
      </w:r>
      <w:r w:rsidR="00F86CA9" w:rsidRPr="001723B0">
        <w:rPr>
          <w:rFonts w:ascii="Arial" w:hAnsi="Arial" w:cs="Arial"/>
          <w:b/>
          <w:bCs/>
          <w:sz w:val="20"/>
          <w:szCs w:val="20"/>
          <w:u w:val="single"/>
        </w:rPr>
        <w:t>P</w:t>
      </w:r>
      <w:r w:rsidRPr="001723B0">
        <w:rPr>
          <w:rFonts w:ascii="Arial" w:hAnsi="Arial" w:cs="Arial"/>
          <w:b/>
          <w:bCs/>
          <w:sz w:val="20"/>
          <w:szCs w:val="20"/>
          <w:u w:val="single"/>
        </w:rPr>
        <w:t xml:space="preserve">rocesu </w:t>
      </w:r>
      <w:r w:rsidR="006D3C03" w:rsidRPr="001723B0">
        <w:rPr>
          <w:rFonts w:ascii="Arial" w:hAnsi="Arial" w:cs="Arial"/>
          <w:b/>
          <w:bCs/>
          <w:color w:val="000000"/>
          <w:sz w:val="20"/>
          <w:szCs w:val="20"/>
          <w:u w:val="single"/>
        </w:rPr>
        <w:t>Budowania Księgi Popytu</w:t>
      </w:r>
      <w:r w:rsidR="006D3C03" w:rsidRPr="001723B0">
        <w:rPr>
          <w:rFonts w:ascii="Arial" w:hAnsi="Arial" w:cs="Arial"/>
          <w:b/>
          <w:bCs/>
          <w:sz w:val="20"/>
          <w:szCs w:val="20"/>
          <w:u w:val="single"/>
        </w:rPr>
        <w:t xml:space="preserve"> </w:t>
      </w:r>
    </w:p>
    <w:p w14:paraId="49E89B9C" w14:textId="40B818B6" w:rsidR="003170E4" w:rsidRPr="001723B0" w:rsidRDefault="00B509A8" w:rsidP="00074294">
      <w:pPr>
        <w:jc w:val="both"/>
        <w:rPr>
          <w:rFonts w:ascii="Arial" w:hAnsi="Arial" w:cs="Arial"/>
          <w:color w:val="000000"/>
          <w:sz w:val="20"/>
          <w:szCs w:val="20"/>
        </w:rPr>
      </w:pPr>
      <w:r w:rsidRPr="001723B0">
        <w:rPr>
          <w:rFonts w:ascii="Arial" w:hAnsi="Arial" w:cs="Arial"/>
          <w:color w:val="000000"/>
          <w:sz w:val="20"/>
          <w:szCs w:val="20"/>
        </w:rPr>
        <w:t xml:space="preserve">Oferta zostanie przeprowadzona </w:t>
      </w:r>
      <w:r w:rsidR="00DD3413" w:rsidRPr="001723B0">
        <w:rPr>
          <w:rFonts w:ascii="Arial" w:hAnsi="Arial" w:cs="Arial"/>
          <w:color w:val="000000"/>
          <w:sz w:val="20"/>
          <w:szCs w:val="20"/>
        </w:rPr>
        <w:t>po przeprowadzeniu</w:t>
      </w:r>
      <w:r w:rsidRPr="001723B0">
        <w:rPr>
          <w:rFonts w:ascii="Arial" w:hAnsi="Arial" w:cs="Arial"/>
          <w:color w:val="000000"/>
          <w:sz w:val="20"/>
          <w:szCs w:val="20"/>
        </w:rPr>
        <w:t xml:space="preserve"> </w:t>
      </w:r>
      <w:r w:rsidR="00926594" w:rsidRPr="001723B0">
        <w:rPr>
          <w:rFonts w:ascii="Arial" w:hAnsi="Arial" w:cs="Arial"/>
          <w:color w:val="000000"/>
          <w:sz w:val="20"/>
          <w:szCs w:val="20"/>
        </w:rPr>
        <w:t xml:space="preserve">i w oparciu o wyniki </w:t>
      </w:r>
      <w:r w:rsidR="00F86CA9" w:rsidRPr="001723B0">
        <w:rPr>
          <w:rFonts w:ascii="Arial" w:hAnsi="Arial" w:cs="Arial"/>
          <w:color w:val="000000"/>
          <w:sz w:val="20"/>
          <w:szCs w:val="20"/>
        </w:rPr>
        <w:t>P</w:t>
      </w:r>
      <w:r w:rsidR="006D3C03" w:rsidRPr="001723B0">
        <w:rPr>
          <w:rFonts w:ascii="Arial" w:hAnsi="Arial" w:cs="Arial"/>
          <w:color w:val="000000"/>
          <w:sz w:val="20"/>
          <w:szCs w:val="20"/>
        </w:rPr>
        <w:t>rocesu Budowania Księgi Popytu</w:t>
      </w:r>
      <w:r w:rsidRPr="001723B0">
        <w:rPr>
          <w:rFonts w:ascii="Arial" w:hAnsi="Arial" w:cs="Arial"/>
          <w:color w:val="000000"/>
          <w:sz w:val="20"/>
          <w:szCs w:val="20"/>
        </w:rPr>
        <w:t>.</w:t>
      </w:r>
      <w:r w:rsidR="00365B9D" w:rsidRPr="001723B0">
        <w:rPr>
          <w:rFonts w:ascii="Arial" w:hAnsi="Arial" w:cs="Arial"/>
          <w:color w:val="000000"/>
          <w:sz w:val="20"/>
          <w:szCs w:val="20"/>
        </w:rPr>
        <w:t xml:space="preserve"> </w:t>
      </w:r>
      <w:r w:rsidR="006D3C03" w:rsidRPr="001723B0">
        <w:rPr>
          <w:rFonts w:ascii="Arial" w:hAnsi="Arial" w:cs="Arial"/>
          <w:color w:val="000000"/>
          <w:sz w:val="20"/>
          <w:szCs w:val="20"/>
        </w:rPr>
        <w:t xml:space="preserve">Proces Budowania Księgi Popytu na Akcje Oferowane rozpocznie się bezpośrednio po publikacji niniejszego materiału i zostanie przeprowadzony na zasadach opisanych poniżej. Planuje się, że Proces Budowania Księgi Popytu </w:t>
      </w:r>
      <w:r w:rsidRPr="001723B0">
        <w:rPr>
          <w:rFonts w:ascii="Arial" w:hAnsi="Arial" w:cs="Arial"/>
          <w:color w:val="000000"/>
          <w:sz w:val="20"/>
          <w:szCs w:val="20"/>
        </w:rPr>
        <w:t>zostanie otwart</w:t>
      </w:r>
      <w:r w:rsidR="006D3C03" w:rsidRPr="001723B0">
        <w:rPr>
          <w:rFonts w:ascii="Arial" w:hAnsi="Arial" w:cs="Arial"/>
          <w:color w:val="000000"/>
          <w:sz w:val="20"/>
          <w:szCs w:val="20"/>
        </w:rPr>
        <w:t>y</w:t>
      </w:r>
      <w:r w:rsidRPr="001723B0">
        <w:rPr>
          <w:rFonts w:ascii="Arial" w:hAnsi="Arial" w:cs="Arial"/>
          <w:color w:val="000000"/>
          <w:sz w:val="20"/>
          <w:szCs w:val="20"/>
        </w:rPr>
        <w:t xml:space="preserve"> </w:t>
      </w:r>
      <w:r w:rsidR="003170E4" w:rsidRPr="001723B0">
        <w:rPr>
          <w:rFonts w:ascii="Arial" w:hAnsi="Arial" w:cs="Arial"/>
          <w:color w:val="000000"/>
          <w:sz w:val="20"/>
          <w:szCs w:val="20"/>
        </w:rPr>
        <w:t xml:space="preserve">w dniu </w:t>
      </w:r>
      <w:r w:rsidR="00383A15">
        <w:rPr>
          <w:rFonts w:ascii="Arial" w:hAnsi="Arial" w:cs="Arial"/>
          <w:color w:val="000000"/>
          <w:sz w:val="20"/>
          <w:szCs w:val="20"/>
        </w:rPr>
        <w:t>24</w:t>
      </w:r>
      <w:r w:rsidR="002B6442">
        <w:rPr>
          <w:rFonts w:ascii="Arial" w:hAnsi="Arial" w:cs="Arial"/>
          <w:color w:val="000000"/>
          <w:sz w:val="20"/>
          <w:szCs w:val="20"/>
        </w:rPr>
        <w:t xml:space="preserve"> kwietnia</w:t>
      </w:r>
      <w:r w:rsidR="001C536B" w:rsidRPr="001723B0">
        <w:rPr>
          <w:rFonts w:ascii="Arial" w:hAnsi="Arial" w:cs="Arial"/>
          <w:color w:val="000000"/>
          <w:sz w:val="20"/>
          <w:szCs w:val="20"/>
        </w:rPr>
        <w:t xml:space="preserve"> </w:t>
      </w:r>
      <w:r w:rsidR="00BB0FBF" w:rsidRPr="001723B0">
        <w:rPr>
          <w:rFonts w:ascii="Arial" w:hAnsi="Arial" w:cs="Arial"/>
          <w:color w:val="000000"/>
          <w:sz w:val="20"/>
          <w:szCs w:val="20"/>
        </w:rPr>
        <w:t>20</w:t>
      </w:r>
      <w:r w:rsidR="00352377" w:rsidRPr="001723B0">
        <w:rPr>
          <w:rFonts w:ascii="Arial" w:hAnsi="Arial" w:cs="Arial"/>
          <w:color w:val="000000"/>
          <w:sz w:val="20"/>
          <w:szCs w:val="20"/>
        </w:rPr>
        <w:t>2</w:t>
      </w:r>
      <w:r w:rsidR="002B6442">
        <w:rPr>
          <w:rFonts w:ascii="Arial" w:hAnsi="Arial" w:cs="Arial"/>
          <w:color w:val="000000"/>
          <w:sz w:val="20"/>
          <w:szCs w:val="20"/>
        </w:rPr>
        <w:t>6</w:t>
      </w:r>
      <w:r w:rsidR="00BB0FBF" w:rsidRPr="001723B0">
        <w:rPr>
          <w:rFonts w:ascii="Arial" w:hAnsi="Arial" w:cs="Arial"/>
          <w:color w:val="000000"/>
          <w:sz w:val="20"/>
          <w:szCs w:val="20"/>
        </w:rPr>
        <w:t xml:space="preserve"> r.</w:t>
      </w:r>
      <w:r w:rsidRPr="001723B0">
        <w:rPr>
          <w:rFonts w:ascii="Arial" w:hAnsi="Arial" w:cs="Arial"/>
          <w:color w:val="000000"/>
          <w:sz w:val="20"/>
          <w:szCs w:val="20"/>
        </w:rPr>
        <w:t xml:space="preserve">, </w:t>
      </w:r>
      <w:r w:rsidR="003170E4" w:rsidRPr="001723B0">
        <w:rPr>
          <w:rFonts w:ascii="Arial" w:hAnsi="Arial" w:cs="Arial"/>
          <w:color w:val="000000"/>
          <w:sz w:val="20"/>
          <w:szCs w:val="20"/>
        </w:rPr>
        <w:t xml:space="preserve">a </w:t>
      </w:r>
      <w:r w:rsidRPr="001723B0">
        <w:rPr>
          <w:rFonts w:ascii="Arial" w:hAnsi="Arial" w:cs="Arial"/>
          <w:color w:val="000000"/>
          <w:sz w:val="20"/>
          <w:szCs w:val="20"/>
        </w:rPr>
        <w:t xml:space="preserve">termin </w:t>
      </w:r>
      <w:r w:rsidR="006D3C03" w:rsidRPr="001723B0">
        <w:rPr>
          <w:rFonts w:ascii="Arial" w:hAnsi="Arial" w:cs="Arial"/>
          <w:color w:val="000000"/>
          <w:sz w:val="20"/>
          <w:szCs w:val="20"/>
        </w:rPr>
        <w:t xml:space="preserve">jego </w:t>
      </w:r>
      <w:r w:rsidRPr="001723B0">
        <w:rPr>
          <w:rFonts w:ascii="Arial" w:hAnsi="Arial" w:cs="Arial"/>
          <w:color w:val="000000"/>
          <w:sz w:val="20"/>
          <w:szCs w:val="20"/>
        </w:rPr>
        <w:t xml:space="preserve">zamknięcia upływa </w:t>
      </w:r>
      <w:r w:rsidR="005C4151" w:rsidRPr="001723B0">
        <w:rPr>
          <w:rFonts w:ascii="Arial" w:hAnsi="Arial" w:cs="Arial"/>
          <w:color w:val="000000"/>
          <w:sz w:val="20"/>
          <w:szCs w:val="20"/>
        </w:rPr>
        <w:t>o</w:t>
      </w:r>
      <w:r w:rsidR="00DB25D0" w:rsidRPr="001723B0">
        <w:rPr>
          <w:rFonts w:ascii="Arial" w:hAnsi="Arial" w:cs="Arial"/>
          <w:color w:val="000000"/>
          <w:sz w:val="20"/>
          <w:szCs w:val="20"/>
        </w:rPr>
        <w:t> </w:t>
      </w:r>
      <w:r w:rsidR="005C4151" w:rsidRPr="001723B0">
        <w:rPr>
          <w:rFonts w:ascii="Arial" w:hAnsi="Arial" w:cs="Arial"/>
          <w:color w:val="000000"/>
          <w:sz w:val="20"/>
          <w:szCs w:val="20"/>
        </w:rPr>
        <w:t xml:space="preserve">godz. </w:t>
      </w:r>
      <w:r w:rsidR="00923E63" w:rsidRPr="002B6442">
        <w:rPr>
          <w:rFonts w:ascii="Arial" w:hAnsi="Arial" w:cs="Arial"/>
          <w:color w:val="000000"/>
          <w:sz w:val="20"/>
          <w:szCs w:val="20"/>
        </w:rPr>
        <w:t>16:00 CE</w:t>
      </w:r>
      <w:r w:rsidR="00C23663" w:rsidRPr="002B6442">
        <w:rPr>
          <w:rFonts w:ascii="Arial" w:hAnsi="Arial" w:cs="Arial"/>
          <w:color w:val="000000"/>
          <w:sz w:val="20"/>
          <w:szCs w:val="20"/>
        </w:rPr>
        <w:t>S</w:t>
      </w:r>
      <w:r w:rsidR="00923E63" w:rsidRPr="002B6442">
        <w:rPr>
          <w:rFonts w:ascii="Arial" w:hAnsi="Arial" w:cs="Arial"/>
          <w:color w:val="000000"/>
          <w:sz w:val="20"/>
          <w:szCs w:val="20"/>
        </w:rPr>
        <w:t>T</w:t>
      </w:r>
      <w:r w:rsidR="00923E63">
        <w:rPr>
          <w:rFonts w:ascii="Arial" w:hAnsi="Arial" w:cs="Arial"/>
          <w:color w:val="000000"/>
          <w:sz w:val="20"/>
          <w:szCs w:val="20"/>
        </w:rPr>
        <w:t xml:space="preserve"> </w:t>
      </w:r>
      <w:r w:rsidR="003170E4" w:rsidRPr="001723B0">
        <w:rPr>
          <w:rFonts w:ascii="Arial" w:hAnsi="Arial" w:cs="Arial"/>
          <w:color w:val="000000"/>
          <w:sz w:val="20"/>
          <w:szCs w:val="20"/>
        </w:rPr>
        <w:t>w</w:t>
      </w:r>
      <w:r w:rsidR="00B3661E" w:rsidRPr="001723B0">
        <w:rPr>
          <w:rFonts w:ascii="Arial" w:hAnsi="Arial" w:cs="Arial"/>
          <w:color w:val="000000"/>
          <w:sz w:val="20"/>
          <w:szCs w:val="20"/>
        </w:rPr>
        <w:t> </w:t>
      </w:r>
      <w:r w:rsidR="003170E4" w:rsidRPr="001723B0">
        <w:rPr>
          <w:rFonts w:ascii="Arial" w:hAnsi="Arial" w:cs="Arial"/>
          <w:color w:val="000000"/>
          <w:sz w:val="20"/>
          <w:szCs w:val="20"/>
        </w:rPr>
        <w:t xml:space="preserve">dniu </w:t>
      </w:r>
      <w:r w:rsidR="00383A15">
        <w:rPr>
          <w:rFonts w:ascii="Arial" w:hAnsi="Arial" w:cs="Arial"/>
          <w:color w:val="000000"/>
          <w:sz w:val="20"/>
          <w:szCs w:val="20"/>
        </w:rPr>
        <w:t xml:space="preserve">28 </w:t>
      </w:r>
      <w:r w:rsidR="002B6442">
        <w:rPr>
          <w:rFonts w:ascii="Arial" w:hAnsi="Arial" w:cs="Arial"/>
          <w:color w:val="000000"/>
          <w:sz w:val="20"/>
          <w:szCs w:val="20"/>
        </w:rPr>
        <w:t>kwietnia</w:t>
      </w:r>
      <w:r w:rsidR="005C308B" w:rsidRPr="001723B0">
        <w:rPr>
          <w:rFonts w:ascii="Arial" w:hAnsi="Arial" w:cs="Arial"/>
          <w:color w:val="000000"/>
          <w:sz w:val="20"/>
          <w:szCs w:val="20"/>
        </w:rPr>
        <w:t xml:space="preserve"> </w:t>
      </w:r>
      <w:r w:rsidR="003170E4" w:rsidRPr="001723B0">
        <w:rPr>
          <w:rFonts w:ascii="Arial" w:hAnsi="Arial" w:cs="Arial"/>
          <w:color w:val="000000"/>
          <w:sz w:val="20"/>
          <w:szCs w:val="20"/>
        </w:rPr>
        <w:t>202</w:t>
      </w:r>
      <w:r w:rsidR="00A527E9">
        <w:rPr>
          <w:rFonts w:ascii="Arial" w:hAnsi="Arial" w:cs="Arial"/>
          <w:color w:val="000000"/>
          <w:sz w:val="20"/>
          <w:szCs w:val="20"/>
        </w:rPr>
        <w:t>6</w:t>
      </w:r>
      <w:r w:rsidR="003170E4" w:rsidRPr="001723B0">
        <w:rPr>
          <w:rFonts w:ascii="Arial" w:hAnsi="Arial" w:cs="Arial"/>
          <w:color w:val="000000"/>
          <w:sz w:val="20"/>
          <w:szCs w:val="20"/>
        </w:rPr>
        <w:t xml:space="preserve"> r</w:t>
      </w:r>
      <w:r w:rsidRPr="001723B0">
        <w:rPr>
          <w:rFonts w:ascii="Arial" w:hAnsi="Arial" w:cs="Arial"/>
          <w:color w:val="000000"/>
          <w:sz w:val="20"/>
          <w:szCs w:val="20"/>
        </w:rPr>
        <w:t>.</w:t>
      </w:r>
    </w:p>
    <w:p w14:paraId="7BA69220" w14:textId="77777777" w:rsidR="006D3C03" w:rsidRPr="001723B0" w:rsidRDefault="006D3C03" w:rsidP="006D3C03">
      <w:pPr>
        <w:autoSpaceDE w:val="0"/>
        <w:autoSpaceDN w:val="0"/>
        <w:adjustRightInd w:val="0"/>
        <w:spacing w:after="120" w:line="240" w:lineRule="auto"/>
        <w:jc w:val="both"/>
        <w:rPr>
          <w:rFonts w:ascii="Arial" w:hAnsi="Arial" w:cs="Arial"/>
          <w:b/>
          <w:bCs/>
          <w:color w:val="000000"/>
          <w:sz w:val="20"/>
          <w:szCs w:val="20"/>
        </w:rPr>
      </w:pPr>
      <w:r w:rsidRPr="001723B0">
        <w:rPr>
          <w:rFonts w:ascii="Arial" w:hAnsi="Arial" w:cs="Arial"/>
          <w:b/>
          <w:bCs/>
          <w:color w:val="000000"/>
          <w:sz w:val="20"/>
          <w:szCs w:val="20"/>
        </w:rPr>
        <w:t>Celem wzięcia udziału w Procesie Budowania Księgi Popytu na Akcje Oferowane, każdy z</w:t>
      </w:r>
      <w:r w:rsidR="00DB25D0" w:rsidRPr="001723B0">
        <w:rPr>
          <w:rFonts w:ascii="Arial" w:hAnsi="Arial" w:cs="Arial"/>
          <w:b/>
          <w:bCs/>
          <w:color w:val="000000"/>
          <w:sz w:val="20"/>
          <w:szCs w:val="20"/>
        </w:rPr>
        <w:t> </w:t>
      </w:r>
      <w:r w:rsidRPr="001723B0">
        <w:rPr>
          <w:rFonts w:ascii="Arial" w:hAnsi="Arial" w:cs="Arial"/>
          <w:b/>
          <w:bCs/>
          <w:color w:val="000000"/>
          <w:sz w:val="20"/>
          <w:szCs w:val="20"/>
        </w:rPr>
        <w:t>Inwestorów powinien zawrzeć (o ile nie jest już stroną takiej umowy) stosowną umowę na przyjmowanie i</w:t>
      </w:r>
      <w:r w:rsidR="006C5EFF" w:rsidRPr="001723B0">
        <w:rPr>
          <w:rFonts w:ascii="Arial" w:hAnsi="Arial" w:cs="Arial"/>
          <w:b/>
          <w:bCs/>
          <w:color w:val="000000"/>
          <w:sz w:val="20"/>
          <w:szCs w:val="20"/>
        </w:rPr>
        <w:t> </w:t>
      </w:r>
      <w:r w:rsidRPr="001723B0">
        <w:rPr>
          <w:rFonts w:ascii="Arial" w:hAnsi="Arial" w:cs="Arial"/>
          <w:b/>
          <w:bCs/>
          <w:color w:val="000000"/>
          <w:sz w:val="20"/>
          <w:szCs w:val="20"/>
        </w:rPr>
        <w:t xml:space="preserve">przekazywanie zleceń z </w:t>
      </w:r>
      <w:r w:rsidR="00DB25D0" w:rsidRPr="001723B0">
        <w:rPr>
          <w:rFonts w:ascii="Arial" w:hAnsi="Arial" w:cs="Arial"/>
          <w:b/>
          <w:bCs/>
          <w:color w:val="000000"/>
          <w:sz w:val="20"/>
          <w:szCs w:val="20"/>
        </w:rPr>
        <w:t>Trigon DM</w:t>
      </w:r>
      <w:r w:rsidRPr="001723B0">
        <w:rPr>
          <w:rFonts w:ascii="Arial" w:hAnsi="Arial" w:cs="Arial"/>
          <w:b/>
          <w:bCs/>
          <w:color w:val="000000"/>
          <w:sz w:val="20"/>
          <w:szCs w:val="20"/>
        </w:rPr>
        <w:t>.</w:t>
      </w:r>
    </w:p>
    <w:p w14:paraId="4040D4DB" w14:textId="77777777" w:rsidR="008C57DC" w:rsidRPr="001723B0" w:rsidRDefault="00DB49C6" w:rsidP="000868D7">
      <w:pPr>
        <w:pStyle w:val="Default"/>
        <w:spacing w:after="120"/>
        <w:jc w:val="both"/>
        <w:rPr>
          <w:rFonts w:ascii="Arial" w:hAnsi="Arial" w:cs="Arial"/>
          <w:bCs/>
          <w:sz w:val="20"/>
          <w:szCs w:val="20"/>
          <w:lang w:val="pl-PL"/>
        </w:rPr>
      </w:pPr>
      <w:r w:rsidRPr="001723B0">
        <w:rPr>
          <w:rFonts w:ascii="Arial" w:hAnsi="Arial" w:cs="Arial"/>
          <w:bCs/>
          <w:sz w:val="20"/>
          <w:szCs w:val="20"/>
          <w:lang w:val="pl-PL"/>
        </w:rPr>
        <w:t>Inwestor</w:t>
      </w:r>
      <w:r w:rsidR="008C57DC" w:rsidRPr="001723B0">
        <w:rPr>
          <w:rFonts w:ascii="Arial" w:hAnsi="Arial" w:cs="Arial"/>
          <w:bCs/>
          <w:sz w:val="20"/>
          <w:szCs w:val="20"/>
          <w:lang w:val="pl-PL"/>
        </w:rPr>
        <w:t>,</w:t>
      </w:r>
      <w:r w:rsidR="00C65004">
        <w:rPr>
          <w:rFonts w:ascii="Arial" w:hAnsi="Arial" w:cs="Arial"/>
          <w:bCs/>
          <w:sz w:val="20"/>
          <w:szCs w:val="20"/>
          <w:lang w:val="pl-PL"/>
        </w:rPr>
        <w:t xml:space="preserve"> będący </w:t>
      </w:r>
      <w:r w:rsidR="00477494">
        <w:rPr>
          <w:rFonts w:ascii="Arial" w:hAnsi="Arial" w:cs="Arial"/>
          <w:bCs/>
          <w:sz w:val="20"/>
          <w:szCs w:val="20"/>
          <w:lang w:val="pl-PL"/>
        </w:rPr>
        <w:t>stroną Umowy Maklerskiej</w:t>
      </w:r>
      <w:r w:rsidR="00C65004">
        <w:rPr>
          <w:rFonts w:ascii="Arial" w:hAnsi="Arial" w:cs="Arial"/>
          <w:bCs/>
          <w:sz w:val="20"/>
          <w:szCs w:val="20"/>
          <w:lang w:val="pl-PL"/>
        </w:rPr>
        <w:t>,</w:t>
      </w:r>
      <w:r w:rsidR="008C57DC" w:rsidRPr="001723B0">
        <w:rPr>
          <w:rFonts w:ascii="Arial" w:hAnsi="Arial" w:cs="Arial"/>
          <w:bCs/>
          <w:sz w:val="20"/>
          <w:szCs w:val="20"/>
          <w:lang w:val="pl-PL"/>
        </w:rPr>
        <w:t xml:space="preserve"> który zamierza </w:t>
      </w:r>
      <w:r w:rsidR="00C65004">
        <w:rPr>
          <w:rFonts w:ascii="Arial" w:hAnsi="Arial" w:cs="Arial"/>
          <w:bCs/>
          <w:sz w:val="20"/>
          <w:szCs w:val="20"/>
          <w:lang w:val="pl-PL"/>
        </w:rPr>
        <w:t>wziąć udział Ofercie</w:t>
      </w:r>
      <w:r w:rsidR="00477494">
        <w:rPr>
          <w:rFonts w:ascii="Arial" w:hAnsi="Arial" w:cs="Arial"/>
          <w:bCs/>
          <w:sz w:val="20"/>
          <w:szCs w:val="20"/>
          <w:lang w:val="pl-PL"/>
        </w:rPr>
        <w:t>,</w:t>
      </w:r>
      <w:r w:rsidR="00C65004">
        <w:rPr>
          <w:rFonts w:ascii="Arial" w:hAnsi="Arial" w:cs="Arial"/>
          <w:bCs/>
          <w:sz w:val="20"/>
          <w:szCs w:val="20"/>
          <w:lang w:val="pl-PL"/>
        </w:rPr>
        <w:t xml:space="preserve"> powinien</w:t>
      </w:r>
      <w:r w:rsidR="008C57DC" w:rsidRPr="001723B0">
        <w:rPr>
          <w:rFonts w:ascii="Arial" w:hAnsi="Arial" w:cs="Arial"/>
          <w:bCs/>
          <w:sz w:val="20"/>
          <w:szCs w:val="20"/>
          <w:lang w:val="pl-PL"/>
        </w:rPr>
        <w:t>:</w:t>
      </w:r>
    </w:p>
    <w:p w14:paraId="12329986" w14:textId="77777777" w:rsidR="00DB49C6" w:rsidRPr="001723B0" w:rsidRDefault="00067FEF" w:rsidP="000C1ADC">
      <w:pPr>
        <w:numPr>
          <w:ilvl w:val="0"/>
          <w:numId w:val="17"/>
        </w:numPr>
        <w:autoSpaceDE w:val="0"/>
        <w:autoSpaceDN w:val="0"/>
        <w:adjustRightInd w:val="0"/>
        <w:spacing w:after="120" w:line="240" w:lineRule="auto"/>
        <w:jc w:val="both"/>
        <w:rPr>
          <w:rFonts w:ascii="Arial" w:hAnsi="Arial" w:cs="Arial"/>
          <w:sz w:val="20"/>
          <w:szCs w:val="20"/>
        </w:rPr>
      </w:pPr>
      <w:r w:rsidRPr="001723B0">
        <w:rPr>
          <w:rFonts w:ascii="Arial" w:hAnsi="Arial" w:cs="Arial"/>
          <w:sz w:val="20"/>
          <w:szCs w:val="20"/>
        </w:rPr>
        <w:t>złoż</w:t>
      </w:r>
      <w:r w:rsidR="00DB49C6" w:rsidRPr="001723B0">
        <w:rPr>
          <w:rFonts w:ascii="Arial" w:hAnsi="Arial" w:cs="Arial"/>
          <w:sz w:val="20"/>
          <w:szCs w:val="20"/>
        </w:rPr>
        <w:t xml:space="preserve">yć </w:t>
      </w:r>
      <w:r w:rsidRPr="001723B0">
        <w:rPr>
          <w:rFonts w:ascii="Arial" w:hAnsi="Arial" w:cs="Arial"/>
          <w:sz w:val="20"/>
          <w:szCs w:val="20"/>
        </w:rPr>
        <w:t xml:space="preserve">w </w:t>
      </w:r>
      <w:r w:rsidR="00F86CA9" w:rsidRPr="001723B0">
        <w:rPr>
          <w:rFonts w:ascii="Arial" w:hAnsi="Arial" w:cs="Arial"/>
          <w:sz w:val="20"/>
          <w:szCs w:val="20"/>
        </w:rPr>
        <w:t>P</w:t>
      </w:r>
      <w:r w:rsidRPr="001723B0">
        <w:rPr>
          <w:rFonts w:ascii="Arial" w:hAnsi="Arial" w:cs="Arial"/>
          <w:sz w:val="20"/>
          <w:szCs w:val="20"/>
        </w:rPr>
        <w:t xml:space="preserve">rocesie </w:t>
      </w:r>
      <w:r w:rsidR="006D3C03" w:rsidRPr="001723B0">
        <w:rPr>
          <w:rFonts w:ascii="Arial" w:hAnsi="Arial" w:cs="Arial"/>
          <w:sz w:val="20"/>
          <w:szCs w:val="20"/>
        </w:rPr>
        <w:t>Budowania Księgi Popytu</w:t>
      </w:r>
      <w:r w:rsidRPr="001723B0">
        <w:rPr>
          <w:rFonts w:ascii="Arial" w:hAnsi="Arial" w:cs="Arial"/>
          <w:sz w:val="20"/>
          <w:szCs w:val="20"/>
        </w:rPr>
        <w:t xml:space="preserve"> </w:t>
      </w:r>
      <w:r w:rsidR="00DB49C6" w:rsidRPr="001723B0">
        <w:rPr>
          <w:rFonts w:ascii="Arial" w:hAnsi="Arial" w:cs="Arial"/>
          <w:sz w:val="20"/>
          <w:szCs w:val="20"/>
        </w:rPr>
        <w:t>D</w:t>
      </w:r>
      <w:r w:rsidRPr="001723B0">
        <w:rPr>
          <w:rFonts w:ascii="Arial" w:hAnsi="Arial" w:cs="Arial"/>
          <w:sz w:val="20"/>
          <w:szCs w:val="20"/>
        </w:rPr>
        <w:t>eklaracj</w:t>
      </w:r>
      <w:r w:rsidR="00DB49C6" w:rsidRPr="001723B0">
        <w:rPr>
          <w:rFonts w:ascii="Arial" w:hAnsi="Arial" w:cs="Arial"/>
          <w:sz w:val="20"/>
          <w:szCs w:val="20"/>
        </w:rPr>
        <w:t>ę</w:t>
      </w:r>
      <w:r w:rsidRPr="001723B0">
        <w:rPr>
          <w:rFonts w:ascii="Arial" w:hAnsi="Arial" w:cs="Arial"/>
          <w:sz w:val="20"/>
          <w:szCs w:val="20"/>
        </w:rPr>
        <w:t xml:space="preserve"> po cenie nie niższej niż ostatecznie ustalona</w:t>
      </w:r>
      <w:r w:rsidR="00DF7590" w:rsidRPr="001723B0">
        <w:rPr>
          <w:rFonts w:ascii="Arial" w:hAnsi="Arial" w:cs="Arial"/>
          <w:sz w:val="20"/>
          <w:szCs w:val="20"/>
        </w:rPr>
        <w:t xml:space="preserve"> przez Zarząd</w:t>
      </w:r>
      <w:r w:rsidRPr="001723B0">
        <w:rPr>
          <w:rFonts w:ascii="Arial" w:hAnsi="Arial" w:cs="Arial"/>
          <w:sz w:val="20"/>
          <w:szCs w:val="20"/>
        </w:rPr>
        <w:t xml:space="preserve"> </w:t>
      </w:r>
      <w:r w:rsidR="006E3D15" w:rsidRPr="001723B0">
        <w:rPr>
          <w:rFonts w:ascii="Arial" w:hAnsi="Arial" w:cs="Arial"/>
          <w:sz w:val="20"/>
          <w:szCs w:val="20"/>
        </w:rPr>
        <w:t>C</w:t>
      </w:r>
      <w:r w:rsidRPr="001723B0">
        <w:rPr>
          <w:rFonts w:ascii="Arial" w:hAnsi="Arial" w:cs="Arial"/>
          <w:sz w:val="20"/>
          <w:szCs w:val="20"/>
        </w:rPr>
        <w:t xml:space="preserve">ena </w:t>
      </w:r>
      <w:r w:rsidR="006E3D15" w:rsidRPr="001723B0">
        <w:rPr>
          <w:rFonts w:ascii="Arial" w:hAnsi="Arial" w:cs="Arial"/>
          <w:sz w:val="20"/>
          <w:szCs w:val="20"/>
        </w:rPr>
        <w:t>E</w:t>
      </w:r>
      <w:r w:rsidRPr="001723B0">
        <w:rPr>
          <w:rFonts w:ascii="Arial" w:hAnsi="Arial" w:cs="Arial"/>
          <w:sz w:val="20"/>
          <w:szCs w:val="20"/>
        </w:rPr>
        <w:t>misyjna</w:t>
      </w:r>
      <w:r w:rsidR="009159B9" w:rsidRPr="001723B0">
        <w:rPr>
          <w:rFonts w:ascii="Arial" w:hAnsi="Arial" w:cs="Arial"/>
          <w:sz w:val="20"/>
          <w:szCs w:val="20"/>
        </w:rPr>
        <w:t>;</w:t>
      </w:r>
      <w:r w:rsidR="009B52E9" w:rsidRPr="001723B0">
        <w:rPr>
          <w:rFonts w:ascii="Arial" w:hAnsi="Arial" w:cs="Arial"/>
          <w:sz w:val="20"/>
          <w:szCs w:val="20"/>
        </w:rPr>
        <w:t xml:space="preserve"> </w:t>
      </w:r>
      <w:r w:rsidRPr="001723B0">
        <w:rPr>
          <w:rFonts w:ascii="Arial" w:hAnsi="Arial" w:cs="Arial"/>
          <w:sz w:val="20"/>
          <w:szCs w:val="20"/>
        </w:rPr>
        <w:t>oraz</w:t>
      </w:r>
    </w:p>
    <w:p w14:paraId="3A38537E" w14:textId="77777777" w:rsidR="00C65004" w:rsidRPr="00C65004" w:rsidRDefault="00DF7590" w:rsidP="00EA79DF">
      <w:pPr>
        <w:numPr>
          <w:ilvl w:val="0"/>
          <w:numId w:val="17"/>
        </w:numPr>
        <w:autoSpaceDE w:val="0"/>
        <w:autoSpaceDN w:val="0"/>
        <w:adjustRightInd w:val="0"/>
        <w:spacing w:after="120" w:line="240" w:lineRule="auto"/>
        <w:jc w:val="both"/>
        <w:rPr>
          <w:rFonts w:ascii="Arial" w:hAnsi="Arial" w:cs="Arial"/>
          <w:sz w:val="20"/>
          <w:szCs w:val="20"/>
        </w:rPr>
      </w:pPr>
      <w:r w:rsidRPr="001723B0">
        <w:rPr>
          <w:rFonts w:ascii="Arial" w:hAnsi="Arial" w:cs="Arial"/>
          <w:sz w:val="20"/>
          <w:szCs w:val="20"/>
        </w:rPr>
        <w:t xml:space="preserve">zawrzeć </w:t>
      </w:r>
      <w:r w:rsidR="00DB49C6" w:rsidRPr="001723B0">
        <w:rPr>
          <w:rFonts w:ascii="Arial" w:hAnsi="Arial" w:cs="Arial"/>
          <w:sz w:val="20"/>
          <w:szCs w:val="20"/>
        </w:rPr>
        <w:t>umowę objęcia Akcji Oferowanych</w:t>
      </w:r>
      <w:r w:rsidR="00DC69BE" w:rsidRPr="001723B0">
        <w:rPr>
          <w:rFonts w:ascii="Arial" w:hAnsi="Arial" w:cs="Arial"/>
          <w:sz w:val="20"/>
          <w:szCs w:val="20"/>
        </w:rPr>
        <w:t xml:space="preserve"> zawierającą dyspozycję deponowania Akcji Oferowanych </w:t>
      </w:r>
      <w:r w:rsidR="00067FEF" w:rsidRPr="001723B0">
        <w:rPr>
          <w:rFonts w:ascii="Arial" w:hAnsi="Arial" w:cs="Arial"/>
          <w:sz w:val="20"/>
          <w:szCs w:val="20"/>
        </w:rPr>
        <w:t xml:space="preserve">po </w:t>
      </w:r>
      <w:r w:rsidR="002D799D" w:rsidRPr="001723B0">
        <w:rPr>
          <w:rFonts w:ascii="Arial" w:hAnsi="Arial" w:cs="Arial"/>
          <w:sz w:val="20"/>
          <w:szCs w:val="20"/>
        </w:rPr>
        <w:t>Cenie Emisyjnej</w:t>
      </w:r>
      <w:r w:rsidR="00CE1808" w:rsidRPr="001723B0">
        <w:rPr>
          <w:rFonts w:ascii="Arial" w:hAnsi="Arial" w:cs="Arial"/>
          <w:sz w:val="20"/>
          <w:szCs w:val="20"/>
        </w:rPr>
        <w:t xml:space="preserve"> („</w:t>
      </w:r>
      <w:r w:rsidR="00CE1808" w:rsidRPr="001723B0">
        <w:rPr>
          <w:rFonts w:ascii="Arial" w:hAnsi="Arial" w:cs="Arial"/>
          <w:b/>
          <w:bCs/>
          <w:sz w:val="20"/>
          <w:szCs w:val="20"/>
        </w:rPr>
        <w:t>Umowa Objęcia Akcji</w:t>
      </w:r>
      <w:r w:rsidR="00CE1808" w:rsidRPr="001723B0">
        <w:rPr>
          <w:rFonts w:ascii="Arial" w:hAnsi="Arial" w:cs="Arial"/>
          <w:sz w:val="20"/>
          <w:szCs w:val="20"/>
        </w:rPr>
        <w:t>”)</w:t>
      </w:r>
      <w:r w:rsidR="00067FEF" w:rsidRPr="001723B0">
        <w:rPr>
          <w:rFonts w:ascii="Arial" w:hAnsi="Arial" w:cs="Arial"/>
          <w:sz w:val="20"/>
          <w:szCs w:val="20"/>
        </w:rPr>
        <w:t>.</w:t>
      </w:r>
    </w:p>
    <w:p w14:paraId="1DE7C9E3" w14:textId="77777777" w:rsidR="00C65004" w:rsidRPr="001723B0" w:rsidRDefault="00C65004" w:rsidP="00074294">
      <w:pPr>
        <w:jc w:val="both"/>
        <w:rPr>
          <w:rFonts w:ascii="Arial" w:hAnsi="Arial" w:cs="Arial"/>
          <w:bCs/>
          <w:color w:val="000000"/>
          <w:sz w:val="20"/>
          <w:szCs w:val="20"/>
        </w:rPr>
      </w:pPr>
      <w:r>
        <w:rPr>
          <w:rFonts w:ascii="Arial" w:hAnsi="Arial" w:cs="Arial"/>
          <w:bCs/>
          <w:color w:val="000000"/>
          <w:sz w:val="20"/>
          <w:szCs w:val="20"/>
        </w:rPr>
        <w:t xml:space="preserve">Uprawniony </w:t>
      </w:r>
      <w:r w:rsidRPr="001723B0">
        <w:rPr>
          <w:rFonts w:ascii="Arial" w:hAnsi="Arial" w:cs="Arial"/>
          <w:bCs/>
          <w:color w:val="000000"/>
          <w:sz w:val="20"/>
          <w:szCs w:val="20"/>
        </w:rPr>
        <w:t xml:space="preserve">Inwestor, który posiadał co najmniej 0,25% kapitału zakładowego Spółki </w:t>
      </w:r>
      <w:r w:rsidRPr="001723B0">
        <w:rPr>
          <w:rFonts w:ascii="Arial" w:hAnsi="Arial" w:cs="Arial"/>
          <w:color w:val="000000"/>
          <w:sz w:val="20"/>
          <w:szCs w:val="20"/>
        </w:rPr>
        <w:t xml:space="preserve">na koniec Dnia Preferencji </w:t>
      </w:r>
      <w:r w:rsidR="00552F46">
        <w:rPr>
          <w:rFonts w:ascii="Arial" w:hAnsi="Arial" w:cs="Arial"/>
          <w:color w:val="000000"/>
          <w:sz w:val="20"/>
          <w:szCs w:val="20"/>
        </w:rPr>
        <w:t xml:space="preserve">oraz spełnia przesłanki udziału w Ofercie określone w niniejszych Zasadach Budowy Księgi Popytu i Subskrypcji, </w:t>
      </w:r>
      <w:r w:rsidRPr="001723B0">
        <w:rPr>
          <w:rFonts w:ascii="Arial" w:hAnsi="Arial" w:cs="Arial"/>
          <w:bCs/>
          <w:color w:val="000000"/>
          <w:sz w:val="20"/>
          <w:szCs w:val="20"/>
        </w:rPr>
        <w:t>może skorzystać z Prawa Pierwszeństwa w obejmowaniu Akcji Oferowanych.</w:t>
      </w:r>
      <w:r w:rsidR="005F1A0B">
        <w:rPr>
          <w:rFonts w:ascii="Arial" w:hAnsi="Arial" w:cs="Arial"/>
          <w:bCs/>
          <w:color w:val="000000"/>
          <w:sz w:val="20"/>
          <w:szCs w:val="20"/>
        </w:rPr>
        <w:t xml:space="preserve"> </w:t>
      </w:r>
    </w:p>
    <w:p w14:paraId="6038DD62" w14:textId="77777777" w:rsidR="00C65004" w:rsidRPr="00EA79DF" w:rsidRDefault="00C65004" w:rsidP="00074294">
      <w:pPr>
        <w:jc w:val="both"/>
        <w:rPr>
          <w:rFonts w:ascii="Arial" w:hAnsi="Arial" w:cs="Arial"/>
          <w:bCs/>
          <w:sz w:val="20"/>
          <w:szCs w:val="20"/>
        </w:rPr>
      </w:pPr>
      <w:r w:rsidRPr="001723B0">
        <w:rPr>
          <w:rFonts w:ascii="Arial" w:hAnsi="Arial" w:cs="Arial"/>
          <w:bCs/>
          <w:sz w:val="20"/>
          <w:szCs w:val="20"/>
        </w:rPr>
        <w:t xml:space="preserve">Prawo Pierwszeństwa będzie przysługiwać w stosunku do Akcji Oferowanych w liczbie odpowiadającej iloczynowi: (a) </w:t>
      </w:r>
      <w:r w:rsidRPr="00074294">
        <w:rPr>
          <w:rFonts w:ascii="Arial" w:hAnsi="Arial" w:cs="Arial"/>
          <w:color w:val="000000"/>
          <w:sz w:val="20"/>
          <w:szCs w:val="20"/>
        </w:rPr>
        <w:t>stosunku</w:t>
      </w:r>
      <w:r w:rsidRPr="001723B0">
        <w:rPr>
          <w:rFonts w:ascii="Arial" w:hAnsi="Arial" w:cs="Arial"/>
          <w:bCs/>
          <w:sz w:val="20"/>
          <w:szCs w:val="20"/>
        </w:rPr>
        <w:t xml:space="preserve"> liczby akcji Spółki posiadanych przez Uprawnionego Inwestora do liczby wszystkich istniejących akcji Spółki oraz (b) określonej przez Zarząd ostatecznej liczby Akcji Oferowanych. </w:t>
      </w:r>
    </w:p>
    <w:p w14:paraId="0091E33B" w14:textId="086ED834" w:rsidR="00C65004" w:rsidRPr="001723B0" w:rsidRDefault="00C65004" w:rsidP="00074294">
      <w:pPr>
        <w:jc w:val="both"/>
        <w:rPr>
          <w:rFonts w:ascii="Arial" w:hAnsi="Arial" w:cs="Arial"/>
          <w:sz w:val="20"/>
          <w:szCs w:val="20"/>
        </w:rPr>
      </w:pPr>
      <w:r>
        <w:rPr>
          <w:rFonts w:ascii="Arial" w:hAnsi="Arial" w:cs="Arial"/>
          <w:sz w:val="20"/>
          <w:szCs w:val="20"/>
        </w:rPr>
        <w:t xml:space="preserve">Uprawnieni Inwestorzy, którzy zamierzają skorzystać z Prawa Pierwszeństwa powinni </w:t>
      </w:r>
      <w:r w:rsidRPr="001723B0">
        <w:rPr>
          <w:rFonts w:ascii="Arial" w:hAnsi="Arial" w:cs="Arial"/>
          <w:bCs/>
          <w:sz w:val="20"/>
          <w:szCs w:val="20"/>
        </w:rPr>
        <w:t xml:space="preserve">przedstawić Trigon DM do </w:t>
      </w:r>
      <w:r w:rsidRPr="002B6442">
        <w:rPr>
          <w:rFonts w:ascii="Arial" w:hAnsi="Arial" w:cs="Arial"/>
          <w:bCs/>
          <w:sz w:val="20"/>
          <w:szCs w:val="20"/>
        </w:rPr>
        <w:t xml:space="preserve">dnia </w:t>
      </w:r>
      <w:r w:rsidR="00383A15">
        <w:rPr>
          <w:rFonts w:ascii="Arial" w:hAnsi="Arial" w:cs="Arial"/>
          <w:bCs/>
          <w:sz w:val="20"/>
          <w:szCs w:val="20"/>
        </w:rPr>
        <w:t>27</w:t>
      </w:r>
      <w:r w:rsidR="00383A15" w:rsidRPr="002B6442">
        <w:rPr>
          <w:rFonts w:ascii="Arial" w:hAnsi="Arial" w:cs="Arial"/>
          <w:bCs/>
          <w:sz w:val="20"/>
          <w:szCs w:val="20"/>
        </w:rPr>
        <w:t xml:space="preserve"> </w:t>
      </w:r>
      <w:r w:rsidR="002B6442" w:rsidRPr="002B6442">
        <w:rPr>
          <w:rFonts w:ascii="Arial" w:hAnsi="Arial" w:cs="Arial"/>
          <w:bCs/>
          <w:sz w:val="20"/>
          <w:szCs w:val="20"/>
        </w:rPr>
        <w:t>kwietnia</w:t>
      </w:r>
      <w:r w:rsidRPr="002B6442">
        <w:rPr>
          <w:rFonts w:ascii="Arial" w:hAnsi="Arial" w:cs="Arial"/>
          <w:bCs/>
          <w:sz w:val="20"/>
          <w:szCs w:val="20"/>
        </w:rPr>
        <w:t xml:space="preserve"> 202</w:t>
      </w:r>
      <w:r w:rsidR="00BF7ADC" w:rsidRPr="002B6442">
        <w:rPr>
          <w:rFonts w:ascii="Arial" w:hAnsi="Arial" w:cs="Arial"/>
          <w:bCs/>
          <w:sz w:val="20"/>
          <w:szCs w:val="20"/>
        </w:rPr>
        <w:t>6</w:t>
      </w:r>
      <w:r w:rsidRPr="002B6442">
        <w:rPr>
          <w:rFonts w:ascii="Arial" w:hAnsi="Arial" w:cs="Arial"/>
          <w:bCs/>
          <w:sz w:val="20"/>
          <w:szCs w:val="20"/>
        </w:rPr>
        <w:t xml:space="preserve"> r. dokument</w:t>
      </w:r>
      <w:r w:rsidRPr="001723B0">
        <w:rPr>
          <w:rFonts w:ascii="Arial" w:hAnsi="Arial" w:cs="Arial"/>
          <w:bCs/>
          <w:sz w:val="20"/>
          <w:szCs w:val="20"/>
        </w:rPr>
        <w:t xml:space="preserve"> wydany przez podmiot prowadzący </w:t>
      </w:r>
      <w:r w:rsidRPr="001723B0">
        <w:rPr>
          <w:rFonts w:ascii="Arial" w:hAnsi="Arial" w:cs="Arial"/>
          <w:color w:val="000000"/>
          <w:sz w:val="20"/>
          <w:szCs w:val="20"/>
        </w:rPr>
        <w:t>rachunek</w:t>
      </w:r>
      <w:r w:rsidRPr="001723B0">
        <w:rPr>
          <w:rFonts w:ascii="Arial" w:hAnsi="Arial" w:cs="Arial"/>
          <w:bCs/>
          <w:sz w:val="20"/>
          <w:szCs w:val="20"/>
        </w:rPr>
        <w:t xml:space="preserve"> papierów wartościowych danego Uprawnionego Inwestora (w szczególności zaświadczenie, </w:t>
      </w:r>
      <w:r w:rsidRPr="001723B0">
        <w:rPr>
          <w:rFonts w:ascii="Arial" w:hAnsi="Arial" w:cs="Arial"/>
          <w:sz w:val="20"/>
          <w:szCs w:val="20"/>
        </w:rPr>
        <w:t>świadectwo depozytowe albo dokument wystawiony przez posiadacza rachunku zbiorczego) – potwierdzający, że Uprawniony Inwestor</w:t>
      </w:r>
      <w:r w:rsidRPr="001723B0" w:rsidDel="00DF7590">
        <w:rPr>
          <w:rFonts w:ascii="Arial" w:hAnsi="Arial" w:cs="Arial"/>
          <w:sz w:val="20"/>
          <w:szCs w:val="20"/>
        </w:rPr>
        <w:t xml:space="preserve"> </w:t>
      </w:r>
      <w:r w:rsidRPr="001723B0">
        <w:rPr>
          <w:rFonts w:ascii="Arial" w:hAnsi="Arial" w:cs="Arial"/>
          <w:sz w:val="20"/>
          <w:szCs w:val="20"/>
        </w:rPr>
        <w:t xml:space="preserve">według stanu na Dzień </w:t>
      </w:r>
      <w:r w:rsidRPr="002B6442">
        <w:rPr>
          <w:rFonts w:ascii="Arial" w:hAnsi="Arial" w:cs="Arial"/>
          <w:sz w:val="20"/>
          <w:szCs w:val="20"/>
        </w:rPr>
        <w:t>Preferencji (tj. </w:t>
      </w:r>
      <w:r w:rsidR="00383A15">
        <w:rPr>
          <w:rFonts w:ascii="Arial" w:hAnsi="Arial" w:cs="Arial"/>
          <w:sz w:val="20"/>
          <w:szCs w:val="20"/>
        </w:rPr>
        <w:t>23</w:t>
      </w:r>
      <w:r w:rsidR="00383A15" w:rsidRPr="002B6442">
        <w:rPr>
          <w:rFonts w:ascii="Arial" w:hAnsi="Arial" w:cs="Arial"/>
          <w:sz w:val="20"/>
          <w:szCs w:val="20"/>
        </w:rPr>
        <w:t xml:space="preserve"> </w:t>
      </w:r>
      <w:r w:rsidR="002B6442" w:rsidRPr="002B6442">
        <w:rPr>
          <w:rFonts w:ascii="Arial" w:hAnsi="Arial" w:cs="Arial"/>
          <w:sz w:val="20"/>
          <w:szCs w:val="20"/>
        </w:rPr>
        <w:t>kwietnia</w:t>
      </w:r>
      <w:r w:rsidRPr="002B6442">
        <w:rPr>
          <w:rFonts w:ascii="Arial" w:hAnsi="Arial" w:cs="Arial"/>
          <w:sz w:val="20"/>
          <w:szCs w:val="20"/>
        </w:rPr>
        <w:t xml:space="preserve"> 202</w:t>
      </w:r>
      <w:r w:rsidR="002B6442" w:rsidRPr="002B6442">
        <w:rPr>
          <w:rFonts w:ascii="Arial" w:hAnsi="Arial" w:cs="Arial"/>
          <w:sz w:val="20"/>
          <w:szCs w:val="20"/>
        </w:rPr>
        <w:t>6</w:t>
      </w:r>
      <w:r w:rsidRPr="002B6442">
        <w:rPr>
          <w:rFonts w:ascii="Arial" w:hAnsi="Arial" w:cs="Arial"/>
          <w:sz w:val="20"/>
          <w:szCs w:val="20"/>
        </w:rPr>
        <w:t xml:space="preserve"> r.) był</w:t>
      </w:r>
      <w:r w:rsidRPr="001723B0">
        <w:rPr>
          <w:rFonts w:ascii="Arial" w:hAnsi="Arial" w:cs="Arial"/>
          <w:sz w:val="20"/>
          <w:szCs w:val="20"/>
        </w:rPr>
        <w:t xml:space="preserve"> akcjonariuszem Spółki i posiadał co najmniej 0,25% kapitału zakładowego Spółki, tj. posiadał co najmniej </w:t>
      </w:r>
      <w:r w:rsidR="002B6442">
        <w:rPr>
          <w:rFonts w:ascii="Arial" w:hAnsi="Arial" w:cs="Arial"/>
          <w:sz w:val="20"/>
          <w:szCs w:val="20"/>
        </w:rPr>
        <w:t>106.525</w:t>
      </w:r>
      <w:r w:rsidR="00FE378D">
        <w:rPr>
          <w:rFonts w:ascii="Arial" w:hAnsi="Arial" w:cs="Arial"/>
          <w:sz w:val="20"/>
          <w:szCs w:val="20"/>
        </w:rPr>
        <w:t xml:space="preserve"> </w:t>
      </w:r>
      <w:r w:rsidRPr="001723B0">
        <w:rPr>
          <w:rFonts w:ascii="Arial" w:hAnsi="Arial" w:cs="Arial"/>
          <w:sz w:val="20"/>
          <w:szCs w:val="20"/>
        </w:rPr>
        <w:t>akcji Spółki („</w:t>
      </w:r>
      <w:r w:rsidRPr="001723B0">
        <w:rPr>
          <w:rFonts w:ascii="Arial" w:hAnsi="Arial" w:cs="Arial"/>
          <w:b/>
          <w:bCs/>
          <w:sz w:val="20"/>
          <w:szCs w:val="20"/>
        </w:rPr>
        <w:t>Dokumenty Potwierdzające</w:t>
      </w:r>
      <w:r w:rsidRPr="001723B0">
        <w:rPr>
          <w:rFonts w:ascii="Arial" w:hAnsi="Arial" w:cs="Arial"/>
          <w:sz w:val="20"/>
          <w:szCs w:val="20"/>
        </w:rPr>
        <w:t>”)</w:t>
      </w:r>
      <w:r w:rsidR="00477494">
        <w:rPr>
          <w:rFonts w:ascii="Arial" w:hAnsi="Arial" w:cs="Arial"/>
          <w:sz w:val="20"/>
          <w:szCs w:val="20"/>
        </w:rPr>
        <w:t>.</w:t>
      </w:r>
      <w:r w:rsidR="005F1A0B">
        <w:rPr>
          <w:rFonts w:ascii="Arial" w:hAnsi="Arial" w:cs="Arial"/>
          <w:sz w:val="20"/>
          <w:szCs w:val="20"/>
        </w:rPr>
        <w:t xml:space="preserve"> </w:t>
      </w:r>
    </w:p>
    <w:p w14:paraId="77C6EDC0" w14:textId="77777777" w:rsidR="00067FEF" w:rsidRPr="001723B0" w:rsidRDefault="00F3426E" w:rsidP="00074294">
      <w:pPr>
        <w:jc w:val="both"/>
        <w:rPr>
          <w:rFonts w:ascii="Arial" w:hAnsi="Arial" w:cs="Arial"/>
          <w:bCs/>
          <w:color w:val="000000"/>
          <w:sz w:val="20"/>
          <w:szCs w:val="20"/>
        </w:rPr>
      </w:pPr>
      <w:r w:rsidRPr="001723B0">
        <w:rPr>
          <w:rFonts w:ascii="Arial" w:hAnsi="Arial" w:cs="Arial"/>
          <w:bCs/>
          <w:color w:val="000000"/>
          <w:sz w:val="20"/>
          <w:szCs w:val="20"/>
        </w:rPr>
        <w:t xml:space="preserve">Uprawnieni </w:t>
      </w:r>
      <w:r w:rsidR="00DB49C6" w:rsidRPr="00074294">
        <w:rPr>
          <w:rFonts w:ascii="Arial" w:hAnsi="Arial" w:cs="Arial"/>
          <w:sz w:val="20"/>
          <w:szCs w:val="20"/>
        </w:rPr>
        <w:t>Inwestorzy</w:t>
      </w:r>
      <w:r w:rsidR="00DB49C6" w:rsidRPr="001723B0">
        <w:rPr>
          <w:rFonts w:ascii="Arial" w:hAnsi="Arial" w:cs="Arial"/>
          <w:bCs/>
          <w:color w:val="000000"/>
          <w:sz w:val="20"/>
          <w:szCs w:val="20"/>
        </w:rPr>
        <w:t xml:space="preserve"> </w:t>
      </w:r>
      <w:r w:rsidR="00D51D78" w:rsidRPr="001723B0">
        <w:rPr>
          <w:rFonts w:ascii="Arial" w:hAnsi="Arial" w:cs="Arial"/>
          <w:bCs/>
          <w:color w:val="000000"/>
          <w:sz w:val="20"/>
          <w:szCs w:val="20"/>
        </w:rPr>
        <w:t>będą wyłączeni z uznaniowe</w:t>
      </w:r>
      <w:r w:rsidR="009159B9" w:rsidRPr="001723B0">
        <w:rPr>
          <w:rFonts w:ascii="Arial" w:hAnsi="Arial" w:cs="Arial"/>
          <w:bCs/>
          <w:color w:val="000000"/>
          <w:sz w:val="20"/>
          <w:szCs w:val="20"/>
        </w:rPr>
        <w:t>j</w:t>
      </w:r>
      <w:r w:rsidR="00D51D78" w:rsidRPr="001723B0">
        <w:rPr>
          <w:rFonts w:ascii="Arial" w:hAnsi="Arial" w:cs="Arial"/>
          <w:bCs/>
          <w:color w:val="000000"/>
          <w:sz w:val="20"/>
          <w:szCs w:val="20"/>
        </w:rPr>
        <w:t xml:space="preserve"> </w:t>
      </w:r>
      <w:r w:rsidR="009159B9" w:rsidRPr="001723B0">
        <w:rPr>
          <w:rFonts w:ascii="Arial" w:hAnsi="Arial" w:cs="Arial"/>
          <w:bCs/>
          <w:color w:val="000000"/>
          <w:sz w:val="20"/>
          <w:szCs w:val="20"/>
        </w:rPr>
        <w:t xml:space="preserve">alokacji </w:t>
      </w:r>
      <w:r w:rsidR="00D51D78" w:rsidRPr="001723B0">
        <w:rPr>
          <w:rFonts w:ascii="Arial" w:hAnsi="Arial" w:cs="Arial"/>
          <w:bCs/>
          <w:color w:val="000000"/>
          <w:sz w:val="20"/>
          <w:szCs w:val="20"/>
        </w:rPr>
        <w:t>dokonywane</w:t>
      </w:r>
      <w:r w:rsidR="009159B9" w:rsidRPr="001723B0">
        <w:rPr>
          <w:rFonts w:ascii="Arial" w:hAnsi="Arial" w:cs="Arial"/>
          <w:bCs/>
          <w:color w:val="000000"/>
          <w:sz w:val="20"/>
          <w:szCs w:val="20"/>
        </w:rPr>
        <w:t>j</w:t>
      </w:r>
      <w:r w:rsidR="00D51D78" w:rsidRPr="001723B0">
        <w:rPr>
          <w:rFonts w:ascii="Arial" w:hAnsi="Arial" w:cs="Arial"/>
          <w:bCs/>
          <w:color w:val="000000"/>
          <w:sz w:val="20"/>
          <w:szCs w:val="20"/>
        </w:rPr>
        <w:t xml:space="preserve"> przez Zarząd, opisane</w:t>
      </w:r>
      <w:r w:rsidR="009159B9" w:rsidRPr="001723B0">
        <w:rPr>
          <w:rFonts w:ascii="Arial" w:hAnsi="Arial" w:cs="Arial"/>
          <w:bCs/>
          <w:color w:val="000000"/>
          <w:sz w:val="20"/>
          <w:szCs w:val="20"/>
        </w:rPr>
        <w:t>j</w:t>
      </w:r>
      <w:r w:rsidR="00D51D78" w:rsidRPr="001723B0">
        <w:rPr>
          <w:rFonts w:ascii="Arial" w:hAnsi="Arial" w:cs="Arial"/>
          <w:bCs/>
          <w:color w:val="000000"/>
          <w:sz w:val="20"/>
          <w:szCs w:val="20"/>
        </w:rPr>
        <w:t xml:space="preserve"> poniżej</w:t>
      </w:r>
      <w:r w:rsidR="009159B9" w:rsidRPr="001723B0">
        <w:rPr>
          <w:rFonts w:ascii="Arial" w:hAnsi="Arial" w:cs="Arial"/>
          <w:bCs/>
          <w:color w:val="000000"/>
          <w:sz w:val="20"/>
          <w:szCs w:val="20"/>
        </w:rPr>
        <w:t>, co do liczby Akcji Oferowanych, do których przysługuje im Prawo Pierwszeństwa</w:t>
      </w:r>
      <w:r w:rsidR="00D51D78" w:rsidRPr="001723B0">
        <w:rPr>
          <w:rFonts w:ascii="Arial" w:hAnsi="Arial" w:cs="Arial"/>
          <w:bCs/>
          <w:color w:val="000000"/>
          <w:sz w:val="20"/>
          <w:szCs w:val="20"/>
        </w:rPr>
        <w:t>.</w:t>
      </w:r>
      <w:r w:rsidR="005F1A0B">
        <w:rPr>
          <w:rFonts w:ascii="Arial" w:hAnsi="Arial" w:cs="Arial"/>
          <w:bCs/>
          <w:color w:val="000000"/>
          <w:sz w:val="20"/>
          <w:szCs w:val="20"/>
        </w:rPr>
        <w:t xml:space="preserve"> </w:t>
      </w:r>
    </w:p>
    <w:p w14:paraId="259BDC1C" w14:textId="77777777" w:rsidR="0094783A" w:rsidRPr="001723B0" w:rsidRDefault="0094783A" w:rsidP="000868D7">
      <w:pPr>
        <w:spacing w:after="120" w:line="240" w:lineRule="auto"/>
        <w:jc w:val="both"/>
        <w:rPr>
          <w:rFonts w:ascii="Arial" w:hAnsi="Arial" w:cs="Arial"/>
          <w:b/>
          <w:bCs/>
          <w:sz w:val="20"/>
          <w:szCs w:val="20"/>
          <w:u w:val="single"/>
        </w:rPr>
      </w:pPr>
      <w:r w:rsidRPr="001723B0">
        <w:rPr>
          <w:rFonts w:ascii="Arial" w:hAnsi="Arial" w:cs="Arial"/>
          <w:b/>
          <w:bCs/>
          <w:sz w:val="20"/>
          <w:szCs w:val="20"/>
          <w:u w:val="single"/>
        </w:rPr>
        <w:lastRenderedPageBreak/>
        <w:t xml:space="preserve">Ustalenie </w:t>
      </w:r>
      <w:r w:rsidR="00F56A38" w:rsidRPr="001723B0">
        <w:rPr>
          <w:rFonts w:ascii="Arial" w:hAnsi="Arial" w:cs="Arial"/>
          <w:b/>
          <w:bCs/>
          <w:sz w:val="20"/>
          <w:szCs w:val="20"/>
          <w:u w:val="single"/>
        </w:rPr>
        <w:t xml:space="preserve">Ceny Emisyjnej, </w:t>
      </w:r>
      <w:r w:rsidRPr="001723B0">
        <w:rPr>
          <w:rFonts w:ascii="Arial" w:hAnsi="Arial" w:cs="Arial"/>
          <w:b/>
          <w:bCs/>
          <w:sz w:val="20"/>
          <w:szCs w:val="20"/>
          <w:u w:val="single"/>
        </w:rPr>
        <w:t>liczby Akcji Oferowanych</w:t>
      </w:r>
      <w:r w:rsidR="00DD3413" w:rsidRPr="001723B0">
        <w:rPr>
          <w:rFonts w:ascii="Arial" w:hAnsi="Arial" w:cs="Arial"/>
          <w:b/>
          <w:bCs/>
          <w:sz w:val="20"/>
          <w:szCs w:val="20"/>
          <w:u w:val="single"/>
        </w:rPr>
        <w:t>,</w:t>
      </w:r>
      <w:r w:rsidR="00092CAC" w:rsidRPr="001723B0">
        <w:rPr>
          <w:rFonts w:ascii="Arial" w:hAnsi="Arial" w:cs="Arial"/>
          <w:b/>
          <w:bCs/>
          <w:sz w:val="20"/>
          <w:szCs w:val="20"/>
          <w:u w:val="single"/>
        </w:rPr>
        <w:t xml:space="preserve"> </w:t>
      </w:r>
      <w:r w:rsidR="00F56A38" w:rsidRPr="001723B0">
        <w:rPr>
          <w:rFonts w:ascii="Arial" w:hAnsi="Arial" w:cs="Arial"/>
          <w:b/>
          <w:bCs/>
          <w:sz w:val="20"/>
          <w:szCs w:val="20"/>
          <w:u w:val="single"/>
        </w:rPr>
        <w:t>Listy W</w:t>
      </w:r>
      <w:r w:rsidR="001849BB" w:rsidRPr="001723B0">
        <w:rPr>
          <w:rFonts w:ascii="Arial" w:hAnsi="Arial" w:cs="Arial"/>
          <w:b/>
          <w:bCs/>
          <w:sz w:val="20"/>
          <w:szCs w:val="20"/>
          <w:u w:val="single"/>
        </w:rPr>
        <w:t xml:space="preserve">stępnej </w:t>
      </w:r>
      <w:r w:rsidR="00F56A38" w:rsidRPr="001723B0">
        <w:rPr>
          <w:rFonts w:ascii="Arial" w:hAnsi="Arial" w:cs="Arial"/>
          <w:b/>
          <w:bCs/>
          <w:sz w:val="20"/>
          <w:szCs w:val="20"/>
          <w:u w:val="single"/>
        </w:rPr>
        <w:t>A</w:t>
      </w:r>
      <w:r w:rsidR="001849BB" w:rsidRPr="001723B0">
        <w:rPr>
          <w:rFonts w:ascii="Arial" w:hAnsi="Arial" w:cs="Arial"/>
          <w:b/>
          <w:bCs/>
          <w:sz w:val="20"/>
          <w:szCs w:val="20"/>
          <w:u w:val="single"/>
        </w:rPr>
        <w:t>lokacji</w:t>
      </w:r>
      <w:r w:rsidR="00DD3413" w:rsidRPr="001723B0">
        <w:rPr>
          <w:rFonts w:ascii="Arial" w:hAnsi="Arial" w:cs="Arial"/>
          <w:b/>
          <w:bCs/>
          <w:sz w:val="20"/>
          <w:szCs w:val="20"/>
          <w:u w:val="single"/>
        </w:rPr>
        <w:t xml:space="preserve"> oraz podjęcie Uchwały Emisyjnej</w:t>
      </w:r>
    </w:p>
    <w:p w14:paraId="6757D8D7" w14:textId="19CE79AB" w:rsidR="00F56A38" w:rsidRPr="001723B0" w:rsidRDefault="0094783A" w:rsidP="00074294">
      <w:pPr>
        <w:jc w:val="both"/>
        <w:rPr>
          <w:rFonts w:ascii="Arial" w:hAnsi="Arial" w:cs="Arial"/>
          <w:sz w:val="20"/>
          <w:szCs w:val="20"/>
        </w:rPr>
      </w:pPr>
      <w:r w:rsidRPr="001723B0">
        <w:rPr>
          <w:rFonts w:ascii="Arial" w:hAnsi="Arial" w:cs="Arial"/>
          <w:sz w:val="20"/>
          <w:szCs w:val="20"/>
        </w:rPr>
        <w:t xml:space="preserve">Na podstawie złożonych przez </w:t>
      </w:r>
      <w:r w:rsidR="00DF6C3C">
        <w:rPr>
          <w:rFonts w:ascii="Arial" w:hAnsi="Arial" w:cs="Arial"/>
          <w:sz w:val="20"/>
          <w:szCs w:val="20"/>
        </w:rPr>
        <w:t>I</w:t>
      </w:r>
      <w:r w:rsidR="00F56A38" w:rsidRPr="001723B0">
        <w:rPr>
          <w:rFonts w:ascii="Arial" w:hAnsi="Arial" w:cs="Arial"/>
          <w:sz w:val="20"/>
          <w:szCs w:val="20"/>
        </w:rPr>
        <w:t xml:space="preserve">nwestorów (w tym </w:t>
      </w:r>
      <w:r w:rsidRPr="001723B0">
        <w:rPr>
          <w:rFonts w:ascii="Arial" w:hAnsi="Arial" w:cs="Arial"/>
          <w:sz w:val="20"/>
          <w:szCs w:val="20"/>
        </w:rPr>
        <w:t>Uprawniony</w:t>
      </w:r>
      <w:r w:rsidR="003A33CD" w:rsidRPr="001723B0">
        <w:rPr>
          <w:rFonts w:ascii="Arial" w:hAnsi="Arial" w:cs="Arial"/>
          <w:sz w:val="20"/>
          <w:szCs w:val="20"/>
        </w:rPr>
        <w:t>ch</w:t>
      </w:r>
      <w:r w:rsidRPr="001723B0">
        <w:rPr>
          <w:rFonts w:ascii="Arial" w:hAnsi="Arial" w:cs="Arial"/>
          <w:sz w:val="20"/>
          <w:szCs w:val="20"/>
        </w:rPr>
        <w:t xml:space="preserve"> Inwestorów</w:t>
      </w:r>
      <w:r w:rsidR="00F56A38" w:rsidRPr="001723B0">
        <w:rPr>
          <w:rFonts w:ascii="Arial" w:hAnsi="Arial" w:cs="Arial"/>
          <w:sz w:val="20"/>
          <w:szCs w:val="20"/>
        </w:rPr>
        <w:t>)</w:t>
      </w:r>
      <w:r w:rsidRPr="001723B0">
        <w:rPr>
          <w:rFonts w:ascii="Arial" w:hAnsi="Arial" w:cs="Arial"/>
          <w:sz w:val="20"/>
          <w:szCs w:val="20"/>
        </w:rPr>
        <w:t xml:space="preserve"> Deklaracji, w</w:t>
      </w:r>
      <w:r w:rsidR="009E0A22" w:rsidRPr="001723B0">
        <w:rPr>
          <w:rFonts w:ascii="Arial" w:hAnsi="Arial" w:cs="Arial"/>
          <w:sz w:val="20"/>
          <w:szCs w:val="20"/>
        </w:rPr>
        <w:t> </w:t>
      </w:r>
      <w:r w:rsidRPr="001723B0">
        <w:rPr>
          <w:rFonts w:ascii="Arial" w:hAnsi="Arial" w:cs="Arial"/>
          <w:sz w:val="20"/>
          <w:szCs w:val="20"/>
        </w:rPr>
        <w:t xml:space="preserve">dniu </w:t>
      </w:r>
      <w:r w:rsidR="00DF7C1D">
        <w:rPr>
          <w:rFonts w:ascii="Arial" w:hAnsi="Arial" w:cs="Arial"/>
          <w:bCs/>
          <w:sz w:val="20"/>
          <w:szCs w:val="20"/>
        </w:rPr>
        <w:t xml:space="preserve">28 </w:t>
      </w:r>
      <w:r w:rsidR="002B6442">
        <w:rPr>
          <w:rFonts w:ascii="Arial" w:hAnsi="Arial" w:cs="Arial"/>
          <w:bCs/>
          <w:sz w:val="20"/>
          <w:szCs w:val="20"/>
        </w:rPr>
        <w:t>kwietnia</w:t>
      </w:r>
      <w:r w:rsidR="004823A8" w:rsidRPr="001723B0">
        <w:rPr>
          <w:rFonts w:ascii="Arial" w:hAnsi="Arial" w:cs="Arial"/>
          <w:bCs/>
          <w:sz w:val="20"/>
          <w:szCs w:val="20"/>
        </w:rPr>
        <w:t xml:space="preserve"> </w:t>
      </w:r>
      <w:r w:rsidR="00F56A38" w:rsidRPr="001723B0">
        <w:rPr>
          <w:rFonts w:ascii="Arial" w:hAnsi="Arial" w:cs="Arial"/>
          <w:bCs/>
          <w:sz w:val="20"/>
          <w:szCs w:val="20"/>
        </w:rPr>
        <w:t>202</w:t>
      </w:r>
      <w:r w:rsidR="00BF7ADC">
        <w:rPr>
          <w:rFonts w:ascii="Arial" w:hAnsi="Arial" w:cs="Arial"/>
          <w:bCs/>
          <w:sz w:val="20"/>
          <w:szCs w:val="20"/>
        </w:rPr>
        <w:t>6</w:t>
      </w:r>
      <w:r w:rsidR="00F56A38" w:rsidRPr="001723B0">
        <w:rPr>
          <w:rFonts w:ascii="Arial" w:hAnsi="Arial" w:cs="Arial"/>
          <w:bCs/>
          <w:sz w:val="20"/>
          <w:szCs w:val="20"/>
        </w:rPr>
        <w:t xml:space="preserve"> r.</w:t>
      </w:r>
      <w:r w:rsidRPr="001723B0">
        <w:rPr>
          <w:rFonts w:ascii="Arial" w:hAnsi="Arial" w:cs="Arial"/>
          <w:sz w:val="20"/>
          <w:szCs w:val="20"/>
        </w:rPr>
        <w:t xml:space="preserve"> </w:t>
      </w:r>
      <w:r w:rsidR="00F56A38" w:rsidRPr="001723B0">
        <w:rPr>
          <w:rFonts w:ascii="Arial" w:hAnsi="Arial" w:cs="Arial"/>
          <w:sz w:val="20"/>
          <w:szCs w:val="20"/>
        </w:rPr>
        <w:t>Spółk</w:t>
      </w:r>
      <w:r w:rsidR="0063059D" w:rsidRPr="001723B0">
        <w:rPr>
          <w:rFonts w:ascii="Arial" w:hAnsi="Arial" w:cs="Arial"/>
          <w:sz w:val="20"/>
          <w:szCs w:val="20"/>
        </w:rPr>
        <w:t>a</w:t>
      </w:r>
      <w:r w:rsidR="00DC69BE" w:rsidRPr="001723B0">
        <w:rPr>
          <w:rFonts w:ascii="Arial" w:hAnsi="Arial" w:cs="Arial"/>
          <w:sz w:val="20"/>
          <w:szCs w:val="20"/>
        </w:rPr>
        <w:t>,</w:t>
      </w:r>
      <w:r w:rsidR="00F56A38" w:rsidRPr="001723B0">
        <w:rPr>
          <w:rFonts w:ascii="Arial" w:hAnsi="Arial" w:cs="Arial"/>
          <w:sz w:val="20"/>
          <w:szCs w:val="20"/>
        </w:rPr>
        <w:t xml:space="preserve"> </w:t>
      </w:r>
      <w:r w:rsidRPr="001723B0">
        <w:rPr>
          <w:rFonts w:ascii="Arial" w:hAnsi="Arial" w:cs="Arial"/>
          <w:sz w:val="20"/>
          <w:szCs w:val="20"/>
        </w:rPr>
        <w:t xml:space="preserve">w porozumieniu z </w:t>
      </w:r>
      <w:r w:rsidR="00DD3413" w:rsidRPr="001723B0">
        <w:rPr>
          <w:rFonts w:ascii="Arial" w:hAnsi="Arial" w:cs="Arial"/>
          <w:sz w:val="20"/>
          <w:szCs w:val="20"/>
        </w:rPr>
        <w:t>Trigon DM</w:t>
      </w:r>
      <w:r w:rsidR="00DC69BE" w:rsidRPr="001723B0">
        <w:rPr>
          <w:rFonts w:ascii="Arial" w:hAnsi="Arial" w:cs="Arial"/>
          <w:sz w:val="20"/>
          <w:szCs w:val="20"/>
        </w:rPr>
        <w:t>,</w:t>
      </w:r>
      <w:r w:rsidR="005F6DFE" w:rsidRPr="001723B0">
        <w:rPr>
          <w:rFonts w:ascii="Arial" w:hAnsi="Arial" w:cs="Arial"/>
          <w:sz w:val="20"/>
          <w:szCs w:val="20"/>
        </w:rPr>
        <w:t xml:space="preserve"> </w:t>
      </w:r>
      <w:r w:rsidRPr="001723B0">
        <w:rPr>
          <w:rFonts w:ascii="Arial" w:hAnsi="Arial" w:cs="Arial"/>
          <w:sz w:val="20"/>
          <w:szCs w:val="20"/>
        </w:rPr>
        <w:t xml:space="preserve">ustali </w:t>
      </w:r>
      <w:r w:rsidR="005C4863" w:rsidRPr="001723B0">
        <w:rPr>
          <w:rFonts w:ascii="Arial" w:hAnsi="Arial" w:cs="Arial"/>
          <w:sz w:val="20"/>
          <w:szCs w:val="20"/>
        </w:rPr>
        <w:t>wysokość</w:t>
      </w:r>
      <w:r w:rsidR="00F56A38" w:rsidRPr="001723B0">
        <w:rPr>
          <w:rFonts w:ascii="Arial" w:hAnsi="Arial" w:cs="Arial"/>
          <w:sz w:val="20"/>
          <w:szCs w:val="20"/>
        </w:rPr>
        <w:t xml:space="preserve"> </w:t>
      </w:r>
      <w:r w:rsidR="000E6717" w:rsidRPr="001723B0">
        <w:rPr>
          <w:rFonts w:ascii="Arial" w:hAnsi="Arial" w:cs="Arial"/>
          <w:sz w:val="20"/>
          <w:szCs w:val="20"/>
        </w:rPr>
        <w:t xml:space="preserve">Ceny Emisyjnej </w:t>
      </w:r>
      <w:r w:rsidR="00FF36D8">
        <w:rPr>
          <w:rFonts w:ascii="Arial" w:hAnsi="Arial" w:cs="Arial"/>
          <w:sz w:val="20"/>
          <w:szCs w:val="20"/>
        </w:rPr>
        <w:t xml:space="preserve">na </w:t>
      </w:r>
      <w:r w:rsidR="00037586">
        <w:rPr>
          <w:rFonts w:ascii="Arial" w:hAnsi="Arial" w:cs="Arial"/>
          <w:sz w:val="20"/>
          <w:szCs w:val="20"/>
        </w:rPr>
        <w:t>poziomie</w:t>
      </w:r>
      <w:r w:rsidR="00FF36D8">
        <w:rPr>
          <w:rFonts w:ascii="Arial" w:hAnsi="Arial" w:cs="Arial"/>
          <w:sz w:val="20"/>
          <w:szCs w:val="20"/>
        </w:rPr>
        <w:t xml:space="preserve"> nie niższym niż 4,00 PLN za jedną Akcję Serii I </w:t>
      </w:r>
      <w:r w:rsidR="00F56A38" w:rsidRPr="001723B0">
        <w:rPr>
          <w:rFonts w:ascii="Arial" w:hAnsi="Arial" w:cs="Arial"/>
          <w:sz w:val="20"/>
          <w:szCs w:val="20"/>
        </w:rPr>
        <w:t xml:space="preserve">oraz </w:t>
      </w:r>
      <w:r w:rsidRPr="001723B0">
        <w:rPr>
          <w:rFonts w:ascii="Arial" w:hAnsi="Arial" w:cs="Arial"/>
          <w:sz w:val="20"/>
          <w:szCs w:val="20"/>
        </w:rPr>
        <w:t xml:space="preserve">liczbę Akcji Oferowanych, które zostaną zaproponowane do </w:t>
      </w:r>
      <w:r w:rsidR="009B52E9" w:rsidRPr="001723B0">
        <w:rPr>
          <w:rFonts w:ascii="Arial" w:hAnsi="Arial" w:cs="Arial"/>
          <w:sz w:val="20"/>
          <w:szCs w:val="20"/>
        </w:rPr>
        <w:t xml:space="preserve">objęcia </w:t>
      </w:r>
      <w:r w:rsidR="00F56A38" w:rsidRPr="001723B0">
        <w:rPr>
          <w:rFonts w:ascii="Arial" w:hAnsi="Arial" w:cs="Arial"/>
          <w:sz w:val="20"/>
          <w:szCs w:val="20"/>
        </w:rPr>
        <w:t xml:space="preserve">przez </w:t>
      </w:r>
      <w:r w:rsidR="00DF6C3C">
        <w:rPr>
          <w:rFonts w:ascii="Arial" w:hAnsi="Arial" w:cs="Arial"/>
          <w:sz w:val="20"/>
          <w:szCs w:val="20"/>
        </w:rPr>
        <w:t>I</w:t>
      </w:r>
      <w:r w:rsidR="00F56A38" w:rsidRPr="001723B0">
        <w:rPr>
          <w:rFonts w:ascii="Arial" w:hAnsi="Arial" w:cs="Arial"/>
          <w:sz w:val="20"/>
          <w:szCs w:val="20"/>
        </w:rPr>
        <w:t>nwestorów. Ponadto, Spółk</w:t>
      </w:r>
      <w:r w:rsidR="0063059D" w:rsidRPr="001723B0">
        <w:rPr>
          <w:rFonts w:ascii="Arial" w:hAnsi="Arial" w:cs="Arial"/>
          <w:sz w:val="20"/>
          <w:szCs w:val="20"/>
        </w:rPr>
        <w:t>a</w:t>
      </w:r>
      <w:r w:rsidR="00F56A38" w:rsidRPr="001723B0">
        <w:rPr>
          <w:rFonts w:ascii="Arial" w:hAnsi="Arial" w:cs="Arial"/>
          <w:sz w:val="20"/>
          <w:szCs w:val="20"/>
        </w:rPr>
        <w:t xml:space="preserve"> dokona również wyboru </w:t>
      </w:r>
      <w:r w:rsidR="00C65004">
        <w:rPr>
          <w:rFonts w:ascii="Arial" w:hAnsi="Arial" w:cs="Arial"/>
          <w:sz w:val="20"/>
          <w:szCs w:val="20"/>
        </w:rPr>
        <w:t>I</w:t>
      </w:r>
      <w:r w:rsidR="00F56A38" w:rsidRPr="001723B0">
        <w:rPr>
          <w:rFonts w:ascii="Arial" w:hAnsi="Arial" w:cs="Arial"/>
          <w:sz w:val="20"/>
          <w:szCs w:val="20"/>
        </w:rPr>
        <w:t>nwestorów (w</w:t>
      </w:r>
      <w:r w:rsidR="00B3661E" w:rsidRPr="001723B0">
        <w:rPr>
          <w:rFonts w:ascii="Arial" w:hAnsi="Arial" w:cs="Arial"/>
          <w:sz w:val="20"/>
          <w:szCs w:val="20"/>
        </w:rPr>
        <w:t> </w:t>
      </w:r>
      <w:r w:rsidR="00F56A38" w:rsidRPr="001723B0">
        <w:rPr>
          <w:rFonts w:ascii="Arial" w:hAnsi="Arial" w:cs="Arial"/>
          <w:sz w:val="20"/>
          <w:szCs w:val="20"/>
        </w:rPr>
        <w:t>tym Uprawnionych Inwestorów), którym złoży ofert</w:t>
      </w:r>
      <w:r w:rsidR="00795CF5" w:rsidRPr="001723B0">
        <w:rPr>
          <w:rFonts w:ascii="Arial" w:hAnsi="Arial" w:cs="Arial"/>
          <w:sz w:val="20"/>
          <w:szCs w:val="20"/>
        </w:rPr>
        <w:t>y</w:t>
      </w:r>
      <w:r w:rsidR="00F56A38" w:rsidRPr="001723B0">
        <w:rPr>
          <w:rFonts w:ascii="Arial" w:hAnsi="Arial" w:cs="Arial"/>
          <w:sz w:val="20"/>
          <w:szCs w:val="20"/>
        </w:rPr>
        <w:t xml:space="preserve"> objęcia Akcji Oferowanych. Ustalając listę takich </w:t>
      </w:r>
      <w:r w:rsidR="00C65004">
        <w:rPr>
          <w:rFonts w:ascii="Arial" w:hAnsi="Arial" w:cs="Arial"/>
          <w:sz w:val="20"/>
          <w:szCs w:val="20"/>
        </w:rPr>
        <w:t>I</w:t>
      </w:r>
      <w:r w:rsidR="00F56A38" w:rsidRPr="001723B0">
        <w:rPr>
          <w:rFonts w:ascii="Arial" w:hAnsi="Arial" w:cs="Arial"/>
          <w:sz w:val="20"/>
          <w:szCs w:val="20"/>
        </w:rPr>
        <w:t>nwestorów („</w:t>
      </w:r>
      <w:r w:rsidR="00F56A38" w:rsidRPr="001723B0">
        <w:rPr>
          <w:rFonts w:ascii="Arial" w:hAnsi="Arial" w:cs="Arial"/>
          <w:b/>
          <w:bCs/>
          <w:sz w:val="20"/>
          <w:szCs w:val="20"/>
        </w:rPr>
        <w:t>Lista Wstępnej Alokacji</w:t>
      </w:r>
      <w:r w:rsidR="00F56A38" w:rsidRPr="001723B0">
        <w:rPr>
          <w:rFonts w:ascii="Arial" w:hAnsi="Arial" w:cs="Arial"/>
          <w:sz w:val="20"/>
          <w:szCs w:val="20"/>
        </w:rPr>
        <w:t>”) Spółk</w:t>
      </w:r>
      <w:r w:rsidR="0063059D" w:rsidRPr="001723B0">
        <w:rPr>
          <w:rFonts w:ascii="Arial" w:hAnsi="Arial" w:cs="Arial"/>
          <w:sz w:val="20"/>
          <w:szCs w:val="20"/>
        </w:rPr>
        <w:t>a</w:t>
      </w:r>
      <w:r w:rsidR="00F56A38" w:rsidRPr="001723B0">
        <w:rPr>
          <w:rFonts w:ascii="Arial" w:hAnsi="Arial" w:cs="Arial"/>
          <w:sz w:val="20"/>
          <w:szCs w:val="20"/>
        </w:rPr>
        <w:t xml:space="preserve"> ustali również liczbę Akcji Oferowanych przeznaczonych do zaoferowania każdemu z takich </w:t>
      </w:r>
      <w:r w:rsidR="00C65004">
        <w:rPr>
          <w:rFonts w:ascii="Arial" w:hAnsi="Arial" w:cs="Arial"/>
          <w:sz w:val="20"/>
          <w:szCs w:val="20"/>
        </w:rPr>
        <w:t>I</w:t>
      </w:r>
      <w:r w:rsidR="00F56A38" w:rsidRPr="001723B0">
        <w:rPr>
          <w:rFonts w:ascii="Arial" w:hAnsi="Arial" w:cs="Arial"/>
          <w:sz w:val="20"/>
          <w:szCs w:val="20"/>
        </w:rPr>
        <w:t>nwestorów.</w:t>
      </w:r>
      <w:r w:rsidR="00415846" w:rsidRPr="001723B0">
        <w:rPr>
          <w:rFonts w:ascii="Arial" w:hAnsi="Arial" w:cs="Arial"/>
          <w:sz w:val="20"/>
          <w:szCs w:val="20"/>
        </w:rPr>
        <w:t xml:space="preserve"> Po dokonaniu powyższych czynności Zarząd Spółki podejmie Uchwałę Emisyjną odzwierciedlającą parametry dotyczące Ceny Emisyjnej i liczby Akcji Oferowanych.</w:t>
      </w:r>
    </w:p>
    <w:p w14:paraId="30269290" w14:textId="77777777" w:rsidR="0077161C" w:rsidRPr="001723B0" w:rsidRDefault="00E83A43" w:rsidP="00074294">
      <w:pPr>
        <w:jc w:val="both"/>
        <w:rPr>
          <w:rFonts w:ascii="Arial" w:hAnsi="Arial" w:cs="Arial"/>
          <w:sz w:val="20"/>
          <w:szCs w:val="20"/>
        </w:rPr>
      </w:pPr>
      <w:r w:rsidRPr="001723B0">
        <w:rPr>
          <w:rFonts w:ascii="Arial" w:hAnsi="Arial" w:cs="Arial"/>
          <w:sz w:val="20"/>
          <w:szCs w:val="20"/>
        </w:rPr>
        <w:t xml:space="preserve">Wybór </w:t>
      </w:r>
      <w:r w:rsidR="00C65004">
        <w:rPr>
          <w:rFonts w:ascii="Arial" w:hAnsi="Arial" w:cs="Arial"/>
          <w:sz w:val="20"/>
          <w:szCs w:val="20"/>
        </w:rPr>
        <w:t>I</w:t>
      </w:r>
      <w:r w:rsidRPr="001723B0">
        <w:rPr>
          <w:rFonts w:ascii="Arial" w:hAnsi="Arial" w:cs="Arial"/>
          <w:sz w:val="20"/>
          <w:szCs w:val="20"/>
        </w:rPr>
        <w:t xml:space="preserve">nwestorów na potrzeby Listy Wstępnej Alokacji zostanie dokonany spośród </w:t>
      </w:r>
      <w:r w:rsidR="00C65004">
        <w:rPr>
          <w:rFonts w:ascii="Arial" w:hAnsi="Arial" w:cs="Arial"/>
          <w:sz w:val="20"/>
          <w:szCs w:val="20"/>
        </w:rPr>
        <w:t>I</w:t>
      </w:r>
      <w:r w:rsidRPr="001723B0">
        <w:rPr>
          <w:rFonts w:ascii="Arial" w:hAnsi="Arial" w:cs="Arial"/>
          <w:sz w:val="20"/>
          <w:szCs w:val="20"/>
        </w:rPr>
        <w:t xml:space="preserve">nwestorów (w tym Uprawnionych Inwestorów), którzy wzięli udział w </w:t>
      </w:r>
      <w:r w:rsidR="00F86CA9" w:rsidRPr="001723B0">
        <w:rPr>
          <w:rFonts w:ascii="Arial" w:hAnsi="Arial" w:cs="Arial"/>
          <w:sz w:val="20"/>
          <w:szCs w:val="20"/>
        </w:rPr>
        <w:t>P</w:t>
      </w:r>
      <w:r w:rsidRPr="001723B0">
        <w:rPr>
          <w:rFonts w:ascii="Arial" w:hAnsi="Arial" w:cs="Arial"/>
          <w:sz w:val="20"/>
          <w:szCs w:val="20"/>
        </w:rPr>
        <w:t xml:space="preserve">rocesie </w:t>
      </w:r>
      <w:r w:rsidR="006D3C03" w:rsidRPr="001723B0">
        <w:rPr>
          <w:rFonts w:ascii="Arial" w:hAnsi="Arial" w:cs="Arial"/>
          <w:color w:val="000000"/>
          <w:sz w:val="20"/>
          <w:szCs w:val="20"/>
        </w:rPr>
        <w:t>Budowania Księgi Popytu</w:t>
      </w:r>
      <w:r w:rsidRPr="001723B0">
        <w:rPr>
          <w:rFonts w:ascii="Arial" w:hAnsi="Arial" w:cs="Arial"/>
          <w:sz w:val="20"/>
          <w:szCs w:val="20"/>
        </w:rPr>
        <w:t>, oraz którzy w</w:t>
      </w:r>
      <w:r w:rsidR="004E7411" w:rsidRPr="001723B0">
        <w:rPr>
          <w:rFonts w:ascii="Arial" w:hAnsi="Arial" w:cs="Arial"/>
          <w:sz w:val="20"/>
          <w:szCs w:val="20"/>
        </w:rPr>
        <w:t> </w:t>
      </w:r>
      <w:r w:rsidRPr="001723B0">
        <w:rPr>
          <w:rFonts w:ascii="Arial" w:hAnsi="Arial" w:cs="Arial"/>
          <w:sz w:val="20"/>
          <w:szCs w:val="20"/>
        </w:rPr>
        <w:t xml:space="preserve">Deklaracjach zadeklarowali </w:t>
      </w:r>
      <w:r w:rsidR="000868D7" w:rsidRPr="001723B0">
        <w:rPr>
          <w:rFonts w:ascii="Arial" w:hAnsi="Arial" w:cs="Arial"/>
          <w:sz w:val="20"/>
          <w:szCs w:val="20"/>
        </w:rPr>
        <w:t xml:space="preserve">cenę </w:t>
      </w:r>
      <w:r w:rsidR="009159B9" w:rsidRPr="001723B0">
        <w:rPr>
          <w:rFonts w:ascii="Arial" w:hAnsi="Arial" w:cs="Arial"/>
          <w:sz w:val="20"/>
          <w:szCs w:val="20"/>
        </w:rPr>
        <w:t xml:space="preserve">za jedną Akcję Oferowaną </w:t>
      </w:r>
      <w:r w:rsidRPr="001723B0">
        <w:rPr>
          <w:rFonts w:ascii="Arial" w:hAnsi="Arial" w:cs="Arial"/>
          <w:sz w:val="20"/>
          <w:szCs w:val="20"/>
        </w:rPr>
        <w:t xml:space="preserve">nie niższą niż Cena Emisyjna ustalona przez </w:t>
      </w:r>
      <w:r w:rsidR="0077161C" w:rsidRPr="001723B0">
        <w:rPr>
          <w:rFonts w:ascii="Arial" w:hAnsi="Arial" w:cs="Arial"/>
          <w:sz w:val="20"/>
          <w:szCs w:val="20"/>
        </w:rPr>
        <w:t>Spółk</w:t>
      </w:r>
      <w:r w:rsidR="0063059D" w:rsidRPr="001723B0">
        <w:rPr>
          <w:rFonts w:ascii="Arial" w:hAnsi="Arial" w:cs="Arial"/>
          <w:sz w:val="20"/>
          <w:szCs w:val="20"/>
        </w:rPr>
        <w:t>ę</w:t>
      </w:r>
      <w:r w:rsidR="0077161C" w:rsidRPr="001723B0">
        <w:rPr>
          <w:rFonts w:ascii="Arial" w:hAnsi="Arial" w:cs="Arial"/>
          <w:sz w:val="20"/>
          <w:szCs w:val="20"/>
        </w:rPr>
        <w:t xml:space="preserve"> </w:t>
      </w:r>
      <w:r w:rsidRPr="001723B0">
        <w:rPr>
          <w:rFonts w:ascii="Arial" w:hAnsi="Arial" w:cs="Arial"/>
          <w:sz w:val="20"/>
          <w:szCs w:val="20"/>
        </w:rPr>
        <w:t xml:space="preserve">po zakończeniu </w:t>
      </w:r>
      <w:r w:rsidR="00F86CA9" w:rsidRPr="001723B0">
        <w:rPr>
          <w:rFonts w:ascii="Arial" w:hAnsi="Arial" w:cs="Arial"/>
          <w:sz w:val="20"/>
          <w:szCs w:val="20"/>
        </w:rPr>
        <w:t>P</w:t>
      </w:r>
      <w:r w:rsidRPr="001723B0">
        <w:rPr>
          <w:rFonts w:ascii="Arial" w:hAnsi="Arial" w:cs="Arial"/>
          <w:sz w:val="20"/>
          <w:szCs w:val="20"/>
        </w:rPr>
        <w:t xml:space="preserve">rocesu </w:t>
      </w:r>
      <w:r w:rsidR="006D3C03" w:rsidRPr="001723B0">
        <w:rPr>
          <w:rFonts w:ascii="Arial" w:hAnsi="Arial" w:cs="Arial"/>
          <w:color w:val="000000"/>
          <w:sz w:val="20"/>
          <w:szCs w:val="20"/>
        </w:rPr>
        <w:t>Budowania Księgi Popytu</w:t>
      </w:r>
      <w:r w:rsidRPr="001723B0">
        <w:rPr>
          <w:rFonts w:ascii="Arial" w:hAnsi="Arial" w:cs="Arial"/>
          <w:sz w:val="20"/>
          <w:szCs w:val="20"/>
        </w:rPr>
        <w:t>.</w:t>
      </w:r>
    </w:p>
    <w:p w14:paraId="52D16BB6" w14:textId="77777777" w:rsidR="0094783A" w:rsidRPr="001723B0" w:rsidRDefault="00212EF3" w:rsidP="00074294">
      <w:pPr>
        <w:jc w:val="both"/>
        <w:rPr>
          <w:rFonts w:ascii="Arial" w:hAnsi="Arial" w:cs="Arial"/>
          <w:sz w:val="20"/>
          <w:szCs w:val="20"/>
        </w:rPr>
      </w:pPr>
      <w:r w:rsidRPr="001723B0">
        <w:rPr>
          <w:rFonts w:ascii="Arial" w:hAnsi="Arial" w:cs="Arial"/>
          <w:sz w:val="20"/>
          <w:szCs w:val="20"/>
        </w:rPr>
        <w:t xml:space="preserve">Z zastrzeżeniem </w:t>
      </w:r>
      <w:r w:rsidR="0063059D" w:rsidRPr="001723B0">
        <w:rPr>
          <w:rFonts w:ascii="Arial" w:hAnsi="Arial" w:cs="Arial"/>
          <w:sz w:val="20"/>
          <w:szCs w:val="20"/>
        </w:rPr>
        <w:t>Prawa P</w:t>
      </w:r>
      <w:r w:rsidRPr="001723B0">
        <w:rPr>
          <w:rFonts w:ascii="Arial" w:hAnsi="Arial" w:cs="Arial"/>
          <w:sz w:val="20"/>
          <w:szCs w:val="20"/>
        </w:rPr>
        <w:t xml:space="preserve">ierwszeństwa przysługującego </w:t>
      </w:r>
      <w:r w:rsidR="0063059D" w:rsidRPr="001723B0">
        <w:rPr>
          <w:rFonts w:ascii="Arial" w:hAnsi="Arial" w:cs="Arial"/>
          <w:sz w:val="20"/>
          <w:szCs w:val="20"/>
        </w:rPr>
        <w:t>Uprawnionym Inwestorom</w:t>
      </w:r>
      <w:r w:rsidRPr="001723B0">
        <w:rPr>
          <w:rFonts w:ascii="Arial" w:hAnsi="Arial" w:cs="Arial"/>
          <w:sz w:val="20"/>
          <w:szCs w:val="20"/>
        </w:rPr>
        <w:t xml:space="preserve">, </w:t>
      </w:r>
      <w:r w:rsidR="0063059D" w:rsidRPr="001723B0">
        <w:rPr>
          <w:rFonts w:ascii="Arial" w:hAnsi="Arial" w:cs="Arial"/>
          <w:sz w:val="20"/>
          <w:szCs w:val="20"/>
        </w:rPr>
        <w:t xml:space="preserve">Spółka </w:t>
      </w:r>
      <w:r w:rsidR="00CB3DA7" w:rsidRPr="001723B0">
        <w:rPr>
          <w:rFonts w:ascii="Arial" w:hAnsi="Arial" w:cs="Arial"/>
          <w:sz w:val="20"/>
          <w:szCs w:val="20"/>
        </w:rPr>
        <w:t>dokona</w:t>
      </w:r>
      <w:r w:rsidR="0094783A" w:rsidRPr="001723B0">
        <w:rPr>
          <w:rFonts w:ascii="Arial" w:hAnsi="Arial" w:cs="Arial"/>
          <w:sz w:val="20"/>
          <w:szCs w:val="20"/>
        </w:rPr>
        <w:t xml:space="preserve"> alokacji Akcji Oferowanych pomiędzy </w:t>
      </w:r>
      <w:r w:rsidR="00C65004">
        <w:rPr>
          <w:rFonts w:ascii="Arial" w:hAnsi="Arial" w:cs="Arial"/>
          <w:sz w:val="20"/>
          <w:szCs w:val="20"/>
        </w:rPr>
        <w:t>I</w:t>
      </w:r>
      <w:r w:rsidR="0063059D" w:rsidRPr="001723B0">
        <w:rPr>
          <w:rFonts w:ascii="Arial" w:hAnsi="Arial" w:cs="Arial"/>
          <w:sz w:val="20"/>
          <w:szCs w:val="20"/>
        </w:rPr>
        <w:t xml:space="preserve">nwestorów (w tym </w:t>
      </w:r>
      <w:r w:rsidR="0094783A" w:rsidRPr="001723B0">
        <w:rPr>
          <w:rFonts w:ascii="Arial" w:hAnsi="Arial" w:cs="Arial"/>
          <w:sz w:val="20"/>
          <w:szCs w:val="20"/>
        </w:rPr>
        <w:t>Uprawnionych Inwestorów</w:t>
      </w:r>
      <w:r w:rsidR="0063059D" w:rsidRPr="001723B0">
        <w:rPr>
          <w:rFonts w:ascii="Arial" w:hAnsi="Arial" w:cs="Arial"/>
          <w:sz w:val="20"/>
          <w:szCs w:val="20"/>
        </w:rPr>
        <w:t>)</w:t>
      </w:r>
      <w:r w:rsidR="0094783A" w:rsidRPr="001723B0">
        <w:rPr>
          <w:rFonts w:ascii="Arial" w:hAnsi="Arial" w:cs="Arial"/>
          <w:sz w:val="20"/>
          <w:szCs w:val="20"/>
        </w:rPr>
        <w:t xml:space="preserve"> składających Deklaracje według własnego uznania, kierując się m.in. następującymi kryteriami:</w:t>
      </w:r>
    </w:p>
    <w:p w14:paraId="471E174F" w14:textId="77777777" w:rsidR="0094783A" w:rsidRPr="001723B0" w:rsidRDefault="0094783A" w:rsidP="004E7411">
      <w:pPr>
        <w:numPr>
          <w:ilvl w:val="0"/>
          <w:numId w:val="18"/>
        </w:numPr>
        <w:autoSpaceDE w:val="0"/>
        <w:autoSpaceDN w:val="0"/>
        <w:adjustRightInd w:val="0"/>
        <w:spacing w:after="120" w:line="240" w:lineRule="auto"/>
        <w:jc w:val="both"/>
        <w:rPr>
          <w:rFonts w:ascii="Arial" w:hAnsi="Arial" w:cs="Arial"/>
          <w:bCs/>
          <w:sz w:val="20"/>
          <w:szCs w:val="20"/>
        </w:rPr>
      </w:pPr>
      <w:r w:rsidRPr="001723B0">
        <w:rPr>
          <w:rFonts w:ascii="Arial" w:hAnsi="Arial" w:cs="Arial"/>
          <w:bCs/>
          <w:sz w:val="20"/>
          <w:szCs w:val="20"/>
        </w:rPr>
        <w:t>proponowan</w:t>
      </w:r>
      <w:r w:rsidR="00104329" w:rsidRPr="001723B0">
        <w:rPr>
          <w:rFonts w:ascii="Arial" w:hAnsi="Arial" w:cs="Arial"/>
          <w:bCs/>
          <w:sz w:val="20"/>
          <w:szCs w:val="20"/>
        </w:rPr>
        <w:t xml:space="preserve">ą </w:t>
      </w:r>
      <w:r w:rsidRPr="001723B0">
        <w:rPr>
          <w:rFonts w:ascii="Arial" w:hAnsi="Arial" w:cs="Arial"/>
          <w:bCs/>
          <w:sz w:val="20"/>
          <w:szCs w:val="20"/>
        </w:rPr>
        <w:t>przez</w:t>
      </w:r>
      <w:r w:rsidR="00D57337" w:rsidRPr="001723B0">
        <w:rPr>
          <w:rFonts w:ascii="Arial" w:hAnsi="Arial" w:cs="Arial"/>
          <w:bCs/>
          <w:sz w:val="20"/>
          <w:szCs w:val="20"/>
        </w:rPr>
        <w:t xml:space="preserve"> </w:t>
      </w:r>
      <w:r w:rsidR="00C65004">
        <w:rPr>
          <w:rFonts w:ascii="Arial" w:hAnsi="Arial" w:cs="Arial"/>
          <w:bCs/>
          <w:sz w:val="20"/>
          <w:szCs w:val="20"/>
        </w:rPr>
        <w:t>I</w:t>
      </w:r>
      <w:r w:rsidR="00D57337" w:rsidRPr="001723B0">
        <w:rPr>
          <w:rFonts w:ascii="Arial" w:hAnsi="Arial" w:cs="Arial"/>
          <w:bCs/>
          <w:sz w:val="20"/>
          <w:szCs w:val="20"/>
        </w:rPr>
        <w:t xml:space="preserve">nwestorów </w:t>
      </w:r>
      <w:r w:rsidRPr="001723B0">
        <w:rPr>
          <w:rFonts w:ascii="Arial" w:hAnsi="Arial" w:cs="Arial"/>
          <w:bCs/>
          <w:sz w:val="20"/>
          <w:szCs w:val="20"/>
        </w:rPr>
        <w:t>ceną za jedną Akcj</w:t>
      </w:r>
      <w:r w:rsidR="009B52E9" w:rsidRPr="001723B0">
        <w:rPr>
          <w:rFonts w:ascii="Arial" w:hAnsi="Arial" w:cs="Arial"/>
          <w:bCs/>
          <w:sz w:val="20"/>
          <w:szCs w:val="20"/>
        </w:rPr>
        <w:t>ę</w:t>
      </w:r>
      <w:r w:rsidRPr="001723B0">
        <w:rPr>
          <w:rFonts w:ascii="Arial" w:hAnsi="Arial" w:cs="Arial"/>
          <w:bCs/>
          <w:sz w:val="20"/>
          <w:szCs w:val="20"/>
        </w:rPr>
        <w:t xml:space="preserve"> Oferowaną (preferowani będą </w:t>
      </w:r>
      <w:r w:rsidR="00D57337" w:rsidRPr="001723B0">
        <w:rPr>
          <w:rFonts w:ascii="Arial" w:hAnsi="Arial" w:cs="Arial"/>
          <w:bCs/>
          <w:sz w:val="20"/>
          <w:szCs w:val="20"/>
        </w:rPr>
        <w:t xml:space="preserve">inwestorzy </w:t>
      </w:r>
      <w:r w:rsidR="002C55A5" w:rsidRPr="001723B0">
        <w:rPr>
          <w:rFonts w:ascii="Arial" w:hAnsi="Arial" w:cs="Arial"/>
          <w:bCs/>
          <w:sz w:val="20"/>
          <w:szCs w:val="20"/>
        </w:rPr>
        <w:t>oferujący</w:t>
      </w:r>
      <w:r w:rsidRPr="001723B0">
        <w:rPr>
          <w:rFonts w:ascii="Arial" w:hAnsi="Arial" w:cs="Arial"/>
          <w:bCs/>
          <w:sz w:val="20"/>
          <w:szCs w:val="20"/>
        </w:rPr>
        <w:t xml:space="preserve"> </w:t>
      </w:r>
      <w:r w:rsidR="000E6717" w:rsidRPr="001723B0">
        <w:rPr>
          <w:rFonts w:ascii="Arial" w:hAnsi="Arial" w:cs="Arial"/>
          <w:bCs/>
          <w:sz w:val="20"/>
          <w:szCs w:val="20"/>
        </w:rPr>
        <w:t xml:space="preserve">najwyższą </w:t>
      </w:r>
      <w:r w:rsidRPr="001723B0">
        <w:rPr>
          <w:rFonts w:ascii="Arial" w:hAnsi="Arial" w:cs="Arial"/>
          <w:bCs/>
          <w:sz w:val="20"/>
          <w:szCs w:val="20"/>
        </w:rPr>
        <w:t>cenę za jedną Akcj</w:t>
      </w:r>
      <w:r w:rsidR="009B52E9" w:rsidRPr="001723B0">
        <w:rPr>
          <w:rFonts w:ascii="Arial" w:hAnsi="Arial" w:cs="Arial"/>
          <w:bCs/>
          <w:sz w:val="20"/>
          <w:szCs w:val="20"/>
        </w:rPr>
        <w:t>ę</w:t>
      </w:r>
      <w:r w:rsidRPr="001723B0">
        <w:rPr>
          <w:rFonts w:ascii="Arial" w:hAnsi="Arial" w:cs="Arial"/>
          <w:bCs/>
          <w:sz w:val="20"/>
          <w:szCs w:val="20"/>
        </w:rPr>
        <w:t xml:space="preserve"> Oferowaną);</w:t>
      </w:r>
    </w:p>
    <w:p w14:paraId="687104A5" w14:textId="77777777" w:rsidR="0094783A" w:rsidRPr="001723B0" w:rsidRDefault="000E6717" w:rsidP="004E7411">
      <w:pPr>
        <w:numPr>
          <w:ilvl w:val="0"/>
          <w:numId w:val="18"/>
        </w:numPr>
        <w:autoSpaceDE w:val="0"/>
        <w:autoSpaceDN w:val="0"/>
        <w:adjustRightInd w:val="0"/>
        <w:spacing w:after="120" w:line="240" w:lineRule="auto"/>
        <w:jc w:val="both"/>
        <w:rPr>
          <w:rFonts w:ascii="Arial" w:hAnsi="Arial" w:cs="Arial"/>
          <w:bCs/>
          <w:sz w:val="20"/>
          <w:szCs w:val="20"/>
        </w:rPr>
      </w:pPr>
      <w:r w:rsidRPr="001723B0">
        <w:rPr>
          <w:rFonts w:ascii="Arial" w:hAnsi="Arial" w:cs="Arial"/>
          <w:bCs/>
          <w:sz w:val="20"/>
          <w:szCs w:val="20"/>
        </w:rPr>
        <w:t xml:space="preserve">datą </w:t>
      </w:r>
      <w:r w:rsidR="00104329" w:rsidRPr="001723B0">
        <w:rPr>
          <w:rFonts w:ascii="Arial" w:hAnsi="Arial" w:cs="Arial"/>
          <w:bCs/>
          <w:sz w:val="20"/>
          <w:szCs w:val="20"/>
        </w:rPr>
        <w:t>złożenia</w:t>
      </w:r>
      <w:r w:rsidR="0094783A" w:rsidRPr="001723B0">
        <w:rPr>
          <w:rFonts w:ascii="Arial" w:hAnsi="Arial" w:cs="Arial"/>
          <w:bCs/>
          <w:sz w:val="20"/>
          <w:szCs w:val="20"/>
        </w:rPr>
        <w:t xml:space="preserve"> Deklaracji (preferowani będą </w:t>
      </w:r>
      <w:r w:rsidR="00C65004">
        <w:rPr>
          <w:rFonts w:ascii="Arial" w:hAnsi="Arial" w:cs="Arial"/>
          <w:bCs/>
          <w:sz w:val="20"/>
          <w:szCs w:val="20"/>
        </w:rPr>
        <w:t>I</w:t>
      </w:r>
      <w:r w:rsidR="00D57337" w:rsidRPr="001723B0">
        <w:rPr>
          <w:rFonts w:ascii="Arial" w:hAnsi="Arial" w:cs="Arial"/>
          <w:bCs/>
          <w:sz w:val="20"/>
          <w:szCs w:val="20"/>
        </w:rPr>
        <w:t xml:space="preserve">nwestorzy </w:t>
      </w:r>
      <w:r w:rsidR="0094783A" w:rsidRPr="001723B0">
        <w:rPr>
          <w:rFonts w:ascii="Arial" w:hAnsi="Arial" w:cs="Arial"/>
          <w:bCs/>
          <w:sz w:val="20"/>
          <w:szCs w:val="20"/>
        </w:rPr>
        <w:t>składający Deklaracje jako pierwsi);</w:t>
      </w:r>
    </w:p>
    <w:p w14:paraId="52CC0AB4" w14:textId="77777777" w:rsidR="0094783A" w:rsidRPr="001723B0" w:rsidRDefault="0094783A" w:rsidP="004E7411">
      <w:pPr>
        <w:numPr>
          <w:ilvl w:val="0"/>
          <w:numId w:val="18"/>
        </w:numPr>
        <w:autoSpaceDE w:val="0"/>
        <w:autoSpaceDN w:val="0"/>
        <w:adjustRightInd w:val="0"/>
        <w:spacing w:after="120" w:line="240" w:lineRule="auto"/>
        <w:jc w:val="both"/>
        <w:rPr>
          <w:rFonts w:ascii="Arial" w:hAnsi="Arial" w:cs="Arial"/>
          <w:bCs/>
          <w:sz w:val="20"/>
          <w:szCs w:val="20"/>
        </w:rPr>
      </w:pPr>
      <w:r w:rsidRPr="001723B0">
        <w:rPr>
          <w:rFonts w:ascii="Arial" w:hAnsi="Arial" w:cs="Arial"/>
          <w:bCs/>
          <w:sz w:val="20"/>
          <w:szCs w:val="20"/>
        </w:rPr>
        <w:t xml:space="preserve">liczbą Akcji Oferowanych </w:t>
      </w:r>
      <w:r w:rsidR="009B52E9" w:rsidRPr="001723B0">
        <w:rPr>
          <w:rFonts w:ascii="Arial" w:hAnsi="Arial" w:cs="Arial"/>
          <w:bCs/>
          <w:sz w:val="20"/>
          <w:szCs w:val="20"/>
        </w:rPr>
        <w:t xml:space="preserve">wskazaną </w:t>
      </w:r>
      <w:r w:rsidRPr="001723B0">
        <w:rPr>
          <w:rFonts w:ascii="Arial" w:hAnsi="Arial" w:cs="Arial"/>
          <w:bCs/>
          <w:sz w:val="20"/>
          <w:szCs w:val="20"/>
        </w:rPr>
        <w:t xml:space="preserve">w Deklaracji (preferowani będą </w:t>
      </w:r>
      <w:r w:rsidR="00C65004">
        <w:rPr>
          <w:rFonts w:ascii="Arial" w:hAnsi="Arial" w:cs="Arial"/>
          <w:bCs/>
          <w:sz w:val="20"/>
          <w:szCs w:val="20"/>
        </w:rPr>
        <w:t>I</w:t>
      </w:r>
      <w:r w:rsidR="00D57337" w:rsidRPr="001723B0">
        <w:rPr>
          <w:rFonts w:ascii="Arial" w:hAnsi="Arial" w:cs="Arial"/>
          <w:bCs/>
          <w:sz w:val="20"/>
          <w:szCs w:val="20"/>
        </w:rPr>
        <w:t>nwestorzy</w:t>
      </w:r>
      <w:r w:rsidR="003A33CD" w:rsidRPr="001723B0">
        <w:rPr>
          <w:rFonts w:ascii="Arial" w:hAnsi="Arial" w:cs="Arial"/>
          <w:bCs/>
          <w:sz w:val="20"/>
          <w:szCs w:val="20"/>
        </w:rPr>
        <w:t>, których Deklaracje odnosić</w:t>
      </w:r>
      <w:r w:rsidRPr="001723B0">
        <w:rPr>
          <w:rFonts w:ascii="Arial" w:hAnsi="Arial" w:cs="Arial"/>
          <w:bCs/>
          <w:sz w:val="20"/>
          <w:szCs w:val="20"/>
        </w:rPr>
        <w:t xml:space="preserve"> się </w:t>
      </w:r>
      <w:r w:rsidR="003A33CD" w:rsidRPr="001723B0">
        <w:rPr>
          <w:rFonts w:ascii="Arial" w:hAnsi="Arial" w:cs="Arial"/>
          <w:bCs/>
          <w:sz w:val="20"/>
          <w:szCs w:val="20"/>
        </w:rPr>
        <w:t xml:space="preserve">będą </w:t>
      </w:r>
      <w:r w:rsidRPr="001723B0">
        <w:rPr>
          <w:rFonts w:ascii="Arial" w:hAnsi="Arial" w:cs="Arial"/>
          <w:bCs/>
          <w:sz w:val="20"/>
          <w:szCs w:val="20"/>
        </w:rPr>
        <w:t>do większej liczby Akcji Oferowanych).</w:t>
      </w:r>
    </w:p>
    <w:p w14:paraId="78C37048" w14:textId="77777777" w:rsidR="005F1A0B" w:rsidRPr="001723B0" w:rsidRDefault="00D143D4" w:rsidP="00074294">
      <w:pPr>
        <w:jc w:val="both"/>
        <w:rPr>
          <w:rFonts w:ascii="Arial" w:hAnsi="Arial" w:cs="Arial"/>
          <w:bCs/>
          <w:color w:val="000000"/>
          <w:sz w:val="20"/>
          <w:szCs w:val="20"/>
        </w:rPr>
      </w:pPr>
      <w:r w:rsidRPr="001723B0">
        <w:rPr>
          <w:rFonts w:ascii="Arial" w:hAnsi="Arial" w:cs="Arial"/>
          <w:sz w:val="20"/>
          <w:szCs w:val="20"/>
        </w:rPr>
        <w:t xml:space="preserve">W ramach realizacji Prawa Pierwszeństwa, Zarząd w pierwszej kolejności przydzieli Uprawnionemu Inwestorowi Akcje Oferowane w liczbie wskazanej przez niego w Deklaracji, ale nie wyższej niż powodująca utrzymanie </w:t>
      </w:r>
      <w:r w:rsidR="00761CAB" w:rsidRPr="001723B0">
        <w:rPr>
          <w:rFonts w:ascii="Arial" w:hAnsi="Arial" w:cs="Arial"/>
          <w:sz w:val="20"/>
          <w:szCs w:val="20"/>
        </w:rPr>
        <w:t>jego</w:t>
      </w:r>
      <w:r w:rsidRPr="001723B0">
        <w:rPr>
          <w:rFonts w:ascii="Arial" w:hAnsi="Arial" w:cs="Arial"/>
          <w:sz w:val="20"/>
          <w:szCs w:val="20"/>
        </w:rPr>
        <w:t xml:space="preserve"> udziału w kapitale zakładowym Spółki na poziomie z Dnia Preferencji, przy czym ta liczba Akcji Oferowanych będzie weryfikowana w oparciu o Dokumenty Potwierdzające.</w:t>
      </w:r>
      <w:r w:rsidR="005F1A0B">
        <w:rPr>
          <w:rFonts w:ascii="Arial" w:hAnsi="Arial" w:cs="Arial"/>
          <w:sz w:val="20"/>
          <w:szCs w:val="20"/>
        </w:rPr>
        <w:t xml:space="preserve"> </w:t>
      </w:r>
      <w:r w:rsidR="005F1A0B" w:rsidRPr="00EA79DF">
        <w:rPr>
          <w:rFonts w:ascii="Arial" w:hAnsi="Arial" w:cs="Arial"/>
          <w:color w:val="000000"/>
          <w:sz w:val="20"/>
          <w:szCs w:val="20"/>
        </w:rPr>
        <w:t xml:space="preserve">W </w:t>
      </w:r>
      <w:r w:rsidR="005F1A0B">
        <w:rPr>
          <w:rFonts w:ascii="Arial" w:hAnsi="Arial" w:cs="Arial"/>
          <w:color w:val="000000"/>
          <w:sz w:val="20"/>
          <w:szCs w:val="20"/>
        </w:rPr>
        <w:t xml:space="preserve">przypadku gdy liczba Uprawnionych </w:t>
      </w:r>
      <w:r w:rsidR="005F1A0B" w:rsidRPr="00EA79DF">
        <w:rPr>
          <w:rFonts w:ascii="Arial" w:hAnsi="Arial" w:cs="Arial"/>
          <w:color w:val="000000"/>
          <w:sz w:val="20"/>
          <w:szCs w:val="20"/>
        </w:rPr>
        <w:t xml:space="preserve">Inwestorów </w:t>
      </w:r>
      <w:bookmarkStart w:id="5" w:name="_Hlk204962803"/>
      <w:r w:rsidR="005F1A0B" w:rsidRPr="00EA79DF">
        <w:rPr>
          <w:rFonts w:ascii="Arial" w:hAnsi="Arial" w:cs="Arial"/>
          <w:color w:val="000000"/>
          <w:sz w:val="20"/>
          <w:szCs w:val="20"/>
        </w:rPr>
        <w:t>innych niż</w:t>
      </w:r>
      <w:r w:rsidR="005F1A0B">
        <w:rPr>
          <w:rFonts w:ascii="Arial" w:hAnsi="Arial" w:cs="Arial"/>
          <w:color w:val="000000"/>
          <w:sz w:val="20"/>
          <w:szCs w:val="20"/>
        </w:rPr>
        <w:t xml:space="preserve"> Inwestorzy </w:t>
      </w:r>
      <w:r w:rsidR="005F1A0B" w:rsidRPr="005F1A0B">
        <w:rPr>
          <w:rFonts w:ascii="Arial" w:hAnsi="Arial" w:cs="Arial"/>
          <w:color w:val="000000"/>
          <w:sz w:val="20"/>
          <w:szCs w:val="20"/>
        </w:rPr>
        <w:t>Kwalifikowan</w:t>
      </w:r>
      <w:r w:rsidR="005F1A0B">
        <w:rPr>
          <w:rFonts w:ascii="Arial" w:hAnsi="Arial" w:cs="Arial"/>
          <w:color w:val="000000"/>
          <w:sz w:val="20"/>
          <w:szCs w:val="20"/>
        </w:rPr>
        <w:t xml:space="preserve">i oraz Inwestorzy obejmujący </w:t>
      </w:r>
      <w:r w:rsidR="005F1A0B" w:rsidRPr="005F1A0B">
        <w:rPr>
          <w:rFonts w:ascii="Arial" w:hAnsi="Arial" w:cs="Arial"/>
          <w:color w:val="000000"/>
          <w:sz w:val="20"/>
          <w:szCs w:val="20"/>
        </w:rPr>
        <w:t xml:space="preserve">papiery </w:t>
      </w:r>
      <w:r w:rsidR="005F1A0B" w:rsidRPr="00074294">
        <w:rPr>
          <w:rFonts w:ascii="Arial" w:hAnsi="Arial" w:cs="Arial"/>
          <w:sz w:val="20"/>
          <w:szCs w:val="20"/>
        </w:rPr>
        <w:t>wartościowe</w:t>
      </w:r>
      <w:r w:rsidR="005F1A0B" w:rsidRPr="005F1A0B">
        <w:rPr>
          <w:rFonts w:ascii="Arial" w:hAnsi="Arial" w:cs="Arial"/>
          <w:color w:val="000000"/>
          <w:sz w:val="20"/>
          <w:szCs w:val="20"/>
        </w:rPr>
        <w:t xml:space="preserve"> o łącznej wartości co najmniej 100.000 EUR na inwestora, </w:t>
      </w:r>
      <w:bookmarkEnd w:id="5"/>
      <w:r w:rsidR="005F1A0B" w:rsidRPr="005F1A0B">
        <w:rPr>
          <w:rFonts w:ascii="Arial" w:hAnsi="Arial" w:cs="Arial"/>
          <w:color w:val="000000"/>
          <w:sz w:val="20"/>
          <w:szCs w:val="20"/>
        </w:rPr>
        <w:t>o których mowa w art. 1 ust. 4 lit. d) Rozporządzenia Prospektowego</w:t>
      </w:r>
      <w:r w:rsidR="009944AF">
        <w:rPr>
          <w:rFonts w:ascii="Arial" w:hAnsi="Arial" w:cs="Arial"/>
          <w:color w:val="000000"/>
          <w:sz w:val="20"/>
          <w:szCs w:val="20"/>
        </w:rPr>
        <w:t>,</w:t>
      </w:r>
      <w:r w:rsidR="005F1A0B" w:rsidRPr="00EA79DF">
        <w:rPr>
          <w:rFonts w:ascii="Arial" w:hAnsi="Arial" w:cs="Arial"/>
          <w:color w:val="000000"/>
          <w:sz w:val="20"/>
          <w:szCs w:val="20"/>
        </w:rPr>
        <w:t xml:space="preserve"> </w:t>
      </w:r>
      <w:r w:rsidR="005F1A0B">
        <w:rPr>
          <w:rFonts w:ascii="Arial" w:hAnsi="Arial" w:cs="Arial"/>
          <w:color w:val="000000"/>
          <w:sz w:val="20"/>
          <w:szCs w:val="20"/>
        </w:rPr>
        <w:t xml:space="preserve">przekroczy </w:t>
      </w:r>
      <w:r w:rsidR="005F1A0B" w:rsidRPr="00EA79DF">
        <w:rPr>
          <w:rFonts w:ascii="Arial" w:hAnsi="Arial" w:cs="Arial"/>
          <w:color w:val="000000"/>
          <w:sz w:val="20"/>
          <w:szCs w:val="20"/>
        </w:rPr>
        <w:t>149</w:t>
      </w:r>
      <w:r w:rsidR="005F1A0B">
        <w:rPr>
          <w:rFonts w:ascii="Arial" w:hAnsi="Arial" w:cs="Arial"/>
          <w:color w:val="000000"/>
          <w:sz w:val="20"/>
          <w:szCs w:val="20"/>
        </w:rPr>
        <w:t xml:space="preserve">, oferty objęcia </w:t>
      </w:r>
      <w:r w:rsidR="005F1A0B" w:rsidRPr="001723B0">
        <w:rPr>
          <w:rFonts w:ascii="Arial" w:hAnsi="Arial" w:cs="Arial"/>
          <w:sz w:val="20"/>
          <w:szCs w:val="20"/>
        </w:rPr>
        <w:t>Akcj</w:t>
      </w:r>
      <w:r w:rsidR="005F1A0B">
        <w:rPr>
          <w:rFonts w:ascii="Arial" w:hAnsi="Arial" w:cs="Arial"/>
          <w:sz w:val="20"/>
          <w:szCs w:val="20"/>
        </w:rPr>
        <w:t>i</w:t>
      </w:r>
      <w:r w:rsidR="005F1A0B" w:rsidRPr="001723B0">
        <w:rPr>
          <w:rFonts w:ascii="Arial" w:hAnsi="Arial" w:cs="Arial"/>
          <w:sz w:val="20"/>
          <w:szCs w:val="20"/>
        </w:rPr>
        <w:t xml:space="preserve"> Oferowan</w:t>
      </w:r>
      <w:r w:rsidR="005F1A0B">
        <w:rPr>
          <w:rFonts w:ascii="Arial" w:hAnsi="Arial" w:cs="Arial"/>
          <w:sz w:val="20"/>
          <w:szCs w:val="20"/>
        </w:rPr>
        <w:t>ych</w:t>
      </w:r>
      <w:r w:rsidR="005F1A0B" w:rsidRPr="001723B0">
        <w:rPr>
          <w:rFonts w:ascii="Arial" w:hAnsi="Arial" w:cs="Arial"/>
          <w:sz w:val="20"/>
          <w:szCs w:val="20"/>
        </w:rPr>
        <w:t xml:space="preserve"> </w:t>
      </w:r>
      <w:r w:rsidR="005F1A0B">
        <w:rPr>
          <w:rFonts w:ascii="Arial" w:hAnsi="Arial" w:cs="Arial"/>
          <w:sz w:val="20"/>
          <w:szCs w:val="20"/>
        </w:rPr>
        <w:t xml:space="preserve">zostaną złożone wyłącznie takim 149 </w:t>
      </w:r>
      <w:r w:rsidR="005F1A0B">
        <w:rPr>
          <w:rFonts w:ascii="Arial" w:hAnsi="Arial" w:cs="Arial"/>
          <w:color w:val="000000"/>
          <w:sz w:val="20"/>
          <w:szCs w:val="20"/>
        </w:rPr>
        <w:t xml:space="preserve">Uprawnionym </w:t>
      </w:r>
      <w:r w:rsidR="005F1A0B" w:rsidRPr="00EA79DF">
        <w:rPr>
          <w:rFonts w:ascii="Arial" w:hAnsi="Arial" w:cs="Arial"/>
          <w:color w:val="000000"/>
          <w:sz w:val="20"/>
          <w:szCs w:val="20"/>
        </w:rPr>
        <w:t>Inwestor</w:t>
      </w:r>
      <w:r w:rsidR="005F1A0B">
        <w:rPr>
          <w:rFonts w:ascii="Arial" w:hAnsi="Arial" w:cs="Arial"/>
          <w:color w:val="000000"/>
          <w:sz w:val="20"/>
          <w:szCs w:val="20"/>
        </w:rPr>
        <w:t>om</w:t>
      </w:r>
      <w:r w:rsidR="005F1A0B" w:rsidRPr="005F1A0B">
        <w:rPr>
          <w:rFonts w:ascii="Arial" w:hAnsi="Arial" w:cs="Arial"/>
          <w:color w:val="000000"/>
          <w:sz w:val="20"/>
          <w:szCs w:val="20"/>
        </w:rPr>
        <w:t xml:space="preserve"> </w:t>
      </w:r>
      <w:r w:rsidR="005F1A0B">
        <w:rPr>
          <w:rFonts w:ascii="Arial" w:hAnsi="Arial" w:cs="Arial"/>
          <w:color w:val="000000"/>
          <w:sz w:val="20"/>
          <w:szCs w:val="20"/>
        </w:rPr>
        <w:t>(</w:t>
      </w:r>
      <w:r w:rsidR="005F1A0B" w:rsidRPr="00EA79DF">
        <w:rPr>
          <w:rFonts w:ascii="Arial" w:hAnsi="Arial" w:cs="Arial"/>
          <w:color w:val="000000"/>
          <w:sz w:val="20"/>
          <w:szCs w:val="20"/>
        </w:rPr>
        <w:t>inny</w:t>
      </w:r>
      <w:r w:rsidR="005F1A0B">
        <w:rPr>
          <w:rFonts w:ascii="Arial" w:hAnsi="Arial" w:cs="Arial"/>
          <w:color w:val="000000"/>
          <w:sz w:val="20"/>
          <w:szCs w:val="20"/>
        </w:rPr>
        <w:t>m</w:t>
      </w:r>
      <w:r w:rsidR="005F1A0B" w:rsidRPr="00EA79DF">
        <w:rPr>
          <w:rFonts w:ascii="Arial" w:hAnsi="Arial" w:cs="Arial"/>
          <w:color w:val="000000"/>
          <w:sz w:val="20"/>
          <w:szCs w:val="20"/>
        </w:rPr>
        <w:t xml:space="preserve"> niż</w:t>
      </w:r>
      <w:r w:rsidR="005F1A0B">
        <w:rPr>
          <w:rFonts w:ascii="Arial" w:hAnsi="Arial" w:cs="Arial"/>
          <w:color w:val="000000"/>
          <w:sz w:val="20"/>
          <w:szCs w:val="20"/>
        </w:rPr>
        <w:t xml:space="preserve"> Inwestorzy </w:t>
      </w:r>
      <w:r w:rsidR="005F1A0B" w:rsidRPr="005F1A0B">
        <w:rPr>
          <w:rFonts w:ascii="Arial" w:hAnsi="Arial" w:cs="Arial"/>
          <w:color w:val="000000"/>
          <w:sz w:val="20"/>
          <w:szCs w:val="20"/>
        </w:rPr>
        <w:t>Kwalifikowan</w:t>
      </w:r>
      <w:r w:rsidR="005F1A0B">
        <w:rPr>
          <w:rFonts w:ascii="Arial" w:hAnsi="Arial" w:cs="Arial"/>
          <w:color w:val="000000"/>
          <w:sz w:val="20"/>
          <w:szCs w:val="20"/>
        </w:rPr>
        <w:t xml:space="preserve">i oraz Inwestorzy obejmujący </w:t>
      </w:r>
      <w:r w:rsidR="005F1A0B" w:rsidRPr="005F1A0B">
        <w:rPr>
          <w:rFonts w:ascii="Arial" w:hAnsi="Arial" w:cs="Arial"/>
          <w:color w:val="000000"/>
          <w:sz w:val="20"/>
          <w:szCs w:val="20"/>
        </w:rPr>
        <w:t>papiery wartościowe o łącznej wartości co najmniej 100.000 EUR na inwestora</w:t>
      </w:r>
      <w:r w:rsidR="005F1A0B">
        <w:rPr>
          <w:rFonts w:ascii="Arial" w:hAnsi="Arial" w:cs="Arial"/>
          <w:color w:val="000000"/>
          <w:sz w:val="20"/>
          <w:szCs w:val="20"/>
        </w:rPr>
        <w:t>)</w:t>
      </w:r>
      <w:r w:rsidR="005F1A0B">
        <w:rPr>
          <w:rFonts w:ascii="Arial" w:hAnsi="Arial" w:cs="Arial"/>
          <w:sz w:val="20"/>
          <w:szCs w:val="20"/>
        </w:rPr>
        <w:t>, którzy najszybciej spełnią wymogi udziału w Ofercie określone w Zasadach</w:t>
      </w:r>
      <w:r w:rsidR="009673D0" w:rsidRPr="009673D0">
        <w:rPr>
          <w:rFonts w:ascii="Arial" w:hAnsi="Arial" w:cs="Arial"/>
          <w:b/>
          <w:bCs/>
          <w:color w:val="000000"/>
          <w:sz w:val="20"/>
          <w:szCs w:val="20"/>
        </w:rPr>
        <w:t xml:space="preserve"> </w:t>
      </w:r>
      <w:r w:rsidR="009673D0" w:rsidRPr="009944AF">
        <w:rPr>
          <w:rFonts w:ascii="Arial" w:hAnsi="Arial" w:cs="Arial"/>
          <w:color w:val="000000"/>
          <w:sz w:val="20"/>
          <w:szCs w:val="20"/>
        </w:rPr>
        <w:t>Budowy Księgi Popytu i Subskrypcji</w:t>
      </w:r>
      <w:r w:rsidR="005F1A0B">
        <w:rPr>
          <w:rFonts w:ascii="Arial" w:hAnsi="Arial" w:cs="Arial"/>
          <w:sz w:val="20"/>
          <w:szCs w:val="20"/>
        </w:rPr>
        <w:t>.</w:t>
      </w:r>
    </w:p>
    <w:p w14:paraId="7CB772A3" w14:textId="77777777" w:rsidR="0063059D" w:rsidRPr="001723B0" w:rsidRDefault="0063059D" w:rsidP="000868D7">
      <w:pPr>
        <w:spacing w:after="120" w:line="240" w:lineRule="auto"/>
        <w:jc w:val="both"/>
        <w:rPr>
          <w:rFonts w:ascii="Arial" w:hAnsi="Arial" w:cs="Arial"/>
          <w:sz w:val="20"/>
          <w:szCs w:val="20"/>
        </w:rPr>
      </w:pPr>
      <w:r w:rsidRPr="001723B0">
        <w:rPr>
          <w:rFonts w:ascii="Arial" w:hAnsi="Arial" w:cs="Arial"/>
          <w:sz w:val="20"/>
          <w:szCs w:val="20"/>
        </w:rPr>
        <w:t xml:space="preserve">Akcje Oferowane zaoferowane </w:t>
      </w:r>
      <w:r w:rsidR="00C65004">
        <w:rPr>
          <w:rFonts w:ascii="Arial" w:hAnsi="Arial" w:cs="Arial"/>
          <w:sz w:val="20"/>
          <w:szCs w:val="20"/>
        </w:rPr>
        <w:t>I</w:t>
      </w:r>
      <w:r w:rsidRPr="001723B0">
        <w:rPr>
          <w:rFonts w:ascii="Arial" w:hAnsi="Arial" w:cs="Arial"/>
          <w:sz w:val="20"/>
          <w:szCs w:val="20"/>
        </w:rPr>
        <w:t xml:space="preserve">nwestorom </w:t>
      </w:r>
      <w:r w:rsidR="00B3661E" w:rsidRPr="001723B0">
        <w:rPr>
          <w:rFonts w:ascii="Arial" w:hAnsi="Arial" w:cs="Arial"/>
          <w:sz w:val="20"/>
          <w:szCs w:val="20"/>
        </w:rPr>
        <w:t xml:space="preserve">(w tym Uprawnionych Inwestorom) </w:t>
      </w:r>
      <w:r w:rsidRPr="001723B0">
        <w:rPr>
          <w:rFonts w:ascii="Arial" w:hAnsi="Arial" w:cs="Arial"/>
          <w:sz w:val="20"/>
          <w:szCs w:val="20"/>
        </w:rPr>
        <w:t xml:space="preserve">wskazanym na Liście Wstępnej Alokacji, które nie zostaną objęte i opłacone przez </w:t>
      </w:r>
      <w:r w:rsidR="00C65004">
        <w:rPr>
          <w:rFonts w:ascii="Arial" w:hAnsi="Arial" w:cs="Arial"/>
          <w:sz w:val="20"/>
          <w:szCs w:val="20"/>
        </w:rPr>
        <w:t>I</w:t>
      </w:r>
      <w:r w:rsidRPr="001723B0">
        <w:rPr>
          <w:rFonts w:ascii="Arial" w:hAnsi="Arial" w:cs="Arial"/>
          <w:sz w:val="20"/>
          <w:szCs w:val="20"/>
        </w:rPr>
        <w:t xml:space="preserve">nwestorów, mogą zostać zaoferowane innym </w:t>
      </w:r>
      <w:r w:rsidR="00C65004">
        <w:rPr>
          <w:rFonts w:ascii="Arial" w:hAnsi="Arial" w:cs="Arial"/>
          <w:sz w:val="20"/>
          <w:szCs w:val="20"/>
        </w:rPr>
        <w:t>I</w:t>
      </w:r>
      <w:r w:rsidRPr="001723B0">
        <w:rPr>
          <w:rFonts w:ascii="Arial" w:hAnsi="Arial" w:cs="Arial"/>
          <w:sz w:val="20"/>
          <w:szCs w:val="20"/>
        </w:rPr>
        <w:t xml:space="preserve">nwestorom, </w:t>
      </w:r>
      <w:r w:rsidR="00104329" w:rsidRPr="001723B0">
        <w:rPr>
          <w:rFonts w:ascii="Arial" w:hAnsi="Arial" w:cs="Arial"/>
          <w:sz w:val="20"/>
          <w:szCs w:val="20"/>
        </w:rPr>
        <w:t xml:space="preserve">zarówno tym którzy </w:t>
      </w:r>
      <w:r w:rsidRPr="001723B0">
        <w:rPr>
          <w:rFonts w:ascii="Arial" w:hAnsi="Arial" w:cs="Arial"/>
          <w:sz w:val="20"/>
          <w:szCs w:val="20"/>
        </w:rPr>
        <w:t xml:space="preserve">wzięli udział w </w:t>
      </w:r>
      <w:r w:rsidR="00F86CA9" w:rsidRPr="001723B0">
        <w:rPr>
          <w:rFonts w:ascii="Arial" w:hAnsi="Arial" w:cs="Arial"/>
          <w:sz w:val="20"/>
          <w:szCs w:val="20"/>
        </w:rPr>
        <w:t>P</w:t>
      </w:r>
      <w:r w:rsidRPr="001723B0">
        <w:rPr>
          <w:rFonts w:ascii="Arial" w:hAnsi="Arial" w:cs="Arial"/>
          <w:sz w:val="20"/>
          <w:szCs w:val="20"/>
        </w:rPr>
        <w:t xml:space="preserve">rocesie </w:t>
      </w:r>
      <w:r w:rsidR="006D3C03" w:rsidRPr="001723B0">
        <w:rPr>
          <w:rFonts w:ascii="Arial" w:hAnsi="Arial" w:cs="Arial"/>
          <w:color w:val="000000"/>
          <w:sz w:val="20"/>
          <w:szCs w:val="20"/>
        </w:rPr>
        <w:t>Budowania Księgi Popytu</w:t>
      </w:r>
      <w:r w:rsidR="0066467F" w:rsidRPr="001723B0">
        <w:rPr>
          <w:rFonts w:ascii="Arial" w:hAnsi="Arial" w:cs="Arial"/>
          <w:sz w:val="20"/>
          <w:szCs w:val="20"/>
        </w:rPr>
        <w:t>, jak również tym, którzy nie brali udziału</w:t>
      </w:r>
      <w:r w:rsidR="00CE4E54" w:rsidRPr="001723B0">
        <w:rPr>
          <w:rFonts w:ascii="Arial" w:hAnsi="Arial" w:cs="Arial"/>
          <w:sz w:val="20"/>
          <w:szCs w:val="20"/>
        </w:rPr>
        <w:t xml:space="preserve"> w</w:t>
      </w:r>
      <w:r w:rsidR="0066467F" w:rsidRPr="001723B0">
        <w:rPr>
          <w:rFonts w:ascii="Arial" w:hAnsi="Arial" w:cs="Arial"/>
          <w:sz w:val="20"/>
          <w:szCs w:val="20"/>
        </w:rPr>
        <w:t xml:space="preserve"> </w:t>
      </w:r>
      <w:r w:rsidR="00F86CA9" w:rsidRPr="001723B0">
        <w:rPr>
          <w:rFonts w:ascii="Arial" w:hAnsi="Arial" w:cs="Arial"/>
          <w:color w:val="000000"/>
          <w:sz w:val="20"/>
          <w:szCs w:val="20"/>
        </w:rPr>
        <w:t>P</w:t>
      </w:r>
      <w:r w:rsidR="006D3C03" w:rsidRPr="001723B0">
        <w:rPr>
          <w:rFonts w:ascii="Arial" w:hAnsi="Arial" w:cs="Arial"/>
          <w:color w:val="000000"/>
          <w:sz w:val="20"/>
          <w:szCs w:val="20"/>
        </w:rPr>
        <w:t>rocesie Budowania Księgi Popytu</w:t>
      </w:r>
      <w:r w:rsidR="006D3C03" w:rsidRPr="001723B0">
        <w:rPr>
          <w:rFonts w:ascii="Arial" w:hAnsi="Arial" w:cs="Arial"/>
          <w:sz w:val="20"/>
          <w:szCs w:val="20"/>
        </w:rPr>
        <w:t xml:space="preserve"> </w:t>
      </w:r>
      <w:r w:rsidR="0066467F" w:rsidRPr="001723B0">
        <w:rPr>
          <w:rFonts w:ascii="Arial" w:hAnsi="Arial" w:cs="Arial"/>
          <w:sz w:val="20"/>
          <w:szCs w:val="20"/>
        </w:rPr>
        <w:t xml:space="preserve">oraz są zdecydowani objąć </w:t>
      </w:r>
      <w:r w:rsidR="00D57337" w:rsidRPr="001723B0">
        <w:rPr>
          <w:rFonts w:ascii="Arial" w:hAnsi="Arial" w:cs="Arial"/>
          <w:sz w:val="20"/>
          <w:szCs w:val="20"/>
        </w:rPr>
        <w:t>Akcj</w:t>
      </w:r>
      <w:r w:rsidR="0066467F" w:rsidRPr="001723B0">
        <w:rPr>
          <w:rFonts w:ascii="Arial" w:hAnsi="Arial" w:cs="Arial"/>
          <w:sz w:val="20"/>
          <w:szCs w:val="20"/>
        </w:rPr>
        <w:t>e</w:t>
      </w:r>
      <w:r w:rsidR="00D57337" w:rsidRPr="001723B0">
        <w:rPr>
          <w:rFonts w:ascii="Arial" w:hAnsi="Arial" w:cs="Arial"/>
          <w:sz w:val="20"/>
          <w:szCs w:val="20"/>
        </w:rPr>
        <w:t xml:space="preserve"> Oferowan</w:t>
      </w:r>
      <w:r w:rsidR="000460B1">
        <w:rPr>
          <w:rFonts w:ascii="Arial" w:hAnsi="Arial" w:cs="Arial"/>
          <w:sz w:val="20"/>
          <w:szCs w:val="20"/>
        </w:rPr>
        <w:t>e</w:t>
      </w:r>
      <w:r w:rsidRPr="001723B0">
        <w:rPr>
          <w:rFonts w:ascii="Arial" w:hAnsi="Arial" w:cs="Arial"/>
          <w:sz w:val="20"/>
          <w:szCs w:val="20"/>
        </w:rPr>
        <w:t xml:space="preserve"> </w:t>
      </w:r>
      <w:r w:rsidR="0066467F" w:rsidRPr="001723B0">
        <w:rPr>
          <w:rFonts w:ascii="Arial" w:hAnsi="Arial" w:cs="Arial"/>
          <w:sz w:val="20"/>
          <w:szCs w:val="20"/>
        </w:rPr>
        <w:t>po</w:t>
      </w:r>
      <w:r w:rsidR="004B5532" w:rsidRPr="001723B0">
        <w:rPr>
          <w:rFonts w:ascii="Arial" w:hAnsi="Arial" w:cs="Arial"/>
          <w:sz w:val="20"/>
          <w:szCs w:val="20"/>
        </w:rPr>
        <w:t xml:space="preserve"> cenie nie niższej niż</w:t>
      </w:r>
      <w:r w:rsidR="0066467F" w:rsidRPr="001723B0">
        <w:rPr>
          <w:rFonts w:ascii="Arial" w:hAnsi="Arial" w:cs="Arial"/>
          <w:sz w:val="20"/>
          <w:szCs w:val="20"/>
        </w:rPr>
        <w:t xml:space="preserve"> </w:t>
      </w:r>
      <w:r w:rsidR="004B5532" w:rsidRPr="001723B0">
        <w:rPr>
          <w:rFonts w:ascii="Arial" w:hAnsi="Arial" w:cs="Arial"/>
          <w:sz w:val="20"/>
          <w:szCs w:val="20"/>
        </w:rPr>
        <w:t>Cena Emisyjna</w:t>
      </w:r>
      <w:r w:rsidRPr="001723B0">
        <w:rPr>
          <w:rFonts w:ascii="Arial" w:hAnsi="Arial" w:cs="Arial"/>
          <w:sz w:val="20"/>
          <w:szCs w:val="20"/>
        </w:rPr>
        <w:t>.</w:t>
      </w:r>
    </w:p>
    <w:p w14:paraId="24B5DA6B" w14:textId="77777777" w:rsidR="0032758F" w:rsidRDefault="0032758F" w:rsidP="000868D7">
      <w:pPr>
        <w:spacing w:after="120" w:line="240" w:lineRule="auto"/>
        <w:jc w:val="both"/>
        <w:rPr>
          <w:rFonts w:ascii="Arial" w:hAnsi="Arial" w:cs="Arial"/>
          <w:color w:val="000000"/>
          <w:sz w:val="20"/>
          <w:szCs w:val="20"/>
        </w:rPr>
      </w:pPr>
      <w:r w:rsidRPr="001723B0">
        <w:rPr>
          <w:rFonts w:ascii="Arial" w:hAnsi="Arial" w:cs="Arial"/>
          <w:sz w:val="20"/>
          <w:szCs w:val="20"/>
        </w:rPr>
        <w:t>Po przekazaniu przez Spółkę do publicznej wiadomości, w formie raportu bieżącego, informacji o</w:t>
      </w:r>
      <w:r w:rsidR="004E7411" w:rsidRPr="001723B0">
        <w:rPr>
          <w:rFonts w:ascii="Arial" w:hAnsi="Arial" w:cs="Arial"/>
          <w:sz w:val="20"/>
          <w:szCs w:val="20"/>
        </w:rPr>
        <w:t> </w:t>
      </w:r>
      <w:r w:rsidRPr="001723B0">
        <w:rPr>
          <w:rFonts w:ascii="Arial" w:hAnsi="Arial" w:cs="Arial"/>
          <w:sz w:val="20"/>
          <w:szCs w:val="20"/>
        </w:rPr>
        <w:t xml:space="preserve">ustalonej Cenie Emisyjnej, </w:t>
      </w:r>
      <w:r w:rsidR="00415846" w:rsidRPr="001723B0">
        <w:rPr>
          <w:rFonts w:ascii="Arial" w:hAnsi="Arial" w:cs="Arial"/>
          <w:sz w:val="20"/>
          <w:szCs w:val="20"/>
        </w:rPr>
        <w:t xml:space="preserve">oraz podjęciu Uchwały Emisyjnej przez Zarząd </w:t>
      </w:r>
      <w:r w:rsidRPr="001723B0">
        <w:rPr>
          <w:rFonts w:ascii="Arial" w:hAnsi="Arial" w:cs="Arial"/>
          <w:sz w:val="20"/>
          <w:szCs w:val="20"/>
        </w:rPr>
        <w:t xml:space="preserve">do </w:t>
      </w:r>
      <w:r w:rsidR="00DF6C3C">
        <w:rPr>
          <w:rFonts w:ascii="Arial" w:hAnsi="Arial" w:cs="Arial"/>
          <w:sz w:val="20"/>
          <w:szCs w:val="20"/>
        </w:rPr>
        <w:t>I</w:t>
      </w:r>
      <w:r w:rsidRPr="001723B0">
        <w:rPr>
          <w:rFonts w:ascii="Arial" w:hAnsi="Arial" w:cs="Arial"/>
          <w:sz w:val="20"/>
          <w:szCs w:val="20"/>
        </w:rPr>
        <w:t>nwestorów z Listy Wstępnej Alokacji zostaną wysłane oferty objęcia Akcji Oferowanych wraz z</w:t>
      </w:r>
      <w:r w:rsidR="00B3661E" w:rsidRPr="001723B0">
        <w:rPr>
          <w:rFonts w:ascii="Arial" w:hAnsi="Arial" w:cs="Arial"/>
          <w:sz w:val="20"/>
          <w:szCs w:val="20"/>
        </w:rPr>
        <w:t> </w:t>
      </w:r>
      <w:r w:rsidRPr="001723B0">
        <w:rPr>
          <w:rFonts w:ascii="Arial" w:hAnsi="Arial" w:cs="Arial"/>
          <w:color w:val="000000"/>
          <w:sz w:val="20"/>
          <w:szCs w:val="20"/>
        </w:rPr>
        <w:t xml:space="preserve">egzemplarzem </w:t>
      </w:r>
      <w:r w:rsidR="004B5532" w:rsidRPr="001723B0">
        <w:rPr>
          <w:rFonts w:ascii="Arial" w:hAnsi="Arial" w:cs="Arial"/>
          <w:color w:val="000000"/>
          <w:sz w:val="20"/>
          <w:szCs w:val="20"/>
        </w:rPr>
        <w:t>Umowy Objęcia Akcji</w:t>
      </w:r>
      <w:r w:rsidRPr="001723B0">
        <w:rPr>
          <w:rFonts w:ascii="Arial" w:hAnsi="Arial" w:cs="Arial"/>
          <w:color w:val="000000"/>
          <w:sz w:val="20"/>
          <w:szCs w:val="20"/>
        </w:rPr>
        <w:t>.</w:t>
      </w:r>
    </w:p>
    <w:p w14:paraId="17233322" w14:textId="04AB42E6" w:rsidR="00383A15" w:rsidRPr="00C607FE" w:rsidRDefault="00383A15" w:rsidP="000868D7">
      <w:pPr>
        <w:spacing w:after="120" w:line="240" w:lineRule="auto"/>
        <w:jc w:val="both"/>
        <w:rPr>
          <w:rFonts w:ascii="Arial" w:hAnsi="Arial" w:cs="Arial"/>
          <w:b/>
          <w:bCs/>
          <w:sz w:val="20"/>
          <w:szCs w:val="20"/>
          <w:u w:val="single"/>
        </w:rPr>
      </w:pPr>
      <w:r w:rsidRPr="00C607FE">
        <w:rPr>
          <w:rFonts w:ascii="Arial" w:hAnsi="Arial" w:cs="Arial"/>
          <w:b/>
          <w:bCs/>
          <w:sz w:val="20"/>
          <w:szCs w:val="20"/>
          <w:u w:val="single"/>
        </w:rPr>
        <w:t>Umowa Inwestycyjna z Cooldown Games</w:t>
      </w:r>
    </w:p>
    <w:p w14:paraId="576C6E0F" w14:textId="0C8C8AD3" w:rsidR="00383A15" w:rsidRDefault="00383A15" w:rsidP="000868D7">
      <w:pPr>
        <w:spacing w:after="120" w:line="240" w:lineRule="auto"/>
        <w:jc w:val="both"/>
        <w:rPr>
          <w:rFonts w:ascii="Arial" w:hAnsi="Arial" w:cs="Arial"/>
          <w:sz w:val="20"/>
          <w:szCs w:val="20"/>
        </w:rPr>
      </w:pPr>
      <w:r>
        <w:rPr>
          <w:rFonts w:ascii="Arial" w:hAnsi="Arial" w:cs="Arial"/>
          <w:sz w:val="20"/>
          <w:szCs w:val="20"/>
        </w:rPr>
        <w:lastRenderedPageBreak/>
        <w:t xml:space="preserve">W dniu 24 kwietnia 2026 r. </w:t>
      </w:r>
      <w:r w:rsidRPr="00383A15">
        <w:rPr>
          <w:rFonts w:ascii="Arial" w:hAnsi="Arial" w:cs="Arial"/>
          <w:sz w:val="20"/>
          <w:szCs w:val="20"/>
        </w:rPr>
        <w:t>Spółka zawarła umowę inwestycyjną ze spółką Cooldown Games („</w:t>
      </w:r>
      <w:r w:rsidRPr="00C607FE">
        <w:rPr>
          <w:rFonts w:ascii="Arial" w:hAnsi="Arial" w:cs="Arial"/>
          <w:b/>
          <w:bCs/>
          <w:sz w:val="20"/>
          <w:szCs w:val="20"/>
        </w:rPr>
        <w:t>Umowa Inwestycyjna</w:t>
      </w:r>
      <w:r w:rsidRPr="00383A15">
        <w:rPr>
          <w:rFonts w:ascii="Arial" w:hAnsi="Arial" w:cs="Arial"/>
          <w:sz w:val="20"/>
          <w:szCs w:val="20"/>
        </w:rPr>
        <w:t>”).</w:t>
      </w:r>
      <w:r w:rsidR="00DF7C1D">
        <w:rPr>
          <w:rFonts w:ascii="Arial" w:hAnsi="Arial" w:cs="Arial"/>
          <w:sz w:val="20"/>
          <w:szCs w:val="20"/>
        </w:rPr>
        <w:t xml:space="preserve"> </w:t>
      </w:r>
      <w:r w:rsidR="00DF7C1D" w:rsidRPr="00DF7C1D">
        <w:rPr>
          <w:rFonts w:ascii="Arial" w:hAnsi="Arial" w:cs="Arial"/>
          <w:sz w:val="20"/>
          <w:szCs w:val="20"/>
        </w:rPr>
        <w:t xml:space="preserve">Zgodnie z Umową Inwestycyjną Cooldown Games dokona cesji praw z umów wydawniczych dotyczących w szczególności trzech gier wideo zawartych przez Cooldown Games z zewnętrznymi, niezależnymi producentami na spółkę zależną Spółki – People Can Fly Ireland– w zamian za kwotę ok. 1,5 miliona USD. Zgodnie z Umową Inwestycyjną Cooldown Games zobowiązała się do reinwestycji środków uzyskanych przez Cooldown Games w </w:t>
      </w:r>
      <w:r w:rsidR="00DF7C1D">
        <w:rPr>
          <w:rFonts w:ascii="Arial" w:hAnsi="Arial" w:cs="Arial"/>
          <w:sz w:val="20"/>
          <w:szCs w:val="20"/>
        </w:rPr>
        <w:t>Akcje Serii I</w:t>
      </w:r>
      <w:r w:rsidR="00DF7C1D" w:rsidRPr="00DF7C1D">
        <w:rPr>
          <w:rFonts w:ascii="Arial" w:hAnsi="Arial" w:cs="Arial"/>
          <w:sz w:val="20"/>
          <w:szCs w:val="20"/>
        </w:rPr>
        <w:t xml:space="preserve"> oraz do zapewnienia inwestycji w </w:t>
      </w:r>
      <w:r w:rsidR="00DF7C1D">
        <w:rPr>
          <w:rFonts w:ascii="Arial" w:hAnsi="Arial" w:cs="Arial"/>
          <w:sz w:val="20"/>
          <w:szCs w:val="20"/>
        </w:rPr>
        <w:t xml:space="preserve">Akcje Serii I </w:t>
      </w:r>
      <w:r w:rsidR="00DF7C1D" w:rsidRPr="00DF7C1D">
        <w:rPr>
          <w:rFonts w:ascii="Arial" w:hAnsi="Arial" w:cs="Arial"/>
          <w:sz w:val="20"/>
          <w:szCs w:val="20"/>
        </w:rPr>
        <w:t>przez inwestorów powiązanych z Cooldown Games („</w:t>
      </w:r>
      <w:r w:rsidR="00DF7C1D" w:rsidRPr="00C607FE">
        <w:rPr>
          <w:rFonts w:ascii="Arial" w:hAnsi="Arial" w:cs="Arial"/>
          <w:b/>
          <w:bCs/>
          <w:sz w:val="20"/>
          <w:szCs w:val="20"/>
        </w:rPr>
        <w:t>Inwestorzy CDG</w:t>
      </w:r>
      <w:r w:rsidR="00DF7C1D" w:rsidRPr="00DF7C1D">
        <w:rPr>
          <w:rFonts w:ascii="Arial" w:hAnsi="Arial" w:cs="Arial"/>
          <w:sz w:val="20"/>
          <w:szCs w:val="20"/>
        </w:rPr>
        <w:t xml:space="preserve">”). Umowa Inwestycyjna przewiduje, że CDG i Inwestorzy CDG zainwestują w </w:t>
      </w:r>
      <w:r w:rsidR="00DF7C1D">
        <w:rPr>
          <w:rFonts w:ascii="Arial" w:hAnsi="Arial" w:cs="Arial"/>
          <w:sz w:val="20"/>
          <w:szCs w:val="20"/>
        </w:rPr>
        <w:t xml:space="preserve">Akcje Serii I </w:t>
      </w:r>
      <w:r w:rsidR="00DF7C1D" w:rsidRPr="00DF7C1D">
        <w:rPr>
          <w:rFonts w:ascii="Arial" w:hAnsi="Arial" w:cs="Arial"/>
          <w:sz w:val="20"/>
          <w:szCs w:val="20"/>
        </w:rPr>
        <w:t xml:space="preserve">łącznie </w:t>
      </w:r>
      <w:r w:rsidR="00F02E00">
        <w:rPr>
          <w:rFonts w:ascii="Arial" w:hAnsi="Arial" w:cs="Arial"/>
          <w:sz w:val="20"/>
          <w:szCs w:val="20"/>
        </w:rPr>
        <w:t>ok. 10,8 miliona </w:t>
      </w:r>
      <w:r w:rsidR="00DF7C1D" w:rsidRPr="00DF7C1D">
        <w:rPr>
          <w:rFonts w:ascii="Arial" w:hAnsi="Arial" w:cs="Arial"/>
          <w:sz w:val="20"/>
          <w:szCs w:val="20"/>
        </w:rPr>
        <w:t>PLN.</w:t>
      </w:r>
    </w:p>
    <w:p w14:paraId="6D96B444" w14:textId="5F6C47A7" w:rsidR="00DF7C1D" w:rsidRDefault="00DF7C1D" w:rsidP="000868D7">
      <w:pPr>
        <w:spacing w:after="120" w:line="240" w:lineRule="auto"/>
        <w:jc w:val="both"/>
        <w:rPr>
          <w:rFonts w:ascii="Arial" w:hAnsi="Arial" w:cs="Arial"/>
          <w:sz w:val="20"/>
          <w:szCs w:val="20"/>
        </w:rPr>
      </w:pPr>
      <w:r w:rsidRPr="00DF7C1D">
        <w:rPr>
          <w:rFonts w:ascii="Arial" w:hAnsi="Arial" w:cs="Arial"/>
          <w:sz w:val="20"/>
          <w:szCs w:val="20"/>
        </w:rPr>
        <w:t xml:space="preserve">Szczegółowe informacje o Umowie Inwestycyjnej zostały zawarte w raporcie bieżącym nr </w:t>
      </w:r>
      <w:r w:rsidR="00F02E00">
        <w:rPr>
          <w:rFonts w:ascii="Arial" w:hAnsi="Arial" w:cs="Arial"/>
          <w:sz w:val="20"/>
          <w:szCs w:val="20"/>
        </w:rPr>
        <w:t>5</w:t>
      </w:r>
      <w:r w:rsidRPr="00DF7C1D">
        <w:rPr>
          <w:rFonts w:ascii="Arial" w:hAnsi="Arial" w:cs="Arial"/>
          <w:sz w:val="20"/>
          <w:szCs w:val="20"/>
        </w:rPr>
        <w:t>/202</w:t>
      </w:r>
      <w:r>
        <w:rPr>
          <w:rFonts w:ascii="Arial" w:hAnsi="Arial" w:cs="Arial"/>
          <w:sz w:val="20"/>
          <w:szCs w:val="20"/>
        </w:rPr>
        <w:t>6</w:t>
      </w:r>
      <w:r w:rsidRPr="00DF7C1D">
        <w:rPr>
          <w:rFonts w:ascii="Arial" w:hAnsi="Arial" w:cs="Arial"/>
          <w:sz w:val="20"/>
          <w:szCs w:val="20"/>
        </w:rPr>
        <w:t xml:space="preserve">, przekazanym przez Spółkę w dniu </w:t>
      </w:r>
      <w:r>
        <w:rPr>
          <w:rFonts w:ascii="Arial" w:hAnsi="Arial" w:cs="Arial"/>
          <w:sz w:val="20"/>
          <w:szCs w:val="20"/>
        </w:rPr>
        <w:t xml:space="preserve">24 kwietnia </w:t>
      </w:r>
      <w:r w:rsidRPr="00DF7C1D">
        <w:rPr>
          <w:rFonts w:ascii="Arial" w:hAnsi="Arial" w:cs="Arial"/>
          <w:sz w:val="20"/>
          <w:szCs w:val="20"/>
        </w:rPr>
        <w:t>202</w:t>
      </w:r>
      <w:r>
        <w:rPr>
          <w:rFonts w:ascii="Arial" w:hAnsi="Arial" w:cs="Arial"/>
          <w:sz w:val="20"/>
          <w:szCs w:val="20"/>
        </w:rPr>
        <w:t>6</w:t>
      </w:r>
      <w:r w:rsidRPr="00DF7C1D">
        <w:rPr>
          <w:rFonts w:ascii="Arial" w:hAnsi="Arial" w:cs="Arial"/>
          <w:sz w:val="20"/>
          <w:szCs w:val="20"/>
        </w:rPr>
        <w:t xml:space="preserve"> r.</w:t>
      </w:r>
    </w:p>
    <w:p w14:paraId="64BB7F0B" w14:textId="1E54E3F7" w:rsidR="00DF7C1D" w:rsidRPr="001723B0" w:rsidRDefault="00DF7C1D" w:rsidP="000868D7">
      <w:pPr>
        <w:spacing w:after="120" w:line="240" w:lineRule="auto"/>
        <w:jc w:val="both"/>
        <w:rPr>
          <w:rFonts w:ascii="Arial" w:hAnsi="Arial" w:cs="Arial"/>
          <w:sz w:val="20"/>
          <w:szCs w:val="20"/>
        </w:rPr>
      </w:pPr>
      <w:r>
        <w:rPr>
          <w:rFonts w:ascii="Arial" w:hAnsi="Arial" w:cs="Arial"/>
          <w:sz w:val="20"/>
          <w:szCs w:val="20"/>
        </w:rPr>
        <w:t>Umowa Inwestycyjna przewiduje, że p</w:t>
      </w:r>
      <w:r w:rsidRPr="00DF7C1D">
        <w:rPr>
          <w:rFonts w:ascii="Arial" w:hAnsi="Arial" w:cs="Arial"/>
          <w:sz w:val="20"/>
          <w:szCs w:val="20"/>
        </w:rPr>
        <w:t>od warunkiem zrealizowania przez Cooldown Games określonych czynności przygotowawczych poprzedzających ofertę publiczną,</w:t>
      </w:r>
      <w:r>
        <w:rPr>
          <w:rFonts w:ascii="Arial" w:hAnsi="Arial" w:cs="Arial"/>
          <w:sz w:val="20"/>
          <w:szCs w:val="20"/>
        </w:rPr>
        <w:t xml:space="preserve"> Spółka </w:t>
      </w:r>
      <w:r w:rsidRPr="00DF7C1D">
        <w:rPr>
          <w:rFonts w:ascii="Arial" w:hAnsi="Arial" w:cs="Arial"/>
          <w:sz w:val="20"/>
          <w:szCs w:val="20"/>
        </w:rPr>
        <w:t>zaofer</w:t>
      </w:r>
      <w:r>
        <w:rPr>
          <w:rFonts w:ascii="Arial" w:hAnsi="Arial" w:cs="Arial"/>
          <w:sz w:val="20"/>
          <w:szCs w:val="20"/>
        </w:rPr>
        <w:t>uje</w:t>
      </w:r>
      <w:r w:rsidRPr="00DF7C1D">
        <w:rPr>
          <w:rFonts w:ascii="Arial" w:hAnsi="Arial" w:cs="Arial"/>
          <w:sz w:val="20"/>
          <w:szCs w:val="20"/>
        </w:rPr>
        <w:t xml:space="preserve"> </w:t>
      </w:r>
      <w:r>
        <w:rPr>
          <w:rFonts w:ascii="Arial" w:hAnsi="Arial" w:cs="Arial"/>
          <w:sz w:val="20"/>
          <w:szCs w:val="20"/>
        </w:rPr>
        <w:t xml:space="preserve">i </w:t>
      </w:r>
      <w:r w:rsidR="00037586">
        <w:rPr>
          <w:rFonts w:ascii="Arial" w:hAnsi="Arial" w:cs="Arial"/>
          <w:sz w:val="20"/>
          <w:szCs w:val="20"/>
        </w:rPr>
        <w:t>przydzieli</w:t>
      </w:r>
      <w:r>
        <w:rPr>
          <w:rFonts w:ascii="Arial" w:hAnsi="Arial" w:cs="Arial"/>
          <w:sz w:val="20"/>
          <w:szCs w:val="20"/>
        </w:rPr>
        <w:t xml:space="preserve"> Akcje Serii I </w:t>
      </w:r>
      <w:r w:rsidRPr="00DF7C1D">
        <w:rPr>
          <w:rFonts w:ascii="Arial" w:hAnsi="Arial" w:cs="Arial"/>
          <w:sz w:val="20"/>
          <w:szCs w:val="20"/>
        </w:rPr>
        <w:t xml:space="preserve">Cooldown Games oraz Inwestorom CDG po cenie ustalonej w </w:t>
      </w:r>
      <w:r w:rsidRPr="001723B0">
        <w:rPr>
          <w:rFonts w:ascii="Arial" w:eastAsia="Times New Roman" w:hAnsi="Arial" w:cs="Arial"/>
          <w:sz w:val="20"/>
          <w:szCs w:val="20"/>
        </w:rPr>
        <w:t xml:space="preserve">Procesie </w:t>
      </w:r>
      <w:r w:rsidRPr="001723B0">
        <w:rPr>
          <w:rFonts w:ascii="Arial" w:hAnsi="Arial" w:cs="Arial"/>
          <w:color w:val="000000"/>
          <w:sz w:val="20"/>
          <w:szCs w:val="20"/>
        </w:rPr>
        <w:t>Budowania Księgi Popytu</w:t>
      </w:r>
      <w:r w:rsidRPr="00DF7C1D">
        <w:rPr>
          <w:rFonts w:ascii="Arial" w:hAnsi="Arial" w:cs="Arial"/>
          <w:sz w:val="20"/>
          <w:szCs w:val="20"/>
        </w:rPr>
        <w:t xml:space="preserve"> (nie wyższej niż cena zamknięcia z dnia </w:t>
      </w:r>
      <w:r>
        <w:rPr>
          <w:rFonts w:ascii="Arial" w:hAnsi="Arial" w:cs="Arial"/>
          <w:sz w:val="20"/>
          <w:szCs w:val="20"/>
        </w:rPr>
        <w:t>23</w:t>
      </w:r>
      <w:r w:rsidRPr="00DF7C1D">
        <w:rPr>
          <w:rFonts w:ascii="Arial" w:hAnsi="Arial" w:cs="Arial"/>
          <w:sz w:val="20"/>
          <w:szCs w:val="20"/>
        </w:rPr>
        <w:t xml:space="preserve"> kwietnia 2026 r., jednakże nie niższej niż 4,00 PLN za jedną </w:t>
      </w:r>
      <w:r>
        <w:rPr>
          <w:rFonts w:ascii="Arial" w:hAnsi="Arial" w:cs="Arial"/>
          <w:sz w:val="20"/>
          <w:szCs w:val="20"/>
        </w:rPr>
        <w:t>Akcję Serii I</w:t>
      </w:r>
      <w:r w:rsidRPr="00DF7C1D">
        <w:rPr>
          <w:rFonts w:ascii="Arial" w:hAnsi="Arial" w:cs="Arial"/>
          <w:sz w:val="20"/>
          <w:szCs w:val="20"/>
        </w:rPr>
        <w:t>)</w:t>
      </w:r>
      <w:r w:rsidR="00037586">
        <w:rPr>
          <w:rFonts w:ascii="Arial" w:hAnsi="Arial" w:cs="Arial"/>
          <w:sz w:val="20"/>
          <w:szCs w:val="20"/>
        </w:rPr>
        <w:t xml:space="preserve"> w liczbie odpowiadającej wartości reinwestowanych środków, o których mowa powyżej</w:t>
      </w:r>
      <w:r>
        <w:rPr>
          <w:rFonts w:ascii="Arial" w:hAnsi="Arial" w:cs="Arial"/>
          <w:sz w:val="20"/>
          <w:szCs w:val="20"/>
        </w:rPr>
        <w:t>.</w:t>
      </w:r>
    </w:p>
    <w:p w14:paraId="6F88F071" w14:textId="77777777" w:rsidR="009E1D43" w:rsidRPr="001723B0" w:rsidRDefault="00894BF3" w:rsidP="000868D7">
      <w:pPr>
        <w:keepNext/>
        <w:spacing w:after="120" w:line="240" w:lineRule="auto"/>
        <w:jc w:val="both"/>
        <w:rPr>
          <w:rFonts w:ascii="Arial" w:hAnsi="Arial" w:cs="Arial"/>
          <w:b/>
          <w:bCs/>
          <w:sz w:val="20"/>
          <w:szCs w:val="20"/>
          <w:u w:val="single"/>
        </w:rPr>
      </w:pPr>
      <w:r w:rsidRPr="001723B0">
        <w:rPr>
          <w:rFonts w:ascii="Arial" w:hAnsi="Arial" w:cs="Arial"/>
          <w:b/>
          <w:bCs/>
          <w:sz w:val="20"/>
          <w:szCs w:val="20"/>
          <w:u w:val="single"/>
        </w:rPr>
        <w:t>Orientacyjny h</w:t>
      </w:r>
      <w:r w:rsidR="00FE4015" w:rsidRPr="001723B0">
        <w:rPr>
          <w:rFonts w:ascii="Arial" w:hAnsi="Arial" w:cs="Arial"/>
          <w:b/>
          <w:bCs/>
          <w:sz w:val="20"/>
          <w:szCs w:val="20"/>
          <w:u w:val="single"/>
        </w:rPr>
        <w:t>armonogram Oferty</w:t>
      </w:r>
    </w:p>
    <w:tbl>
      <w:tblPr>
        <w:tblW w:w="0" w:type="auto"/>
        <w:tblInd w:w="34" w:type="dxa"/>
        <w:tblCellMar>
          <w:left w:w="70" w:type="dxa"/>
          <w:right w:w="70" w:type="dxa"/>
        </w:tblCellMar>
        <w:tblLook w:val="04A0" w:firstRow="1" w:lastRow="0" w:firstColumn="1" w:lastColumn="0" w:noHBand="0" w:noVBand="1"/>
      </w:tblPr>
      <w:tblGrid>
        <w:gridCol w:w="2535"/>
        <w:gridCol w:w="6503"/>
      </w:tblGrid>
      <w:tr w:rsidR="00D56842" w:rsidRPr="001723B0" w14:paraId="79C8F0D4" w14:textId="77777777" w:rsidTr="006E3D15">
        <w:tc>
          <w:tcPr>
            <w:tcW w:w="0" w:type="auto"/>
            <w:tcBorders>
              <w:top w:val="nil"/>
              <w:left w:val="nil"/>
              <w:bottom w:val="nil"/>
              <w:right w:val="single" w:sz="4" w:space="0" w:color="auto"/>
            </w:tcBorders>
          </w:tcPr>
          <w:p w14:paraId="737D1A61" w14:textId="3A2BEF27" w:rsidR="00D56842" w:rsidRPr="002422D3" w:rsidRDefault="00DF7C1D" w:rsidP="000868D7">
            <w:pPr>
              <w:keepNext/>
              <w:spacing w:after="120" w:line="240" w:lineRule="auto"/>
              <w:rPr>
                <w:rFonts w:ascii="Arial" w:eastAsia="Calibri" w:hAnsi="Arial" w:cs="Arial"/>
                <w:b/>
                <w:sz w:val="20"/>
                <w:szCs w:val="20"/>
                <w:lang w:eastAsia="x-none"/>
              </w:rPr>
            </w:pPr>
            <w:r>
              <w:rPr>
                <w:rFonts w:ascii="Arial" w:eastAsia="Calibri" w:hAnsi="Arial" w:cs="Arial"/>
                <w:b/>
                <w:sz w:val="20"/>
                <w:szCs w:val="20"/>
                <w:lang w:eastAsia="x-none"/>
              </w:rPr>
              <w:t>23</w:t>
            </w:r>
            <w:r w:rsidRPr="002422D3">
              <w:rPr>
                <w:rFonts w:ascii="Arial" w:eastAsia="Calibri" w:hAnsi="Arial" w:cs="Arial"/>
                <w:b/>
                <w:sz w:val="20"/>
                <w:szCs w:val="20"/>
                <w:lang w:eastAsia="x-none"/>
              </w:rPr>
              <w:t xml:space="preserve"> </w:t>
            </w:r>
            <w:r w:rsidR="000460B1" w:rsidRPr="002422D3">
              <w:rPr>
                <w:rFonts w:ascii="Arial" w:eastAsia="Calibri" w:hAnsi="Arial" w:cs="Arial"/>
                <w:b/>
                <w:sz w:val="20"/>
                <w:szCs w:val="20"/>
                <w:lang w:eastAsia="x-none"/>
              </w:rPr>
              <w:t>kwietnia</w:t>
            </w:r>
            <w:r w:rsidR="00D56842" w:rsidRPr="002422D3">
              <w:rPr>
                <w:rFonts w:ascii="Arial" w:eastAsia="Calibri" w:hAnsi="Arial" w:cs="Arial"/>
                <w:b/>
                <w:sz w:val="20"/>
                <w:szCs w:val="20"/>
                <w:lang w:eastAsia="x-none"/>
              </w:rPr>
              <w:t xml:space="preserve"> 202</w:t>
            </w:r>
            <w:r w:rsidR="000460B1" w:rsidRPr="002422D3">
              <w:rPr>
                <w:rFonts w:ascii="Arial" w:eastAsia="Calibri" w:hAnsi="Arial" w:cs="Arial"/>
                <w:b/>
                <w:sz w:val="20"/>
                <w:szCs w:val="20"/>
                <w:lang w:eastAsia="x-none"/>
              </w:rPr>
              <w:t>6</w:t>
            </w:r>
            <w:r w:rsidR="00D56842" w:rsidRPr="002422D3">
              <w:rPr>
                <w:rFonts w:ascii="Arial" w:eastAsia="Calibri" w:hAnsi="Arial" w:cs="Arial"/>
                <w:b/>
                <w:sz w:val="20"/>
                <w:szCs w:val="20"/>
                <w:lang w:eastAsia="x-none"/>
              </w:rPr>
              <w:t xml:space="preserve"> r.</w:t>
            </w:r>
          </w:p>
        </w:tc>
        <w:tc>
          <w:tcPr>
            <w:tcW w:w="0" w:type="auto"/>
            <w:tcBorders>
              <w:top w:val="nil"/>
              <w:left w:val="single" w:sz="4" w:space="0" w:color="auto"/>
              <w:bottom w:val="nil"/>
              <w:right w:val="nil"/>
            </w:tcBorders>
          </w:tcPr>
          <w:p w14:paraId="2169FAD8" w14:textId="77777777" w:rsidR="00D56842" w:rsidRPr="001723B0" w:rsidRDefault="00D56842" w:rsidP="000868D7">
            <w:pPr>
              <w:tabs>
                <w:tab w:val="left" w:pos="2268"/>
              </w:tabs>
              <w:spacing w:after="120" w:line="240" w:lineRule="auto"/>
              <w:jc w:val="both"/>
              <w:rPr>
                <w:rFonts w:ascii="Arial" w:eastAsia="Times New Roman" w:hAnsi="Arial" w:cs="Arial"/>
                <w:sz w:val="20"/>
                <w:szCs w:val="20"/>
              </w:rPr>
            </w:pPr>
            <w:r w:rsidRPr="001723B0">
              <w:rPr>
                <w:rFonts w:ascii="Arial" w:eastAsia="Times New Roman" w:hAnsi="Arial" w:cs="Arial"/>
                <w:sz w:val="20"/>
                <w:szCs w:val="20"/>
              </w:rPr>
              <w:t>Dzień Preferencji</w:t>
            </w:r>
          </w:p>
        </w:tc>
      </w:tr>
      <w:tr w:rsidR="00745943" w:rsidRPr="001723B0" w14:paraId="18F061F2" w14:textId="77777777" w:rsidTr="006E3D15">
        <w:tc>
          <w:tcPr>
            <w:tcW w:w="0" w:type="auto"/>
            <w:tcBorders>
              <w:top w:val="nil"/>
              <w:left w:val="nil"/>
              <w:bottom w:val="nil"/>
              <w:right w:val="single" w:sz="4" w:space="0" w:color="auto"/>
            </w:tcBorders>
          </w:tcPr>
          <w:p w14:paraId="2CCBF658" w14:textId="56BF80EA" w:rsidR="00745943" w:rsidRPr="002422D3" w:rsidRDefault="00DF7C1D" w:rsidP="000868D7">
            <w:pPr>
              <w:keepNext/>
              <w:spacing w:after="120" w:line="240" w:lineRule="auto"/>
              <w:rPr>
                <w:rFonts w:ascii="Arial" w:eastAsia="Calibri" w:hAnsi="Arial" w:cs="Arial"/>
                <w:b/>
                <w:sz w:val="20"/>
                <w:szCs w:val="20"/>
                <w:lang w:eastAsia="x-none"/>
              </w:rPr>
            </w:pPr>
            <w:r>
              <w:rPr>
                <w:rFonts w:ascii="Arial" w:eastAsia="Calibri" w:hAnsi="Arial" w:cs="Arial"/>
                <w:b/>
                <w:sz w:val="20"/>
                <w:szCs w:val="20"/>
                <w:lang w:eastAsia="x-none"/>
              </w:rPr>
              <w:t>24</w:t>
            </w:r>
            <w:r w:rsidR="00047254">
              <w:rPr>
                <w:rFonts w:ascii="Arial" w:eastAsia="Calibri" w:hAnsi="Arial" w:cs="Arial"/>
                <w:b/>
                <w:sz w:val="20"/>
                <w:szCs w:val="20"/>
                <w:lang w:eastAsia="x-none"/>
              </w:rPr>
              <w:t xml:space="preserve"> </w:t>
            </w:r>
            <w:r w:rsidR="000460B1" w:rsidRPr="002422D3">
              <w:rPr>
                <w:rFonts w:ascii="Arial" w:eastAsia="Calibri" w:hAnsi="Arial" w:cs="Arial"/>
                <w:b/>
                <w:sz w:val="20"/>
                <w:szCs w:val="20"/>
                <w:lang w:eastAsia="x-none"/>
              </w:rPr>
              <w:t>– 2</w:t>
            </w:r>
            <w:r>
              <w:rPr>
                <w:rFonts w:ascii="Arial" w:eastAsia="Calibri" w:hAnsi="Arial" w:cs="Arial"/>
                <w:b/>
                <w:sz w:val="20"/>
                <w:szCs w:val="20"/>
                <w:lang w:eastAsia="x-none"/>
              </w:rPr>
              <w:t>8</w:t>
            </w:r>
            <w:r w:rsidR="000460B1" w:rsidRPr="002422D3">
              <w:rPr>
                <w:rFonts w:ascii="Arial" w:eastAsia="Calibri" w:hAnsi="Arial" w:cs="Arial"/>
                <w:b/>
                <w:sz w:val="20"/>
                <w:szCs w:val="20"/>
                <w:lang w:eastAsia="x-none"/>
              </w:rPr>
              <w:t xml:space="preserve"> kwietnia </w:t>
            </w:r>
            <w:r w:rsidR="00745943" w:rsidRPr="002422D3">
              <w:rPr>
                <w:rFonts w:ascii="Arial" w:eastAsia="Calibri" w:hAnsi="Arial" w:cs="Arial"/>
                <w:b/>
                <w:sz w:val="20"/>
                <w:szCs w:val="20"/>
                <w:lang w:eastAsia="x-none"/>
              </w:rPr>
              <w:t>202</w:t>
            </w:r>
            <w:r w:rsidR="00BF7ADC" w:rsidRPr="002422D3">
              <w:rPr>
                <w:rFonts w:ascii="Arial" w:eastAsia="Calibri" w:hAnsi="Arial" w:cs="Arial"/>
                <w:b/>
                <w:sz w:val="20"/>
                <w:szCs w:val="20"/>
                <w:lang w:eastAsia="x-none"/>
              </w:rPr>
              <w:t>6</w:t>
            </w:r>
            <w:r w:rsidR="00AB380B" w:rsidRPr="002422D3">
              <w:rPr>
                <w:rFonts w:ascii="Arial" w:eastAsia="Calibri" w:hAnsi="Arial" w:cs="Arial"/>
                <w:b/>
                <w:sz w:val="20"/>
                <w:szCs w:val="20"/>
                <w:lang w:eastAsia="x-none"/>
              </w:rPr>
              <w:t> </w:t>
            </w:r>
            <w:r w:rsidR="00745943" w:rsidRPr="002422D3">
              <w:rPr>
                <w:rFonts w:ascii="Arial" w:eastAsia="Calibri" w:hAnsi="Arial" w:cs="Arial"/>
                <w:b/>
                <w:sz w:val="20"/>
                <w:szCs w:val="20"/>
                <w:lang w:eastAsia="x-none"/>
              </w:rPr>
              <w:t xml:space="preserve">r. do godz. </w:t>
            </w:r>
            <w:r w:rsidR="00C65004" w:rsidRPr="002422D3">
              <w:rPr>
                <w:rFonts w:ascii="Arial" w:eastAsia="Calibri" w:hAnsi="Arial" w:cs="Arial"/>
                <w:b/>
                <w:sz w:val="20"/>
                <w:szCs w:val="20"/>
                <w:lang w:eastAsia="x-none"/>
              </w:rPr>
              <w:t>16:00 CE</w:t>
            </w:r>
            <w:r w:rsidR="00477494" w:rsidRPr="002422D3">
              <w:rPr>
                <w:rFonts w:ascii="Arial" w:eastAsia="Calibri" w:hAnsi="Arial" w:cs="Arial"/>
                <w:b/>
                <w:sz w:val="20"/>
                <w:szCs w:val="20"/>
                <w:lang w:eastAsia="x-none"/>
              </w:rPr>
              <w:t>S</w:t>
            </w:r>
            <w:r w:rsidR="00C65004" w:rsidRPr="002422D3">
              <w:rPr>
                <w:rFonts w:ascii="Arial" w:eastAsia="Calibri" w:hAnsi="Arial" w:cs="Arial"/>
                <w:b/>
                <w:sz w:val="20"/>
                <w:szCs w:val="20"/>
                <w:lang w:eastAsia="x-none"/>
              </w:rPr>
              <w:t>T</w:t>
            </w:r>
          </w:p>
        </w:tc>
        <w:tc>
          <w:tcPr>
            <w:tcW w:w="0" w:type="auto"/>
            <w:tcBorders>
              <w:top w:val="nil"/>
              <w:left w:val="single" w:sz="4" w:space="0" w:color="auto"/>
              <w:bottom w:val="nil"/>
              <w:right w:val="nil"/>
            </w:tcBorders>
          </w:tcPr>
          <w:p w14:paraId="27B6553A" w14:textId="77777777" w:rsidR="00745943" w:rsidRPr="001723B0" w:rsidRDefault="00745943" w:rsidP="000868D7">
            <w:pPr>
              <w:tabs>
                <w:tab w:val="left" w:pos="2268"/>
              </w:tabs>
              <w:spacing w:after="120" w:line="240" w:lineRule="auto"/>
              <w:jc w:val="both"/>
              <w:rPr>
                <w:rFonts w:ascii="Arial" w:eastAsia="Times New Roman" w:hAnsi="Arial" w:cs="Arial"/>
                <w:sz w:val="20"/>
                <w:szCs w:val="20"/>
              </w:rPr>
            </w:pPr>
            <w:r w:rsidRPr="001723B0">
              <w:rPr>
                <w:rFonts w:ascii="Arial" w:eastAsia="Times New Roman" w:hAnsi="Arial" w:cs="Arial"/>
                <w:sz w:val="20"/>
                <w:szCs w:val="20"/>
              </w:rPr>
              <w:t xml:space="preserve">Przyjmowanie przez </w:t>
            </w:r>
            <w:r w:rsidR="00092CAC" w:rsidRPr="001723B0">
              <w:rPr>
                <w:rFonts w:ascii="Arial" w:eastAsia="Times New Roman" w:hAnsi="Arial" w:cs="Arial"/>
                <w:sz w:val="20"/>
                <w:szCs w:val="20"/>
              </w:rPr>
              <w:t>Trigon DM</w:t>
            </w:r>
            <w:r w:rsidRPr="001723B0">
              <w:rPr>
                <w:rFonts w:ascii="Arial" w:eastAsia="Times New Roman" w:hAnsi="Arial" w:cs="Arial"/>
                <w:sz w:val="20"/>
                <w:szCs w:val="20"/>
              </w:rPr>
              <w:t xml:space="preserve"> Deklaracji w </w:t>
            </w:r>
            <w:r w:rsidR="00F86CA9" w:rsidRPr="001723B0">
              <w:rPr>
                <w:rFonts w:ascii="Arial" w:eastAsia="Times New Roman" w:hAnsi="Arial" w:cs="Arial"/>
                <w:sz w:val="20"/>
                <w:szCs w:val="20"/>
              </w:rPr>
              <w:t>P</w:t>
            </w:r>
            <w:r w:rsidRPr="001723B0">
              <w:rPr>
                <w:rFonts w:ascii="Arial" w:eastAsia="Times New Roman" w:hAnsi="Arial" w:cs="Arial"/>
                <w:sz w:val="20"/>
                <w:szCs w:val="20"/>
              </w:rPr>
              <w:t xml:space="preserve">rocesie </w:t>
            </w:r>
            <w:r w:rsidR="006D3C03" w:rsidRPr="001723B0">
              <w:rPr>
                <w:rFonts w:ascii="Arial" w:hAnsi="Arial" w:cs="Arial"/>
                <w:color w:val="000000"/>
                <w:sz w:val="20"/>
                <w:szCs w:val="20"/>
              </w:rPr>
              <w:t>Budowania Księgi Popytu</w:t>
            </w:r>
          </w:p>
        </w:tc>
      </w:tr>
      <w:tr w:rsidR="00C904A1" w:rsidRPr="001723B0" w14:paraId="4D92B42F" w14:textId="77777777" w:rsidTr="0079269D">
        <w:tc>
          <w:tcPr>
            <w:tcW w:w="0" w:type="auto"/>
            <w:tcBorders>
              <w:top w:val="nil"/>
              <w:left w:val="nil"/>
              <w:bottom w:val="nil"/>
              <w:right w:val="single" w:sz="4" w:space="0" w:color="auto"/>
            </w:tcBorders>
            <w:hideMark/>
          </w:tcPr>
          <w:p w14:paraId="58EA4C84" w14:textId="18D05A1D" w:rsidR="00C904A1" w:rsidRPr="002422D3" w:rsidRDefault="00DF7C1D" w:rsidP="0079269D">
            <w:pPr>
              <w:keepNext/>
              <w:spacing w:after="120" w:line="240" w:lineRule="auto"/>
              <w:rPr>
                <w:rFonts w:ascii="Arial" w:eastAsia="Calibri" w:hAnsi="Arial" w:cs="Arial"/>
                <w:b/>
                <w:sz w:val="20"/>
                <w:szCs w:val="20"/>
                <w:lang w:eastAsia="x-none"/>
              </w:rPr>
            </w:pPr>
            <w:r>
              <w:rPr>
                <w:rFonts w:ascii="Arial" w:eastAsia="Calibri" w:hAnsi="Arial" w:cs="Arial"/>
                <w:b/>
                <w:sz w:val="20"/>
                <w:szCs w:val="20"/>
                <w:lang w:eastAsia="x-none"/>
              </w:rPr>
              <w:t>27</w:t>
            </w:r>
            <w:r w:rsidR="000460B1" w:rsidRPr="002422D3">
              <w:rPr>
                <w:rFonts w:ascii="Arial" w:eastAsia="Calibri" w:hAnsi="Arial" w:cs="Arial"/>
                <w:b/>
                <w:sz w:val="20"/>
                <w:szCs w:val="20"/>
                <w:lang w:eastAsia="x-none"/>
              </w:rPr>
              <w:t xml:space="preserve"> kwietnia</w:t>
            </w:r>
            <w:r w:rsidR="00C904A1" w:rsidRPr="002422D3">
              <w:rPr>
                <w:rFonts w:ascii="Arial" w:eastAsia="Calibri" w:hAnsi="Arial" w:cs="Arial"/>
                <w:b/>
                <w:sz w:val="20"/>
                <w:szCs w:val="20"/>
                <w:lang w:eastAsia="x-none"/>
              </w:rPr>
              <w:t xml:space="preserve"> 202</w:t>
            </w:r>
            <w:r w:rsidR="00BF7ADC" w:rsidRPr="002422D3">
              <w:rPr>
                <w:rFonts w:ascii="Arial" w:eastAsia="Calibri" w:hAnsi="Arial" w:cs="Arial"/>
                <w:b/>
                <w:sz w:val="20"/>
                <w:szCs w:val="20"/>
                <w:lang w:eastAsia="x-none"/>
              </w:rPr>
              <w:t>6</w:t>
            </w:r>
            <w:r w:rsidR="00C904A1" w:rsidRPr="002422D3">
              <w:rPr>
                <w:rFonts w:ascii="Arial" w:eastAsia="Calibri" w:hAnsi="Arial" w:cs="Arial"/>
                <w:b/>
                <w:sz w:val="20"/>
                <w:szCs w:val="20"/>
                <w:lang w:eastAsia="x-none"/>
              </w:rPr>
              <w:t xml:space="preserve"> r.</w:t>
            </w:r>
          </w:p>
        </w:tc>
        <w:tc>
          <w:tcPr>
            <w:tcW w:w="0" w:type="auto"/>
            <w:tcBorders>
              <w:top w:val="nil"/>
              <w:left w:val="single" w:sz="4" w:space="0" w:color="auto"/>
              <w:bottom w:val="nil"/>
              <w:right w:val="nil"/>
            </w:tcBorders>
            <w:hideMark/>
          </w:tcPr>
          <w:p w14:paraId="2F86485C" w14:textId="77777777" w:rsidR="00C904A1" w:rsidRPr="001723B0" w:rsidRDefault="00C904A1" w:rsidP="0079269D">
            <w:pPr>
              <w:tabs>
                <w:tab w:val="left" w:pos="2268"/>
              </w:tabs>
              <w:spacing w:after="120" w:line="240" w:lineRule="auto"/>
              <w:rPr>
                <w:rFonts w:ascii="Arial" w:eastAsia="Times New Roman" w:hAnsi="Arial" w:cs="Arial"/>
                <w:sz w:val="20"/>
                <w:szCs w:val="20"/>
              </w:rPr>
            </w:pPr>
            <w:r w:rsidRPr="001723B0">
              <w:rPr>
                <w:rFonts w:ascii="Arial" w:eastAsia="Times New Roman" w:hAnsi="Arial" w:cs="Arial"/>
                <w:sz w:val="20"/>
                <w:szCs w:val="20"/>
              </w:rPr>
              <w:t>Przedstawienie przez Uprawnionych Inwestorów stosownego zaświadczenia o posiadaniu akcji na Dzień Preferencji</w:t>
            </w:r>
          </w:p>
        </w:tc>
      </w:tr>
      <w:tr w:rsidR="0069330E" w:rsidRPr="001723B0" w14:paraId="5D5117BF" w14:textId="77777777" w:rsidTr="006E3D15">
        <w:tc>
          <w:tcPr>
            <w:tcW w:w="0" w:type="auto"/>
            <w:tcBorders>
              <w:top w:val="nil"/>
              <w:left w:val="nil"/>
              <w:bottom w:val="nil"/>
              <w:right w:val="single" w:sz="4" w:space="0" w:color="auto"/>
            </w:tcBorders>
            <w:hideMark/>
          </w:tcPr>
          <w:p w14:paraId="101742D9" w14:textId="7056797C" w:rsidR="00FE4015" w:rsidRPr="002422D3" w:rsidRDefault="000460B1" w:rsidP="000868D7">
            <w:pPr>
              <w:keepNext/>
              <w:spacing w:after="120" w:line="240" w:lineRule="auto"/>
              <w:rPr>
                <w:rFonts w:ascii="Arial" w:eastAsia="Calibri" w:hAnsi="Arial" w:cs="Arial"/>
                <w:b/>
                <w:sz w:val="20"/>
                <w:szCs w:val="20"/>
                <w:lang w:eastAsia="x-none"/>
              </w:rPr>
            </w:pPr>
            <w:r w:rsidRPr="002422D3">
              <w:rPr>
                <w:rFonts w:ascii="Arial" w:eastAsia="Calibri" w:hAnsi="Arial" w:cs="Arial"/>
                <w:b/>
                <w:sz w:val="20"/>
                <w:szCs w:val="20"/>
                <w:lang w:eastAsia="x-none"/>
              </w:rPr>
              <w:t>2</w:t>
            </w:r>
            <w:r w:rsidR="00DF7C1D">
              <w:rPr>
                <w:rFonts w:ascii="Arial" w:eastAsia="Calibri" w:hAnsi="Arial" w:cs="Arial"/>
                <w:b/>
                <w:sz w:val="20"/>
                <w:szCs w:val="20"/>
                <w:lang w:eastAsia="x-none"/>
              </w:rPr>
              <w:t>8</w:t>
            </w:r>
            <w:r w:rsidRPr="002422D3">
              <w:rPr>
                <w:rFonts w:ascii="Arial" w:eastAsia="Calibri" w:hAnsi="Arial" w:cs="Arial"/>
                <w:b/>
                <w:sz w:val="20"/>
                <w:szCs w:val="20"/>
                <w:lang w:eastAsia="x-none"/>
              </w:rPr>
              <w:t xml:space="preserve"> kwietnia </w:t>
            </w:r>
            <w:r w:rsidR="0069330E" w:rsidRPr="002422D3">
              <w:rPr>
                <w:rFonts w:ascii="Arial" w:eastAsia="Calibri" w:hAnsi="Arial" w:cs="Arial"/>
                <w:b/>
                <w:sz w:val="20"/>
                <w:szCs w:val="20"/>
                <w:lang w:eastAsia="x-none"/>
              </w:rPr>
              <w:t>202</w:t>
            </w:r>
            <w:r w:rsidR="00BF7ADC" w:rsidRPr="002422D3">
              <w:rPr>
                <w:rFonts w:ascii="Arial" w:eastAsia="Calibri" w:hAnsi="Arial" w:cs="Arial"/>
                <w:b/>
                <w:sz w:val="20"/>
                <w:szCs w:val="20"/>
                <w:lang w:eastAsia="x-none"/>
              </w:rPr>
              <w:t>6</w:t>
            </w:r>
            <w:r w:rsidR="0069330E" w:rsidRPr="002422D3">
              <w:rPr>
                <w:rFonts w:ascii="Arial" w:eastAsia="Calibri" w:hAnsi="Arial" w:cs="Arial"/>
                <w:b/>
                <w:sz w:val="20"/>
                <w:szCs w:val="20"/>
                <w:lang w:eastAsia="x-none"/>
              </w:rPr>
              <w:t xml:space="preserve"> r.</w:t>
            </w:r>
          </w:p>
        </w:tc>
        <w:tc>
          <w:tcPr>
            <w:tcW w:w="0" w:type="auto"/>
            <w:tcBorders>
              <w:top w:val="nil"/>
              <w:left w:val="single" w:sz="4" w:space="0" w:color="auto"/>
              <w:bottom w:val="nil"/>
              <w:right w:val="nil"/>
            </w:tcBorders>
            <w:hideMark/>
          </w:tcPr>
          <w:p w14:paraId="676C3527" w14:textId="77777777" w:rsidR="0094119E" w:rsidRPr="001723B0" w:rsidRDefault="0094119E" w:rsidP="000868D7">
            <w:pPr>
              <w:tabs>
                <w:tab w:val="left" w:pos="2268"/>
              </w:tabs>
              <w:spacing w:after="120" w:line="240" w:lineRule="auto"/>
              <w:jc w:val="both"/>
              <w:rPr>
                <w:rFonts w:ascii="Arial" w:eastAsia="Times New Roman" w:hAnsi="Arial" w:cs="Arial"/>
                <w:sz w:val="20"/>
                <w:szCs w:val="20"/>
              </w:rPr>
            </w:pPr>
            <w:r w:rsidRPr="001723B0">
              <w:rPr>
                <w:rFonts w:ascii="Arial" w:eastAsia="Times New Roman" w:hAnsi="Arial" w:cs="Arial"/>
                <w:sz w:val="20"/>
                <w:szCs w:val="20"/>
              </w:rPr>
              <w:t>Przedstawienie</w:t>
            </w:r>
            <w:r w:rsidR="008E4DBB" w:rsidRPr="001723B0">
              <w:rPr>
                <w:rFonts w:ascii="Arial" w:eastAsia="Times New Roman" w:hAnsi="Arial" w:cs="Arial"/>
                <w:sz w:val="20"/>
                <w:szCs w:val="20"/>
              </w:rPr>
              <w:t xml:space="preserve"> Emitentowi</w:t>
            </w:r>
            <w:r w:rsidRPr="001723B0">
              <w:rPr>
                <w:rFonts w:ascii="Arial" w:eastAsia="Times New Roman" w:hAnsi="Arial" w:cs="Arial"/>
                <w:sz w:val="20"/>
                <w:szCs w:val="20"/>
              </w:rPr>
              <w:t xml:space="preserve"> przez </w:t>
            </w:r>
            <w:r w:rsidR="00415846" w:rsidRPr="001723B0">
              <w:rPr>
                <w:rFonts w:ascii="Arial" w:eastAsia="Times New Roman" w:hAnsi="Arial" w:cs="Arial"/>
                <w:sz w:val="20"/>
                <w:szCs w:val="20"/>
              </w:rPr>
              <w:t xml:space="preserve">Trigon DM </w:t>
            </w:r>
            <w:r w:rsidRPr="001723B0">
              <w:rPr>
                <w:rFonts w:ascii="Arial" w:eastAsia="Times New Roman" w:hAnsi="Arial" w:cs="Arial"/>
                <w:sz w:val="20"/>
                <w:szCs w:val="20"/>
              </w:rPr>
              <w:t xml:space="preserve">wyników </w:t>
            </w:r>
            <w:r w:rsidR="00F86CA9" w:rsidRPr="001723B0">
              <w:rPr>
                <w:rFonts w:ascii="Arial" w:hAnsi="Arial" w:cs="Arial"/>
                <w:color w:val="000000"/>
                <w:sz w:val="20"/>
                <w:szCs w:val="20"/>
              </w:rPr>
              <w:t>P</w:t>
            </w:r>
            <w:r w:rsidR="006D3C03" w:rsidRPr="001723B0">
              <w:rPr>
                <w:rFonts w:ascii="Arial" w:hAnsi="Arial" w:cs="Arial"/>
                <w:color w:val="000000"/>
                <w:sz w:val="20"/>
                <w:szCs w:val="20"/>
              </w:rPr>
              <w:t>rocesu Budowania Księgi Popytu</w:t>
            </w:r>
            <w:r w:rsidRPr="001723B0">
              <w:rPr>
                <w:rFonts w:ascii="Arial" w:eastAsia="Times New Roman" w:hAnsi="Arial" w:cs="Arial"/>
                <w:sz w:val="20"/>
                <w:szCs w:val="20"/>
              </w:rPr>
              <w:t xml:space="preserve">, rekomendacji dotyczącej </w:t>
            </w:r>
            <w:r w:rsidR="0069330E" w:rsidRPr="001723B0">
              <w:rPr>
                <w:rFonts w:ascii="Arial" w:eastAsia="Times New Roman" w:hAnsi="Arial" w:cs="Arial"/>
                <w:sz w:val="20"/>
                <w:szCs w:val="20"/>
              </w:rPr>
              <w:t>C</w:t>
            </w:r>
            <w:r w:rsidRPr="001723B0">
              <w:rPr>
                <w:rFonts w:ascii="Arial" w:eastAsia="Times New Roman" w:hAnsi="Arial" w:cs="Arial"/>
                <w:sz w:val="20"/>
                <w:szCs w:val="20"/>
              </w:rPr>
              <w:t xml:space="preserve">eny </w:t>
            </w:r>
            <w:r w:rsidR="0069330E" w:rsidRPr="001723B0">
              <w:rPr>
                <w:rFonts w:ascii="Arial" w:eastAsia="Times New Roman" w:hAnsi="Arial" w:cs="Arial"/>
                <w:sz w:val="20"/>
                <w:szCs w:val="20"/>
              </w:rPr>
              <w:t>E</w:t>
            </w:r>
            <w:r w:rsidRPr="001723B0">
              <w:rPr>
                <w:rFonts w:ascii="Arial" w:eastAsia="Times New Roman" w:hAnsi="Arial" w:cs="Arial"/>
                <w:sz w:val="20"/>
                <w:szCs w:val="20"/>
              </w:rPr>
              <w:t xml:space="preserve">misyjnej oraz </w:t>
            </w:r>
            <w:r w:rsidR="0069330E" w:rsidRPr="001723B0">
              <w:rPr>
                <w:rFonts w:ascii="Arial" w:hAnsi="Arial" w:cs="Arial"/>
                <w:sz w:val="20"/>
                <w:szCs w:val="20"/>
              </w:rPr>
              <w:t>Listy Wstępnej Alokacji</w:t>
            </w:r>
          </w:p>
          <w:p w14:paraId="3D400D75" w14:textId="77777777" w:rsidR="00FE4015" w:rsidRPr="001723B0" w:rsidRDefault="00B3674A" w:rsidP="000868D7">
            <w:pPr>
              <w:tabs>
                <w:tab w:val="left" w:pos="2268"/>
              </w:tabs>
              <w:spacing w:after="120" w:line="240" w:lineRule="auto"/>
              <w:jc w:val="both"/>
              <w:rPr>
                <w:rFonts w:ascii="Arial" w:eastAsia="Times New Roman" w:hAnsi="Arial" w:cs="Arial"/>
                <w:sz w:val="20"/>
                <w:szCs w:val="20"/>
              </w:rPr>
            </w:pPr>
            <w:r w:rsidRPr="001723B0">
              <w:rPr>
                <w:rFonts w:ascii="Arial" w:eastAsia="Times New Roman" w:hAnsi="Arial" w:cs="Arial"/>
                <w:sz w:val="20"/>
                <w:szCs w:val="20"/>
              </w:rPr>
              <w:t xml:space="preserve">Podjęcie przez Zarząd uchwały dotyczącej </w:t>
            </w:r>
            <w:r w:rsidR="0069330E" w:rsidRPr="001723B0">
              <w:rPr>
                <w:rFonts w:ascii="Arial" w:eastAsia="Times New Roman" w:hAnsi="Arial" w:cs="Arial"/>
                <w:sz w:val="20"/>
                <w:szCs w:val="20"/>
              </w:rPr>
              <w:t>C</w:t>
            </w:r>
            <w:r w:rsidRPr="001723B0">
              <w:rPr>
                <w:rFonts w:ascii="Arial" w:eastAsia="Times New Roman" w:hAnsi="Arial" w:cs="Arial"/>
                <w:sz w:val="20"/>
                <w:szCs w:val="20"/>
              </w:rPr>
              <w:t xml:space="preserve">eny </w:t>
            </w:r>
            <w:r w:rsidR="0069330E" w:rsidRPr="001723B0">
              <w:rPr>
                <w:rFonts w:ascii="Arial" w:eastAsia="Times New Roman" w:hAnsi="Arial" w:cs="Arial"/>
                <w:sz w:val="20"/>
                <w:szCs w:val="20"/>
              </w:rPr>
              <w:t>E</w:t>
            </w:r>
            <w:r w:rsidRPr="001723B0">
              <w:rPr>
                <w:rFonts w:ascii="Arial" w:eastAsia="Times New Roman" w:hAnsi="Arial" w:cs="Arial"/>
                <w:sz w:val="20"/>
                <w:szCs w:val="20"/>
              </w:rPr>
              <w:t>misyjnej</w:t>
            </w:r>
            <w:r w:rsidR="0069330E" w:rsidRPr="001723B0">
              <w:rPr>
                <w:rFonts w:ascii="Arial" w:eastAsia="Times New Roman" w:hAnsi="Arial" w:cs="Arial"/>
                <w:sz w:val="20"/>
                <w:szCs w:val="20"/>
              </w:rPr>
              <w:t xml:space="preserve"> oraz ustalenie listy </w:t>
            </w:r>
            <w:r w:rsidR="00C65004">
              <w:rPr>
                <w:rFonts w:ascii="Arial" w:eastAsia="Times New Roman" w:hAnsi="Arial" w:cs="Arial"/>
                <w:sz w:val="20"/>
                <w:szCs w:val="20"/>
              </w:rPr>
              <w:t>I</w:t>
            </w:r>
            <w:r w:rsidR="0069330E" w:rsidRPr="001723B0">
              <w:rPr>
                <w:rFonts w:ascii="Arial" w:eastAsia="Times New Roman" w:hAnsi="Arial" w:cs="Arial"/>
                <w:sz w:val="20"/>
                <w:szCs w:val="20"/>
              </w:rPr>
              <w:t xml:space="preserve">nwestorów, do których zostaną </w:t>
            </w:r>
            <w:r w:rsidRPr="001723B0">
              <w:rPr>
                <w:rFonts w:ascii="Arial" w:eastAsia="Times New Roman" w:hAnsi="Arial" w:cs="Arial"/>
                <w:sz w:val="20"/>
                <w:szCs w:val="20"/>
              </w:rPr>
              <w:t>skierowan</w:t>
            </w:r>
            <w:r w:rsidR="0069330E" w:rsidRPr="001723B0">
              <w:rPr>
                <w:rFonts w:ascii="Arial" w:eastAsia="Times New Roman" w:hAnsi="Arial" w:cs="Arial"/>
                <w:sz w:val="20"/>
                <w:szCs w:val="20"/>
              </w:rPr>
              <w:t>e</w:t>
            </w:r>
            <w:r w:rsidRPr="001723B0">
              <w:rPr>
                <w:rFonts w:ascii="Arial" w:eastAsia="Times New Roman" w:hAnsi="Arial" w:cs="Arial"/>
                <w:sz w:val="20"/>
                <w:szCs w:val="20"/>
              </w:rPr>
              <w:t xml:space="preserve"> ofert</w:t>
            </w:r>
            <w:r w:rsidR="0069330E" w:rsidRPr="001723B0">
              <w:rPr>
                <w:rFonts w:ascii="Arial" w:eastAsia="Times New Roman" w:hAnsi="Arial" w:cs="Arial"/>
                <w:sz w:val="20"/>
                <w:szCs w:val="20"/>
              </w:rPr>
              <w:t>y</w:t>
            </w:r>
            <w:r w:rsidRPr="001723B0">
              <w:rPr>
                <w:rFonts w:ascii="Arial" w:eastAsia="Times New Roman" w:hAnsi="Arial" w:cs="Arial"/>
                <w:sz w:val="20"/>
                <w:szCs w:val="20"/>
              </w:rPr>
              <w:t xml:space="preserve"> </w:t>
            </w:r>
            <w:r w:rsidR="0069330E" w:rsidRPr="001723B0">
              <w:rPr>
                <w:rFonts w:ascii="Arial" w:eastAsia="Times New Roman" w:hAnsi="Arial" w:cs="Arial"/>
                <w:sz w:val="20"/>
                <w:szCs w:val="20"/>
              </w:rPr>
              <w:t>objęcia Akcji Oferowanych</w:t>
            </w:r>
          </w:p>
        </w:tc>
      </w:tr>
      <w:tr w:rsidR="00415846" w:rsidRPr="001723B0" w14:paraId="11587A97" w14:textId="77777777" w:rsidTr="006E3D15">
        <w:tc>
          <w:tcPr>
            <w:tcW w:w="0" w:type="auto"/>
            <w:tcBorders>
              <w:top w:val="nil"/>
              <w:left w:val="nil"/>
              <w:bottom w:val="nil"/>
              <w:right w:val="single" w:sz="4" w:space="0" w:color="auto"/>
            </w:tcBorders>
          </w:tcPr>
          <w:p w14:paraId="0B08D6DA" w14:textId="7840A70F" w:rsidR="00415846" w:rsidRPr="002422D3" w:rsidDel="00415846" w:rsidRDefault="00DF7C1D" w:rsidP="000868D7">
            <w:pPr>
              <w:keepNext/>
              <w:spacing w:after="120" w:line="240" w:lineRule="auto"/>
              <w:rPr>
                <w:rFonts w:ascii="Arial" w:eastAsia="Calibri" w:hAnsi="Arial" w:cs="Arial"/>
                <w:b/>
                <w:sz w:val="20"/>
                <w:szCs w:val="20"/>
                <w:lang w:eastAsia="x-none"/>
              </w:rPr>
            </w:pPr>
            <w:r>
              <w:rPr>
                <w:rFonts w:ascii="Arial" w:eastAsia="Calibri" w:hAnsi="Arial" w:cs="Arial"/>
                <w:b/>
                <w:sz w:val="20"/>
                <w:szCs w:val="20"/>
                <w:lang w:eastAsia="x-none"/>
              </w:rPr>
              <w:t>29</w:t>
            </w:r>
            <w:r w:rsidRPr="002422D3">
              <w:rPr>
                <w:rFonts w:ascii="Arial" w:eastAsia="Calibri" w:hAnsi="Arial" w:cs="Arial"/>
                <w:b/>
                <w:sz w:val="20"/>
                <w:szCs w:val="20"/>
                <w:lang w:eastAsia="x-none"/>
              </w:rPr>
              <w:t xml:space="preserve"> </w:t>
            </w:r>
            <w:r w:rsidR="000460B1" w:rsidRPr="002422D3">
              <w:rPr>
                <w:rFonts w:ascii="Arial" w:eastAsia="Calibri" w:hAnsi="Arial" w:cs="Arial"/>
                <w:b/>
                <w:sz w:val="20"/>
                <w:szCs w:val="20"/>
                <w:lang w:eastAsia="x-none"/>
              </w:rPr>
              <w:t>kwietnia</w:t>
            </w:r>
            <w:r w:rsidR="00415846" w:rsidRPr="002422D3">
              <w:rPr>
                <w:rFonts w:ascii="Arial" w:eastAsia="Calibri" w:hAnsi="Arial" w:cs="Arial"/>
                <w:b/>
                <w:sz w:val="20"/>
                <w:szCs w:val="20"/>
                <w:lang w:eastAsia="x-none"/>
              </w:rPr>
              <w:t xml:space="preserve"> 202</w:t>
            </w:r>
            <w:r w:rsidR="00BF7ADC" w:rsidRPr="002422D3">
              <w:rPr>
                <w:rFonts w:ascii="Arial" w:eastAsia="Calibri" w:hAnsi="Arial" w:cs="Arial"/>
                <w:b/>
                <w:sz w:val="20"/>
                <w:szCs w:val="20"/>
                <w:lang w:eastAsia="x-none"/>
              </w:rPr>
              <w:t>6</w:t>
            </w:r>
            <w:r w:rsidR="00415846" w:rsidRPr="002422D3">
              <w:rPr>
                <w:rFonts w:ascii="Arial" w:eastAsia="Calibri" w:hAnsi="Arial" w:cs="Arial"/>
                <w:b/>
                <w:sz w:val="20"/>
                <w:szCs w:val="20"/>
                <w:lang w:eastAsia="x-none"/>
              </w:rPr>
              <w:t xml:space="preserve"> r.</w:t>
            </w:r>
          </w:p>
        </w:tc>
        <w:tc>
          <w:tcPr>
            <w:tcW w:w="0" w:type="auto"/>
            <w:tcBorders>
              <w:top w:val="nil"/>
              <w:left w:val="single" w:sz="4" w:space="0" w:color="auto"/>
              <w:bottom w:val="nil"/>
              <w:right w:val="nil"/>
            </w:tcBorders>
          </w:tcPr>
          <w:p w14:paraId="6D272237" w14:textId="77777777" w:rsidR="00415846" w:rsidRPr="001723B0" w:rsidRDefault="00415846" w:rsidP="000868D7">
            <w:pPr>
              <w:tabs>
                <w:tab w:val="left" w:pos="2268"/>
              </w:tabs>
              <w:spacing w:after="120" w:line="240" w:lineRule="auto"/>
              <w:jc w:val="both"/>
              <w:rPr>
                <w:rFonts w:ascii="Arial" w:eastAsia="Times New Roman" w:hAnsi="Arial" w:cs="Arial"/>
                <w:sz w:val="20"/>
                <w:szCs w:val="20"/>
              </w:rPr>
            </w:pPr>
            <w:r w:rsidRPr="001723B0">
              <w:rPr>
                <w:rFonts w:ascii="Arial" w:eastAsia="Times New Roman" w:hAnsi="Arial" w:cs="Arial"/>
                <w:sz w:val="20"/>
                <w:szCs w:val="20"/>
              </w:rPr>
              <w:t>Podjęcie przez Zarząd Uchwały Emisyjnej</w:t>
            </w:r>
          </w:p>
        </w:tc>
      </w:tr>
      <w:tr w:rsidR="0069330E" w:rsidRPr="001723B0" w14:paraId="6FCA2C6C" w14:textId="77777777" w:rsidTr="006E3D15">
        <w:tc>
          <w:tcPr>
            <w:tcW w:w="0" w:type="auto"/>
            <w:tcBorders>
              <w:top w:val="nil"/>
              <w:left w:val="nil"/>
              <w:bottom w:val="nil"/>
              <w:right w:val="single" w:sz="4" w:space="0" w:color="auto"/>
            </w:tcBorders>
            <w:hideMark/>
          </w:tcPr>
          <w:p w14:paraId="0A63A7D5" w14:textId="22A68F07" w:rsidR="00FE4015" w:rsidRPr="002422D3" w:rsidRDefault="00DF7C1D" w:rsidP="000868D7">
            <w:pPr>
              <w:keepNext/>
              <w:spacing w:after="120" w:line="240" w:lineRule="auto"/>
              <w:rPr>
                <w:rFonts w:ascii="Arial" w:eastAsia="Calibri" w:hAnsi="Arial" w:cs="Arial"/>
                <w:b/>
                <w:sz w:val="20"/>
                <w:szCs w:val="20"/>
                <w:lang w:eastAsia="x-none"/>
              </w:rPr>
            </w:pPr>
            <w:r>
              <w:rPr>
                <w:rFonts w:ascii="Arial" w:eastAsia="Calibri" w:hAnsi="Arial" w:cs="Arial"/>
                <w:b/>
                <w:sz w:val="20"/>
                <w:szCs w:val="20"/>
                <w:lang w:eastAsia="x-none"/>
              </w:rPr>
              <w:t>29 kwietnia</w:t>
            </w:r>
            <w:r w:rsidR="000460B1" w:rsidRPr="002422D3">
              <w:rPr>
                <w:rFonts w:ascii="Arial" w:eastAsia="Calibri" w:hAnsi="Arial" w:cs="Arial"/>
                <w:b/>
                <w:sz w:val="20"/>
                <w:szCs w:val="20"/>
                <w:lang w:eastAsia="x-none"/>
              </w:rPr>
              <w:t xml:space="preserve"> – </w:t>
            </w:r>
            <w:r>
              <w:rPr>
                <w:rFonts w:ascii="Arial" w:eastAsia="Calibri" w:hAnsi="Arial" w:cs="Arial"/>
                <w:b/>
                <w:sz w:val="20"/>
                <w:szCs w:val="20"/>
                <w:lang w:eastAsia="x-none"/>
              </w:rPr>
              <w:t>5</w:t>
            </w:r>
            <w:r w:rsidR="000460B1" w:rsidRPr="002422D3">
              <w:rPr>
                <w:rFonts w:ascii="Arial" w:eastAsia="Calibri" w:hAnsi="Arial" w:cs="Arial"/>
                <w:b/>
                <w:sz w:val="20"/>
                <w:szCs w:val="20"/>
                <w:lang w:eastAsia="x-none"/>
              </w:rPr>
              <w:t xml:space="preserve"> </w:t>
            </w:r>
            <w:r>
              <w:rPr>
                <w:rFonts w:ascii="Arial" w:eastAsia="Calibri" w:hAnsi="Arial" w:cs="Arial"/>
                <w:b/>
                <w:sz w:val="20"/>
                <w:szCs w:val="20"/>
                <w:lang w:eastAsia="x-none"/>
              </w:rPr>
              <w:t xml:space="preserve">maja </w:t>
            </w:r>
            <w:r w:rsidR="0069330E" w:rsidRPr="002422D3">
              <w:rPr>
                <w:rFonts w:ascii="Arial" w:eastAsia="Calibri" w:hAnsi="Arial" w:cs="Arial"/>
                <w:b/>
                <w:sz w:val="20"/>
                <w:szCs w:val="20"/>
                <w:lang w:eastAsia="x-none"/>
              </w:rPr>
              <w:t>202</w:t>
            </w:r>
            <w:r w:rsidR="00BF7ADC" w:rsidRPr="002422D3">
              <w:rPr>
                <w:rFonts w:ascii="Arial" w:eastAsia="Calibri" w:hAnsi="Arial" w:cs="Arial"/>
                <w:b/>
                <w:sz w:val="20"/>
                <w:szCs w:val="20"/>
                <w:lang w:eastAsia="x-none"/>
              </w:rPr>
              <w:t>6</w:t>
            </w:r>
            <w:r w:rsidR="0069330E" w:rsidRPr="002422D3">
              <w:rPr>
                <w:rFonts w:ascii="Arial" w:eastAsia="Calibri" w:hAnsi="Arial" w:cs="Arial"/>
                <w:b/>
                <w:sz w:val="20"/>
                <w:szCs w:val="20"/>
                <w:lang w:eastAsia="x-none"/>
              </w:rPr>
              <w:t xml:space="preserve"> r.</w:t>
            </w:r>
          </w:p>
        </w:tc>
        <w:tc>
          <w:tcPr>
            <w:tcW w:w="0" w:type="auto"/>
            <w:tcBorders>
              <w:top w:val="nil"/>
              <w:left w:val="single" w:sz="4" w:space="0" w:color="auto"/>
              <w:bottom w:val="nil"/>
              <w:right w:val="nil"/>
            </w:tcBorders>
            <w:hideMark/>
          </w:tcPr>
          <w:p w14:paraId="2C2A59F7" w14:textId="77777777" w:rsidR="00FE4015" w:rsidRPr="001723B0" w:rsidRDefault="00B3674A" w:rsidP="000868D7">
            <w:pPr>
              <w:tabs>
                <w:tab w:val="left" w:pos="2268"/>
              </w:tabs>
              <w:spacing w:after="120" w:line="240" w:lineRule="auto"/>
              <w:jc w:val="both"/>
              <w:rPr>
                <w:rFonts w:ascii="Arial" w:eastAsia="Times New Roman" w:hAnsi="Arial" w:cs="Arial"/>
                <w:sz w:val="20"/>
                <w:szCs w:val="20"/>
              </w:rPr>
            </w:pPr>
            <w:r w:rsidRPr="001723B0">
              <w:rPr>
                <w:rFonts w:ascii="Arial" w:eastAsia="Times New Roman" w:hAnsi="Arial" w:cs="Arial"/>
                <w:sz w:val="20"/>
                <w:szCs w:val="20"/>
              </w:rPr>
              <w:t xml:space="preserve">Zawieranie </w:t>
            </w:r>
            <w:r w:rsidR="00C9659B" w:rsidRPr="001723B0">
              <w:rPr>
                <w:rFonts w:ascii="Arial" w:eastAsia="Times New Roman" w:hAnsi="Arial" w:cs="Arial"/>
                <w:sz w:val="20"/>
                <w:szCs w:val="20"/>
              </w:rPr>
              <w:t>Umów Objęcia Akcji</w:t>
            </w:r>
            <w:r w:rsidRPr="001723B0">
              <w:rPr>
                <w:rFonts w:ascii="Arial" w:eastAsia="Times New Roman" w:hAnsi="Arial" w:cs="Arial"/>
                <w:sz w:val="20"/>
                <w:szCs w:val="20"/>
              </w:rPr>
              <w:t xml:space="preserve">, przyjmowanie wpłat </w:t>
            </w:r>
            <w:r w:rsidR="009B52E9" w:rsidRPr="001723B0">
              <w:rPr>
                <w:rFonts w:ascii="Arial" w:eastAsia="Times New Roman" w:hAnsi="Arial" w:cs="Arial"/>
                <w:sz w:val="20"/>
                <w:szCs w:val="20"/>
              </w:rPr>
              <w:t>(</w:t>
            </w:r>
            <w:r w:rsidRPr="001723B0">
              <w:rPr>
                <w:rFonts w:ascii="Arial" w:eastAsia="Times New Roman" w:hAnsi="Arial" w:cs="Arial"/>
                <w:sz w:val="20"/>
                <w:szCs w:val="20"/>
              </w:rPr>
              <w:t xml:space="preserve">wkładów </w:t>
            </w:r>
            <w:r w:rsidR="009B52E9" w:rsidRPr="001723B0">
              <w:rPr>
                <w:rFonts w:ascii="Arial" w:eastAsia="Times New Roman" w:hAnsi="Arial" w:cs="Arial"/>
                <w:sz w:val="20"/>
                <w:szCs w:val="20"/>
              </w:rPr>
              <w:t xml:space="preserve">pieniężnych) </w:t>
            </w:r>
            <w:r w:rsidRPr="001723B0">
              <w:rPr>
                <w:rFonts w:ascii="Arial" w:eastAsia="Times New Roman" w:hAnsi="Arial" w:cs="Arial"/>
                <w:sz w:val="20"/>
                <w:szCs w:val="20"/>
              </w:rPr>
              <w:t>na Akcje Oferowane</w:t>
            </w:r>
          </w:p>
        </w:tc>
      </w:tr>
      <w:tr w:rsidR="0069330E" w:rsidRPr="001723B0" w14:paraId="748697D2" w14:textId="77777777" w:rsidTr="006E3D15">
        <w:tc>
          <w:tcPr>
            <w:tcW w:w="0" w:type="auto"/>
            <w:tcBorders>
              <w:top w:val="nil"/>
              <w:left w:val="nil"/>
              <w:bottom w:val="nil"/>
              <w:right w:val="single" w:sz="4" w:space="0" w:color="auto"/>
            </w:tcBorders>
            <w:hideMark/>
          </w:tcPr>
          <w:p w14:paraId="3A172751" w14:textId="56EE3819" w:rsidR="0069330E" w:rsidRPr="002422D3" w:rsidRDefault="00DF7C1D" w:rsidP="000868D7">
            <w:pPr>
              <w:keepNext/>
              <w:spacing w:after="120" w:line="240" w:lineRule="auto"/>
              <w:rPr>
                <w:rFonts w:ascii="Arial" w:eastAsia="Calibri" w:hAnsi="Arial" w:cs="Arial"/>
                <w:b/>
                <w:sz w:val="20"/>
                <w:szCs w:val="20"/>
                <w:lang w:eastAsia="x-none"/>
              </w:rPr>
            </w:pPr>
            <w:r>
              <w:rPr>
                <w:rFonts w:ascii="Arial" w:eastAsia="Calibri" w:hAnsi="Arial" w:cs="Arial"/>
                <w:b/>
                <w:sz w:val="20"/>
                <w:szCs w:val="20"/>
                <w:lang w:eastAsia="x-none"/>
              </w:rPr>
              <w:t>5 maja</w:t>
            </w:r>
            <w:r w:rsidR="000460B1" w:rsidRPr="002422D3">
              <w:rPr>
                <w:rFonts w:ascii="Arial" w:eastAsia="Calibri" w:hAnsi="Arial" w:cs="Arial"/>
                <w:b/>
                <w:sz w:val="20"/>
                <w:szCs w:val="20"/>
                <w:lang w:eastAsia="x-none"/>
              </w:rPr>
              <w:t xml:space="preserve"> </w:t>
            </w:r>
            <w:r w:rsidR="0069330E" w:rsidRPr="002422D3">
              <w:rPr>
                <w:rFonts w:ascii="Arial" w:eastAsia="Calibri" w:hAnsi="Arial" w:cs="Arial"/>
                <w:b/>
                <w:sz w:val="20"/>
                <w:szCs w:val="20"/>
                <w:lang w:eastAsia="x-none"/>
              </w:rPr>
              <w:t>202</w:t>
            </w:r>
            <w:r w:rsidR="00BF7ADC" w:rsidRPr="002422D3">
              <w:rPr>
                <w:rFonts w:ascii="Arial" w:eastAsia="Calibri" w:hAnsi="Arial" w:cs="Arial"/>
                <w:b/>
                <w:sz w:val="20"/>
                <w:szCs w:val="20"/>
                <w:lang w:eastAsia="x-none"/>
              </w:rPr>
              <w:t>6</w:t>
            </w:r>
            <w:r>
              <w:rPr>
                <w:rFonts w:ascii="Arial" w:eastAsia="Calibri" w:hAnsi="Arial" w:cs="Arial"/>
                <w:b/>
                <w:sz w:val="20"/>
                <w:szCs w:val="20"/>
                <w:lang w:eastAsia="x-none"/>
              </w:rPr>
              <w:t> </w:t>
            </w:r>
            <w:r w:rsidR="0069330E" w:rsidRPr="002422D3">
              <w:rPr>
                <w:rFonts w:ascii="Arial" w:eastAsia="Calibri" w:hAnsi="Arial" w:cs="Arial"/>
                <w:b/>
                <w:sz w:val="20"/>
                <w:szCs w:val="20"/>
                <w:lang w:eastAsia="x-none"/>
              </w:rPr>
              <w:t>r.</w:t>
            </w:r>
            <w:r w:rsidR="00462330" w:rsidRPr="002422D3">
              <w:rPr>
                <w:rFonts w:ascii="Arial" w:eastAsia="Calibri" w:hAnsi="Arial" w:cs="Arial"/>
                <w:b/>
                <w:sz w:val="20"/>
                <w:szCs w:val="20"/>
                <w:lang w:eastAsia="x-none"/>
              </w:rPr>
              <w:t xml:space="preserve"> po godz. 18:00 CE</w:t>
            </w:r>
            <w:r w:rsidR="00477494" w:rsidRPr="002422D3">
              <w:rPr>
                <w:rFonts w:ascii="Arial" w:eastAsia="Calibri" w:hAnsi="Arial" w:cs="Arial"/>
                <w:b/>
                <w:sz w:val="20"/>
                <w:szCs w:val="20"/>
                <w:lang w:eastAsia="x-none"/>
              </w:rPr>
              <w:t>S</w:t>
            </w:r>
            <w:r w:rsidR="00462330" w:rsidRPr="002422D3">
              <w:rPr>
                <w:rFonts w:ascii="Arial" w:eastAsia="Calibri" w:hAnsi="Arial" w:cs="Arial"/>
                <w:b/>
                <w:sz w:val="20"/>
                <w:szCs w:val="20"/>
                <w:lang w:eastAsia="x-none"/>
              </w:rPr>
              <w:t>T</w:t>
            </w:r>
          </w:p>
        </w:tc>
        <w:tc>
          <w:tcPr>
            <w:tcW w:w="0" w:type="auto"/>
            <w:tcBorders>
              <w:top w:val="nil"/>
              <w:left w:val="single" w:sz="4" w:space="0" w:color="auto"/>
              <w:bottom w:val="nil"/>
              <w:right w:val="nil"/>
            </w:tcBorders>
            <w:hideMark/>
          </w:tcPr>
          <w:p w14:paraId="254C2079" w14:textId="77777777" w:rsidR="00FE4015" w:rsidRPr="001723B0" w:rsidRDefault="00B3674A" w:rsidP="000868D7">
            <w:pPr>
              <w:tabs>
                <w:tab w:val="left" w:pos="2268"/>
              </w:tabs>
              <w:spacing w:after="120" w:line="240" w:lineRule="auto"/>
              <w:jc w:val="both"/>
              <w:rPr>
                <w:rFonts w:ascii="Arial" w:eastAsia="Times New Roman" w:hAnsi="Arial" w:cs="Arial"/>
                <w:sz w:val="20"/>
                <w:szCs w:val="20"/>
              </w:rPr>
            </w:pPr>
            <w:r w:rsidRPr="001723B0">
              <w:rPr>
                <w:rFonts w:ascii="Arial" w:eastAsia="Times New Roman" w:hAnsi="Arial" w:cs="Arial"/>
                <w:sz w:val="20"/>
                <w:szCs w:val="20"/>
              </w:rPr>
              <w:t>Zamknięcie Oferty</w:t>
            </w:r>
            <w:r w:rsidR="0069330E" w:rsidRPr="001723B0">
              <w:rPr>
                <w:rFonts w:ascii="Arial" w:eastAsia="Times New Roman" w:hAnsi="Arial" w:cs="Arial"/>
                <w:sz w:val="20"/>
                <w:szCs w:val="20"/>
              </w:rPr>
              <w:t xml:space="preserve">, podjęcie przez Zarząd uchwały dotyczącej </w:t>
            </w:r>
            <w:r w:rsidR="00C9659B" w:rsidRPr="001723B0">
              <w:rPr>
                <w:rFonts w:ascii="Arial" w:eastAsia="Times New Roman" w:hAnsi="Arial" w:cs="Arial"/>
                <w:sz w:val="20"/>
                <w:szCs w:val="20"/>
              </w:rPr>
              <w:t xml:space="preserve">ustalenia ostatecznej listy </w:t>
            </w:r>
            <w:r w:rsidR="00DF6C3C">
              <w:rPr>
                <w:rFonts w:ascii="Arial" w:eastAsia="Times New Roman" w:hAnsi="Arial" w:cs="Arial"/>
                <w:sz w:val="20"/>
                <w:szCs w:val="20"/>
              </w:rPr>
              <w:t>I</w:t>
            </w:r>
            <w:r w:rsidR="00C9659B" w:rsidRPr="001723B0">
              <w:rPr>
                <w:rFonts w:ascii="Arial" w:eastAsia="Times New Roman" w:hAnsi="Arial" w:cs="Arial"/>
                <w:sz w:val="20"/>
                <w:szCs w:val="20"/>
              </w:rPr>
              <w:t>nwestorów, którzy zawarli ze Spółką Umowy Objęcia Akcji</w:t>
            </w:r>
          </w:p>
        </w:tc>
      </w:tr>
      <w:tr w:rsidR="0069330E" w:rsidRPr="001723B0" w14:paraId="10DFEBB6" w14:textId="77777777" w:rsidTr="006E3D15">
        <w:tc>
          <w:tcPr>
            <w:tcW w:w="0" w:type="auto"/>
            <w:tcBorders>
              <w:top w:val="nil"/>
              <w:left w:val="nil"/>
              <w:bottom w:val="nil"/>
              <w:right w:val="single" w:sz="4" w:space="0" w:color="auto"/>
            </w:tcBorders>
            <w:hideMark/>
          </w:tcPr>
          <w:p w14:paraId="6A7B59A2" w14:textId="77777777" w:rsidR="00FE4015" w:rsidRPr="002422D3" w:rsidRDefault="00FE4015" w:rsidP="000868D7">
            <w:pPr>
              <w:keepNext/>
              <w:spacing w:after="120" w:line="240" w:lineRule="auto"/>
              <w:rPr>
                <w:rFonts w:ascii="Arial" w:eastAsia="Calibri" w:hAnsi="Arial" w:cs="Arial"/>
                <w:b/>
                <w:sz w:val="20"/>
                <w:szCs w:val="20"/>
                <w:lang w:eastAsia="x-none"/>
              </w:rPr>
            </w:pPr>
            <w:r w:rsidRPr="002422D3">
              <w:rPr>
                <w:rFonts w:ascii="Arial" w:eastAsia="Calibri" w:hAnsi="Arial" w:cs="Arial"/>
                <w:b/>
                <w:sz w:val="20"/>
                <w:szCs w:val="20"/>
                <w:lang w:eastAsia="x-none"/>
              </w:rPr>
              <w:t xml:space="preserve">około </w:t>
            </w:r>
            <w:r w:rsidR="00365B9D" w:rsidRPr="002422D3">
              <w:rPr>
                <w:rFonts w:ascii="Arial" w:eastAsia="Calibri" w:hAnsi="Arial" w:cs="Arial"/>
                <w:b/>
                <w:sz w:val="20"/>
                <w:szCs w:val="20"/>
                <w:lang w:eastAsia="x-none"/>
              </w:rPr>
              <w:t>2</w:t>
            </w:r>
            <w:r w:rsidRPr="002422D3">
              <w:rPr>
                <w:rFonts w:ascii="Arial" w:eastAsia="Calibri" w:hAnsi="Arial" w:cs="Arial"/>
                <w:b/>
                <w:sz w:val="20"/>
                <w:szCs w:val="20"/>
                <w:lang w:eastAsia="x-none"/>
              </w:rPr>
              <w:t xml:space="preserve"> miesi</w:t>
            </w:r>
            <w:r w:rsidR="00365B9D" w:rsidRPr="002422D3">
              <w:rPr>
                <w:rFonts w:ascii="Arial" w:eastAsia="Calibri" w:hAnsi="Arial" w:cs="Arial"/>
                <w:b/>
                <w:sz w:val="20"/>
                <w:szCs w:val="20"/>
                <w:lang w:eastAsia="x-none"/>
              </w:rPr>
              <w:t>ęcy</w:t>
            </w:r>
            <w:r w:rsidRPr="002422D3">
              <w:rPr>
                <w:rFonts w:ascii="Arial" w:eastAsia="Calibri" w:hAnsi="Arial" w:cs="Arial"/>
                <w:b/>
                <w:sz w:val="20"/>
                <w:szCs w:val="20"/>
                <w:lang w:eastAsia="x-none"/>
              </w:rPr>
              <w:t xml:space="preserve"> od </w:t>
            </w:r>
            <w:r w:rsidR="00365B9D" w:rsidRPr="002422D3">
              <w:rPr>
                <w:rFonts w:ascii="Arial" w:eastAsia="Calibri" w:hAnsi="Arial" w:cs="Arial"/>
                <w:b/>
                <w:sz w:val="20"/>
                <w:szCs w:val="20"/>
                <w:lang w:eastAsia="x-none"/>
              </w:rPr>
              <w:t xml:space="preserve">przydziału </w:t>
            </w:r>
            <w:r w:rsidRPr="002422D3">
              <w:rPr>
                <w:rFonts w:ascii="Arial" w:eastAsia="Calibri" w:hAnsi="Arial" w:cs="Arial"/>
                <w:b/>
                <w:sz w:val="20"/>
                <w:szCs w:val="20"/>
                <w:lang w:eastAsia="x-none"/>
              </w:rPr>
              <w:t>Akcji Oferowanych</w:t>
            </w:r>
          </w:p>
        </w:tc>
        <w:tc>
          <w:tcPr>
            <w:tcW w:w="0" w:type="auto"/>
            <w:tcBorders>
              <w:top w:val="nil"/>
              <w:left w:val="single" w:sz="4" w:space="0" w:color="auto"/>
              <w:bottom w:val="nil"/>
              <w:right w:val="nil"/>
            </w:tcBorders>
            <w:hideMark/>
          </w:tcPr>
          <w:p w14:paraId="192A8FEB" w14:textId="77777777" w:rsidR="00FE4015" w:rsidRPr="001723B0" w:rsidRDefault="00FE4015" w:rsidP="000868D7">
            <w:pPr>
              <w:tabs>
                <w:tab w:val="left" w:pos="2268"/>
              </w:tabs>
              <w:spacing w:after="120" w:line="240" w:lineRule="auto"/>
              <w:jc w:val="both"/>
              <w:rPr>
                <w:rFonts w:ascii="Arial" w:eastAsia="Times New Roman" w:hAnsi="Arial" w:cs="Arial"/>
                <w:sz w:val="20"/>
                <w:szCs w:val="20"/>
              </w:rPr>
            </w:pPr>
            <w:r w:rsidRPr="001723B0">
              <w:rPr>
                <w:rFonts w:ascii="Arial" w:eastAsia="Times New Roman" w:hAnsi="Arial" w:cs="Arial"/>
                <w:sz w:val="20"/>
                <w:szCs w:val="20"/>
              </w:rPr>
              <w:t>Przewidywany termin rozpoczęcia notowań Akcji Oferowanych na rynku regulowanym</w:t>
            </w:r>
            <w:r w:rsidR="00894BF3" w:rsidRPr="001723B0">
              <w:rPr>
                <w:rFonts w:ascii="Arial" w:eastAsia="Times New Roman" w:hAnsi="Arial" w:cs="Arial"/>
                <w:sz w:val="20"/>
                <w:szCs w:val="20"/>
              </w:rPr>
              <w:t xml:space="preserve"> (termin uzależniony od </w:t>
            </w:r>
            <w:r w:rsidR="00A97FFE" w:rsidRPr="001723B0">
              <w:rPr>
                <w:rFonts w:ascii="Arial" w:eastAsia="Times New Roman" w:hAnsi="Arial" w:cs="Arial"/>
                <w:sz w:val="20"/>
                <w:szCs w:val="20"/>
              </w:rPr>
              <w:t xml:space="preserve">daty wydania </w:t>
            </w:r>
            <w:r w:rsidR="00894BF3" w:rsidRPr="001723B0">
              <w:rPr>
                <w:rFonts w:ascii="Arial" w:eastAsia="Times New Roman" w:hAnsi="Arial" w:cs="Arial"/>
                <w:sz w:val="20"/>
                <w:szCs w:val="20"/>
              </w:rPr>
              <w:t xml:space="preserve">postanowienia sądu rejestrowego </w:t>
            </w:r>
            <w:r w:rsidR="00A97FFE" w:rsidRPr="001723B0">
              <w:rPr>
                <w:rFonts w:ascii="Arial" w:eastAsia="Times New Roman" w:hAnsi="Arial" w:cs="Arial"/>
                <w:sz w:val="20"/>
                <w:szCs w:val="20"/>
              </w:rPr>
              <w:t xml:space="preserve">Spółki </w:t>
            </w:r>
            <w:r w:rsidR="00894BF3" w:rsidRPr="001723B0">
              <w:rPr>
                <w:rFonts w:ascii="Arial" w:eastAsia="Times New Roman" w:hAnsi="Arial" w:cs="Arial"/>
                <w:sz w:val="20"/>
                <w:szCs w:val="20"/>
              </w:rPr>
              <w:t>oraz uchwał KDPW i</w:t>
            </w:r>
            <w:r w:rsidR="007A6665" w:rsidRPr="001723B0">
              <w:rPr>
                <w:rFonts w:ascii="Arial" w:eastAsia="Times New Roman" w:hAnsi="Arial" w:cs="Arial"/>
                <w:sz w:val="20"/>
                <w:szCs w:val="20"/>
              </w:rPr>
              <w:t> </w:t>
            </w:r>
            <w:r w:rsidR="00894BF3" w:rsidRPr="001723B0">
              <w:rPr>
                <w:rFonts w:ascii="Arial" w:eastAsia="Times New Roman" w:hAnsi="Arial" w:cs="Arial"/>
                <w:sz w:val="20"/>
                <w:szCs w:val="20"/>
              </w:rPr>
              <w:t>GPW)</w:t>
            </w:r>
          </w:p>
        </w:tc>
      </w:tr>
    </w:tbl>
    <w:p w14:paraId="79626793" w14:textId="77777777" w:rsidR="00FE4015" w:rsidRPr="001723B0" w:rsidRDefault="00B3674A" w:rsidP="000868D7">
      <w:pPr>
        <w:autoSpaceDE w:val="0"/>
        <w:autoSpaceDN w:val="0"/>
        <w:adjustRightInd w:val="0"/>
        <w:spacing w:after="120" w:line="240" w:lineRule="auto"/>
        <w:jc w:val="both"/>
        <w:rPr>
          <w:rFonts w:ascii="Arial" w:hAnsi="Arial" w:cs="Arial"/>
          <w:bCs/>
          <w:color w:val="000000"/>
          <w:sz w:val="20"/>
          <w:szCs w:val="20"/>
        </w:rPr>
      </w:pPr>
      <w:r w:rsidRPr="001723B0">
        <w:rPr>
          <w:rFonts w:ascii="Arial" w:hAnsi="Arial" w:cs="Arial"/>
          <w:bCs/>
          <w:color w:val="000000"/>
          <w:sz w:val="20"/>
          <w:szCs w:val="20"/>
        </w:rPr>
        <w:t xml:space="preserve">Terminy realizacji Oferty, w tym termin zawarcia </w:t>
      </w:r>
      <w:r w:rsidR="00C9659B" w:rsidRPr="001723B0">
        <w:rPr>
          <w:rFonts w:ascii="Arial" w:hAnsi="Arial" w:cs="Arial"/>
          <w:bCs/>
          <w:color w:val="000000"/>
          <w:sz w:val="20"/>
          <w:szCs w:val="20"/>
        </w:rPr>
        <w:t>Umów Objęcia Akcji</w:t>
      </w:r>
      <w:r w:rsidRPr="001723B0">
        <w:rPr>
          <w:rFonts w:ascii="Arial" w:hAnsi="Arial" w:cs="Arial"/>
          <w:bCs/>
          <w:color w:val="000000"/>
          <w:sz w:val="20"/>
          <w:szCs w:val="20"/>
        </w:rPr>
        <w:t>, mogą ulec zmianie.</w:t>
      </w:r>
    </w:p>
    <w:p w14:paraId="4F2C7706" w14:textId="77777777" w:rsidR="009E1D43" w:rsidRPr="001723B0" w:rsidRDefault="009E1D43" w:rsidP="000868D7">
      <w:pPr>
        <w:keepNext/>
        <w:spacing w:after="120" w:line="240" w:lineRule="auto"/>
        <w:jc w:val="both"/>
        <w:rPr>
          <w:rFonts w:ascii="Arial" w:hAnsi="Arial" w:cs="Arial"/>
          <w:b/>
          <w:bCs/>
          <w:sz w:val="20"/>
          <w:szCs w:val="20"/>
          <w:u w:val="single"/>
        </w:rPr>
      </w:pPr>
      <w:r w:rsidRPr="001723B0">
        <w:rPr>
          <w:rFonts w:ascii="Arial" w:hAnsi="Arial" w:cs="Arial"/>
          <w:b/>
          <w:bCs/>
          <w:sz w:val="20"/>
          <w:szCs w:val="20"/>
          <w:u w:val="single"/>
        </w:rPr>
        <w:t>Subskrypcja Akcji Oferowanych</w:t>
      </w:r>
    </w:p>
    <w:p w14:paraId="77DF0E7F" w14:textId="77777777" w:rsidR="00482974" w:rsidRPr="001723B0" w:rsidRDefault="009E1D43" w:rsidP="000868D7">
      <w:pPr>
        <w:autoSpaceDE w:val="0"/>
        <w:autoSpaceDN w:val="0"/>
        <w:adjustRightInd w:val="0"/>
        <w:spacing w:after="120" w:line="240" w:lineRule="auto"/>
        <w:jc w:val="both"/>
        <w:rPr>
          <w:rFonts w:ascii="Arial" w:hAnsi="Arial" w:cs="Arial"/>
          <w:color w:val="000000"/>
          <w:sz w:val="20"/>
          <w:szCs w:val="20"/>
        </w:rPr>
      </w:pPr>
      <w:r w:rsidRPr="001723B0">
        <w:rPr>
          <w:rFonts w:ascii="Arial" w:hAnsi="Arial" w:cs="Arial"/>
          <w:color w:val="000000"/>
          <w:sz w:val="20"/>
          <w:szCs w:val="20"/>
        </w:rPr>
        <w:t xml:space="preserve">Wraz z ofertą objęcia Akcji Oferowanych </w:t>
      </w:r>
      <w:r w:rsidR="00462330">
        <w:rPr>
          <w:rFonts w:ascii="Arial" w:hAnsi="Arial" w:cs="Arial"/>
          <w:color w:val="000000"/>
          <w:sz w:val="20"/>
          <w:szCs w:val="20"/>
        </w:rPr>
        <w:t>I</w:t>
      </w:r>
      <w:r w:rsidRPr="001723B0">
        <w:rPr>
          <w:rFonts w:ascii="Arial" w:hAnsi="Arial" w:cs="Arial"/>
          <w:color w:val="000000"/>
          <w:sz w:val="20"/>
          <w:szCs w:val="20"/>
        </w:rPr>
        <w:t>nwestor otrzyma</w:t>
      </w:r>
      <w:r w:rsidR="00975362" w:rsidRPr="001723B0">
        <w:rPr>
          <w:rFonts w:ascii="Arial" w:hAnsi="Arial" w:cs="Arial"/>
          <w:color w:val="000000"/>
          <w:sz w:val="20"/>
          <w:szCs w:val="20"/>
        </w:rPr>
        <w:t xml:space="preserve"> </w:t>
      </w:r>
      <w:r w:rsidR="0091003C" w:rsidRPr="001723B0">
        <w:rPr>
          <w:rFonts w:ascii="Arial" w:hAnsi="Arial" w:cs="Arial"/>
          <w:color w:val="000000"/>
          <w:sz w:val="20"/>
          <w:szCs w:val="20"/>
        </w:rPr>
        <w:t xml:space="preserve">od </w:t>
      </w:r>
      <w:r w:rsidR="00415846" w:rsidRPr="001723B0">
        <w:rPr>
          <w:rFonts w:ascii="Arial" w:hAnsi="Arial" w:cs="Arial"/>
          <w:color w:val="000000"/>
          <w:sz w:val="20"/>
          <w:szCs w:val="20"/>
        </w:rPr>
        <w:t xml:space="preserve">Trigon DM </w:t>
      </w:r>
      <w:r w:rsidRPr="001723B0">
        <w:rPr>
          <w:rFonts w:ascii="Arial" w:hAnsi="Arial" w:cs="Arial"/>
          <w:color w:val="000000"/>
          <w:sz w:val="20"/>
          <w:szCs w:val="20"/>
        </w:rPr>
        <w:t>przeznaczony dla niego egzemplarz</w:t>
      </w:r>
      <w:r w:rsidR="00D6020B" w:rsidRPr="001723B0">
        <w:rPr>
          <w:rFonts w:ascii="Arial" w:hAnsi="Arial" w:cs="Arial"/>
          <w:color w:val="000000"/>
          <w:sz w:val="20"/>
          <w:szCs w:val="20"/>
        </w:rPr>
        <w:t xml:space="preserve"> </w:t>
      </w:r>
      <w:r w:rsidR="004B5532" w:rsidRPr="001723B0">
        <w:rPr>
          <w:rFonts w:ascii="Arial" w:hAnsi="Arial" w:cs="Arial"/>
          <w:color w:val="000000"/>
          <w:sz w:val="20"/>
          <w:szCs w:val="20"/>
        </w:rPr>
        <w:t>Umowy Objęcia Akcji</w:t>
      </w:r>
      <w:r w:rsidRPr="001723B0">
        <w:rPr>
          <w:rFonts w:ascii="Arial" w:hAnsi="Arial" w:cs="Arial"/>
          <w:color w:val="000000"/>
          <w:sz w:val="20"/>
          <w:szCs w:val="20"/>
        </w:rPr>
        <w:t>.</w:t>
      </w:r>
      <w:r w:rsidR="00975362" w:rsidRPr="001723B0">
        <w:rPr>
          <w:rFonts w:ascii="Arial" w:hAnsi="Arial" w:cs="Arial"/>
          <w:color w:val="000000"/>
          <w:sz w:val="20"/>
          <w:szCs w:val="20"/>
        </w:rPr>
        <w:t xml:space="preserve"> </w:t>
      </w:r>
      <w:r w:rsidRPr="001723B0">
        <w:rPr>
          <w:rFonts w:ascii="Arial" w:hAnsi="Arial" w:cs="Arial"/>
          <w:color w:val="000000"/>
          <w:sz w:val="20"/>
          <w:szCs w:val="20"/>
        </w:rPr>
        <w:t xml:space="preserve">Treść </w:t>
      </w:r>
      <w:r w:rsidR="00AC2DCB" w:rsidRPr="001723B0">
        <w:rPr>
          <w:rFonts w:ascii="Arial" w:hAnsi="Arial" w:cs="Arial"/>
          <w:color w:val="000000"/>
          <w:sz w:val="20"/>
          <w:szCs w:val="20"/>
        </w:rPr>
        <w:t>U</w:t>
      </w:r>
      <w:r w:rsidRPr="001723B0">
        <w:rPr>
          <w:rFonts w:ascii="Arial" w:hAnsi="Arial" w:cs="Arial"/>
          <w:color w:val="000000"/>
          <w:sz w:val="20"/>
          <w:szCs w:val="20"/>
        </w:rPr>
        <w:t xml:space="preserve">mowy </w:t>
      </w:r>
      <w:r w:rsidR="00AC2DCB" w:rsidRPr="001723B0">
        <w:rPr>
          <w:rFonts w:ascii="Arial" w:hAnsi="Arial" w:cs="Arial"/>
          <w:color w:val="000000"/>
          <w:sz w:val="20"/>
          <w:szCs w:val="20"/>
        </w:rPr>
        <w:t xml:space="preserve">Objęcia Akcji </w:t>
      </w:r>
      <w:r w:rsidRPr="001723B0">
        <w:rPr>
          <w:rFonts w:ascii="Arial" w:hAnsi="Arial" w:cs="Arial"/>
          <w:color w:val="000000"/>
          <w:sz w:val="20"/>
          <w:szCs w:val="20"/>
        </w:rPr>
        <w:t>nie podlega negocjacjom.</w:t>
      </w:r>
      <w:r w:rsidR="00975362" w:rsidRPr="001723B0">
        <w:rPr>
          <w:rFonts w:ascii="Arial" w:hAnsi="Arial" w:cs="Arial"/>
          <w:color w:val="000000"/>
          <w:sz w:val="20"/>
          <w:szCs w:val="20"/>
        </w:rPr>
        <w:t xml:space="preserve"> Inwestor, który podejmie decyzję o przyjęciu oferty objęcia Akcji Oferowanych, złoży wymagane prawem podpisy i </w:t>
      </w:r>
      <w:r w:rsidR="00482974" w:rsidRPr="001723B0">
        <w:rPr>
          <w:rFonts w:ascii="Arial" w:hAnsi="Arial" w:cs="Arial"/>
          <w:color w:val="000000"/>
          <w:sz w:val="20"/>
          <w:szCs w:val="20"/>
        </w:rPr>
        <w:t xml:space="preserve">przekaże </w:t>
      </w:r>
      <w:r w:rsidR="00AC2DCB" w:rsidRPr="001723B0">
        <w:rPr>
          <w:rFonts w:ascii="Arial" w:hAnsi="Arial" w:cs="Arial"/>
          <w:color w:val="000000"/>
          <w:sz w:val="20"/>
          <w:szCs w:val="20"/>
        </w:rPr>
        <w:t>U</w:t>
      </w:r>
      <w:r w:rsidR="00975362" w:rsidRPr="001723B0">
        <w:rPr>
          <w:rFonts w:ascii="Arial" w:hAnsi="Arial" w:cs="Arial"/>
          <w:color w:val="000000"/>
          <w:sz w:val="20"/>
          <w:szCs w:val="20"/>
        </w:rPr>
        <w:t xml:space="preserve">mowę </w:t>
      </w:r>
      <w:r w:rsidR="00AC2DCB" w:rsidRPr="001723B0">
        <w:rPr>
          <w:rFonts w:ascii="Arial" w:hAnsi="Arial" w:cs="Arial"/>
          <w:color w:val="000000"/>
          <w:sz w:val="20"/>
          <w:szCs w:val="20"/>
        </w:rPr>
        <w:t>O</w:t>
      </w:r>
      <w:r w:rsidR="00975362" w:rsidRPr="001723B0">
        <w:rPr>
          <w:rFonts w:ascii="Arial" w:hAnsi="Arial" w:cs="Arial"/>
          <w:color w:val="000000"/>
          <w:sz w:val="20"/>
          <w:szCs w:val="20"/>
        </w:rPr>
        <w:t xml:space="preserve">bjęcia Akcji </w:t>
      </w:r>
      <w:r w:rsidR="00092CAC" w:rsidRPr="001723B0">
        <w:rPr>
          <w:rFonts w:ascii="Arial" w:hAnsi="Arial" w:cs="Arial"/>
          <w:color w:val="000000"/>
          <w:sz w:val="20"/>
          <w:szCs w:val="20"/>
        </w:rPr>
        <w:t>Trigon DM</w:t>
      </w:r>
      <w:r w:rsidR="00975362" w:rsidRPr="001723B0">
        <w:rPr>
          <w:rFonts w:ascii="Arial" w:hAnsi="Arial" w:cs="Arial"/>
          <w:color w:val="000000"/>
          <w:sz w:val="20"/>
          <w:szCs w:val="20"/>
        </w:rPr>
        <w:t xml:space="preserve">. </w:t>
      </w:r>
      <w:r w:rsidR="0084219A" w:rsidRPr="001723B0">
        <w:rPr>
          <w:rFonts w:ascii="Arial" w:hAnsi="Arial" w:cs="Arial"/>
          <w:color w:val="000000"/>
          <w:sz w:val="20"/>
          <w:szCs w:val="20"/>
        </w:rPr>
        <w:t xml:space="preserve">Wraz z podpisaną Umową Objęcia Akcji inwestor przekaże </w:t>
      </w:r>
      <w:r w:rsidR="00092CAC" w:rsidRPr="001723B0">
        <w:rPr>
          <w:rFonts w:ascii="Arial" w:hAnsi="Arial" w:cs="Arial"/>
          <w:color w:val="000000"/>
          <w:sz w:val="20"/>
          <w:szCs w:val="20"/>
        </w:rPr>
        <w:t>Trigon DM</w:t>
      </w:r>
      <w:r w:rsidR="0084219A" w:rsidRPr="001723B0">
        <w:rPr>
          <w:rFonts w:ascii="Arial" w:hAnsi="Arial" w:cs="Arial"/>
          <w:color w:val="000000"/>
          <w:sz w:val="20"/>
          <w:szCs w:val="20"/>
        </w:rPr>
        <w:t xml:space="preserve"> dokumenty potwierdzające umocowanie </w:t>
      </w:r>
      <w:r w:rsidR="00312303" w:rsidRPr="001723B0">
        <w:rPr>
          <w:rFonts w:ascii="Arial" w:hAnsi="Arial" w:cs="Arial"/>
          <w:color w:val="000000"/>
          <w:sz w:val="20"/>
          <w:szCs w:val="20"/>
        </w:rPr>
        <w:t xml:space="preserve">do reprezentowania </w:t>
      </w:r>
      <w:r w:rsidR="00462330">
        <w:rPr>
          <w:rFonts w:ascii="Arial" w:hAnsi="Arial" w:cs="Arial"/>
          <w:color w:val="000000"/>
          <w:sz w:val="20"/>
          <w:szCs w:val="20"/>
        </w:rPr>
        <w:t>I</w:t>
      </w:r>
      <w:r w:rsidR="00312303" w:rsidRPr="001723B0">
        <w:rPr>
          <w:rFonts w:ascii="Arial" w:hAnsi="Arial" w:cs="Arial"/>
          <w:color w:val="000000"/>
          <w:sz w:val="20"/>
          <w:szCs w:val="20"/>
        </w:rPr>
        <w:t xml:space="preserve">nwestora przez </w:t>
      </w:r>
      <w:r w:rsidR="0084219A" w:rsidRPr="001723B0">
        <w:rPr>
          <w:rFonts w:ascii="Arial" w:hAnsi="Arial" w:cs="Arial"/>
          <w:color w:val="000000"/>
          <w:sz w:val="20"/>
          <w:szCs w:val="20"/>
        </w:rPr>
        <w:t>os</w:t>
      </w:r>
      <w:r w:rsidR="00312303" w:rsidRPr="001723B0">
        <w:rPr>
          <w:rFonts w:ascii="Arial" w:hAnsi="Arial" w:cs="Arial"/>
          <w:color w:val="000000"/>
          <w:sz w:val="20"/>
          <w:szCs w:val="20"/>
        </w:rPr>
        <w:t>oby</w:t>
      </w:r>
      <w:r w:rsidR="0084219A" w:rsidRPr="001723B0">
        <w:rPr>
          <w:rFonts w:ascii="Arial" w:hAnsi="Arial" w:cs="Arial"/>
          <w:color w:val="000000"/>
          <w:sz w:val="20"/>
          <w:szCs w:val="20"/>
        </w:rPr>
        <w:t xml:space="preserve">, które złożyły w jego imieniu podpisy na Umowie </w:t>
      </w:r>
      <w:r w:rsidR="00312303" w:rsidRPr="001723B0">
        <w:rPr>
          <w:rFonts w:ascii="Arial" w:hAnsi="Arial" w:cs="Arial"/>
          <w:color w:val="000000"/>
          <w:sz w:val="20"/>
          <w:szCs w:val="20"/>
        </w:rPr>
        <w:t>O</w:t>
      </w:r>
      <w:r w:rsidR="0084219A" w:rsidRPr="001723B0">
        <w:rPr>
          <w:rFonts w:ascii="Arial" w:hAnsi="Arial" w:cs="Arial"/>
          <w:color w:val="000000"/>
          <w:sz w:val="20"/>
          <w:szCs w:val="20"/>
        </w:rPr>
        <w:t>bjęcia Akcji</w:t>
      </w:r>
      <w:r w:rsidR="00585D3D" w:rsidRPr="001723B0">
        <w:rPr>
          <w:rFonts w:ascii="Arial" w:hAnsi="Arial" w:cs="Arial"/>
          <w:color w:val="000000"/>
          <w:sz w:val="20"/>
          <w:szCs w:val="20"/>
        </w:rPr>
        <w:t>,</w:t>
      </w:r>
      <w:r w:rsidR="0084219A" w:rsidRPr="001723B0">
        <w:rPr>
          <w:rFonts w:ascii="Arial" w:hAnsi="Arial" w:cs="Arial"/>
          <w:color w:val="000000"/>
          <w:sz w:val="20"/>
          <w:szCs w:val="20"/>
        </w:rPr>
        <w:t xml:space="preserve"> tj. aktualny odpis z właściwego rejestru </w:t>
      </w:r>
      <w:r w:rsidR="00585D3D" w:rsidRPr="001723B0">
        <w:rPr>
          <w:rFonts w:ascii="Arial" w:hAnsi="Arial" w:cs="Arial"/>
          <w:color w:val="000000"/>
          <w:sz w:val="20"/>
          <w:szCs w:val="20"/>
        </w:rPr>
        <w:t xml:space="preserve">uwzględniający osoby reprezentujące </w:t>
      </w:r>
      <w:r w:rsidR="00DF6C3C">
        <w:rPr>
          <w:rFonts w:ascii="Arial" w:hAnsi="Arial" w:cs="Arial"/>
          <w:color w:val="000000"/>
          <w:sz w:val="20"/>
          <w:szCs w:val="20"/>
        </w:rPr>
        <w:t>I</w:t>
      </w:r>
      <w:r w:rsidR="00585D3D" w:rsidRPr="001723B0">
        <w:rPr>
          <w:rFonts w:ascii="Arial" w:hAnsi="Arial" w:cs="Arial"/>
          <w:color w:val="000000"/>
          <w:sz w:val="20"/>
          <w:szCs w:val="20"/>
        </w:rPr>
        <w:t xml:space="preserve">nwestora lub kopię pełnomocnictwa do reprezentowania </w:t>
      </w:r>
      <w:r w:rsidR="00462330">
        <w:rPr>
          <w:rFonts w:ascii="Arial" w:hAnsi="Arial" w:cs="Arial"/>
          <w:color w:val="000000"/>
          <w:sz w:val="20"/>
          <w:szCs w:val="20"/>
        </w:rPr>
        <w:t>I</w:t>
      </w:r>
      <w:r w:rsidR="00585D3D" w:rsidRPr="001723B0">
        <w:rPr>
          <w:rFonts w:ascii="Arial" w:hAnsi="Arial" w:cs="Arial"/>
          <w:color w:val="000000"/>
          <w:sz w:val="20"/>
          <w:szCs w:val="20"/>
        </w:rPr>
        <w:t>nwestora przy zawarciu Umowy Objęcia akcji wraz z aktualnym odpisem z</w:t>
      </w:r>
      <w:r w:rsidR="00516974" w:rsidRPr="001723B0">
        <w:rPr>
          <w:rFonts w:ascii="Arial" w:hAnsi="Arial" w:cs="Arial"/>
          <w:color w:val="000000"/>
          <w:sz w:val="20"/>
          <w:szCs w:val="20"/>
        </w:rPr>
        <w:t> </w:t>
      </w:r>
      <w:r w:rsidR="00585D3D" w:rsidRPr="001723B0">
        <w:rPr>
          <w:rFonts w:ascii="Arial" w:hAnsi="Arial" w:cs="Arial"/>
          <w:color w:val="000000"/>
          <w:sz w:val="20"/>
          <w:szCs w:val="20"/>
        </w:rPr>
        <w:t xml:space="preserve">właściwego rejestru uwzględniającym osoby, które udzieliły pełnomocnictwa. W przypadku </w:t>
      </w:r>
      <w:r w:rsidR="00462330">
        <w:rPr>
          <w:rFonts w:ascii="Arial" w:hAnsi="Arial" w:cs="Arial"/>
          <w:color w:val="000000"/>
          <w:sz w:val="20"/>
          <w:szCs w:val="20"/>
        </w:rPr>
        <w:t>I</w:t>
      </w:r>
      <w:r w:rsidR="00585D3D" w:rsidRPr="001723B0">
        <w:rPr>
          <w:rFonts w:ascii="Arial" w:hAnsi="Arial" w:cs="Arial"/>
          <w:color w:val="000000"/>
          <w:sz w:val="20"/>
          <w:szCs w:val="20"/>
        </w:rPr>
        <w:t xml:space="preserve">nwestorów zagranicznych </w:t>
      </w:r>
      <w:r w:rsidR="00585D3D" w:rsidRPr="001723B0">
        <w:rPr>
          <w:rFonts w:ascii="Arial" w:hAnsi="Arial" w:cs="Arial"/>
          <w:color w:val="000000"/>
          <w:sz w:val="20"/>
          <w:szCs w:val="20"/>
        </w:rPr>
        <w:lastRenderedPageBreak/>
        <w:t xml:space="preserve">dokumenty powinny być przekazane w </w:t>
      </w:r>
      <w:r w:rsidR="002A627A" w:rsidRPr="001723B0">
        <w:rPr>
          <w:rFonts w:ascii="Arial" w:hAnsi="Arial" w:cs="Arial"/>
          <w:color w:val="000000"/>
          <w:sz w:val="20"/>
          <w:szCs w:val="20"/>
        </w:rPr>
        <w:t>angielskiej wersji językowej</w:t>
      </w:r>
      <w:r w:rsidR="00585D3D" w:rsidRPr="001723B0">
        <w:rPr>
          <w:rFonts w:ascii="Arial" w:hAnsi="Arial" w:cs="Arial"/>
          <w:color w:val="000000"/>
          <w:sz w:val="20"/>
          <w:szCs w:val="20"/>
        </w:rPr>
        <w:t xml:space="preserve">. </w:t>
      </w:r>
      <w:r w:rsidR="00975362" w:rsidRPr="001723B0">
        <w:rPr>
          <w:rFonts w:ascii="Arial" w:hAnsi="Arial" w:cs="Arial"/>
          <w:color w:val="000000"/>
          <w:sz w:val="20"/>
          <w:szCs w:val="20"/>
        </w:rPr>
        <w:t xml:space="preserve">Emitent złoży wymagane prawem podpisy na otrzymanych od </w:t>
      </w:r>
      <w:r w:rsidR="00092CAC" w:rsidRPr="001723B0">
        <w:rPr>
          <w:rFonts w:ascii="Arial" w:hAnsi="Arial" w:cs="Arial"/>
          <w:color w:val="000000"/>
          <w:sz w:val="20"/>
          <w:szCs w:val="20"/>
        </w:rPr>
        <w:t>Trigon DM</w:t>
      </w:r>
      <w:r w:rsidR="00975362" w:rsidRPr="001723B0">
        <w:rPr>
          <w:rFonts w:ascii="Arial" w:hAnsi="Arial" w:cs="Arial"/>
          <w:color w:val="000000"/>
          <w:sz w:val="20"/>
          <w:szCs w:val="20"/>
        </w:rPr>
        <w:t xml:space="preserve"> </w:t>
      </w:r>
      <w:r w:rsidR="00AC2DCB" w:rsidRPr="001723B0">
        <w:rPr>
          <w:rFonts w:ascii="Arial" w:hAnsi="Arial" w:cs="Arial"/>
          <w:color w:val="000000"/>
          <w:sz w:val="20"/>
          <w:szCs w:val="20"/>
        </w:rPr>
        <w:t>U</w:t>
      </w:r>
      <w:r w:rsidR="00975362" w:rsidRPr="001723B0">
        <w:rPr>
          <w:rFonts w:ascii="Arial" w:hAnsi="Arial" w:cs="Arial"/>
          <w:color w:val="000000"/>
          <w:sz w:val="20"/>
          <w:szCs w:val="20"/>
        </w:rPr>
        <w:t xml:space="preserve">mowach </w:t>
      </w:r>
      <w:r w:rsidR="00AC2DCB" w:rsidRPr="001723B0">
        <w:rPr>
          <w:rFonts w:ascii="Arial" w:hAnsi="Arial" w:cs="Arial"/>
          <w:color w:val="000000"/>
          <w:sz w:val="20"/>
          <w:szCs w:val="20"/>
        </w:rPr>
        <w:t>O</w:t>
      </w:r>
      <w:r w:rsidR="00975362" w:rsidRPr="001723B0">
        <w:rPr>
          <w:rFonts w:ascii="Arial" w:hAnsi="Arial" w:cs="Arial"/>
          <w:color w:val="000000"/>
          <w:sz w:val="20"/>
          <w:szCs w:val="20"/>
        </w:rPr>
        <w:t xml:space="preserve">bjęcia Akcji </w:t>
      </w:r>
      <w:r w:rsidR="00136D91" w:rsidRPr="001723B0">
        <w:rPr>
          <w:rFonts w:ascii="Arial" w:hAnsi="Arial" w:cs="Arial"/>
          <w:color w:val="000000"/>
          <w:sz w:val="20"/>
          <w:szCs w:val="20"/>
        </w:rPr>
        <w:t xml:space="preserve">i </w:t>
      </w:r>
      <w:r w:rsidR="00482974" w:rsidRPr="001723B0">
        <w:rPr>
          <w:rFonts w:ascii="Arial" w:hAnsi="Arial" w:cs="Arial"/>
          <w:color w:val="000000"/>
          <w:sz w:val="20"/>
          <w:szCs w:val="20"/>
        </w:rPr>
        <w:t xml:space="preserve">przekaże </w:t>
      </w:r>
      <w:r w:rsidR="00462330">
        <w:rPr>
          <w:rFonts w:ascii="Arial" w:hAnsi="Arial" w:cs="Arial"/>
          <w:color w:val="000000"/>
          <w:sz w:val="20"/>
          <w:szCs w:val="20"/>
        </w:rPr>
        <w:t>I</w:t>
      </w:r>
      <w:r w:rsidR="00136D91" w:rsidRPr="001723B0">
        <w:rPr>
          <w:rFonts w:ascii="Arial" w:hAnsi="Arial" w:cs="Arial"/>
          <w:color w:val="000000"/>
          <w:sz w:val="20"/>
          <w:szCs w:val="20"/>
        </w:rPr>
        <w:t xml:space="preserve">nwestorom </w:t>
      </w:r>
      <w:r w:rsidR="00084E57" w:rsidRPr="001723B0">
        <w:rPr>
          <w:rFonts w:ascii="Arial" w:hAnsi="Arial" w:cs="Arial"/>
          <w:color w:val="000000"/>
          <w:sz w:val="20"/>
          <w:szCs w:val="20"/>
        </w:rPr>
        <w:t xml:space="preserve">za pośrednictwem </w:t>
      </w:r>
      <w:r w:rsidR="00092CAC" w:rsidRPr="001723B0">
        <w:rPr>
          <w:rFonts w:ascii="Arial" w:hAnsi="Arial" w:cs="Arial"/>
          <w:color w:val="000000"/>
          <w:sz w:val="20"/>
          <w:szCs w:val="20"/>
        </w:rPr>
        <w:t xml:space="preserve">Trigon DM </w:t>
      </w:r>
      <w:r w:rsidR="00136D91" w:rsidRPr="001723B0">
        <w:rPr>
          <w:rFonts w:ascii="Arial" w:hAnsi="Arial" w:cs="Arial"/>
          <w:color w:val="000000"/>
          <w:sz w:val="20"/>
          <w:szCs w:val="20"/>
        </w:rPr>
        <w:t>przeznaczone dla nich egzemplarze tych umów.</w:t>
      </w:r>
    </w:p>
    <w:p w14:paraId="433C1EDD" w14:textId="77777777" w:rsidR="004C0D83" w:rsidRPr="001723B0" w:rsidRDefault="00482974" w:rsidP="000868D7">
      <w:pPr>
        <w:autoSpaceDE w:val="0"/>
        <w:autoSpaceDN w:val="0"/>
        <w:adjustRightInd w:val="0"/>
        <w:spacing w:after="120" w:line="240" w:lineRule="auto"/>
        <w:jc w:val="both"/>
        <w:rPr>
          <w:rFonts w:ascii="Arial" w:hAnsi="Arial" w:cs="Arial"/>
          <w:color w:val="000000"/>
          <w:sz w:val="20"/>
          <w:szCs w:val="20"/>
        </w:rPr>
      </w:pPr>
      <w:r w:rsidRPr="001723B0">
        <w:rPr>
          <w:rFonts w:ascii="Arial" w:hAnsi="Arial" w:cs="Arial"/>
          <w:color w:val="000000"/>
          <w:sz w:val="20"/>
          <w:szCs w:val="20"/>
        </w:rPr>
        <w:t xml:space="preserve">Umowa </w:t>
      </w:r>
      <w:r w:rsidR="00AC2DCB" w:rsidRPr="001723B0">
        <w:rPr>
          <w:rFonts w:ascii="Arial" w:hAnsi="Arial" w:cs="Arial"/>
          <w:color w:val="000000"/>
          <w:sz w:val="20"/>
          <w:szCs w:val="20"/>
        </w:rPr>
        <w:t xml:space="preserve">Objęcia Akcji </w:t>
      </w:r>
      <w:r w:rsidRPr="001723B0">
        <w:rPr>
          <w:rFonts w:ascii="Arial" w:hAnsi="Arial" w:cs="Arial"/>
          <w:color w:val="000000"/>
          <w:sz w:val="20"/>
          <w:szCs w:val="20"/>
        </w:rPr>
        <w:t>może zostać zawarta w formie elektronicznej, opatrzonej elektronicznymi podpisami kwalifikowanymi zgodnie z art. 78</w:t>
      </w:r>
      <w:r w:rsidRPr="001723B0">
        <w:rPr>
          <w:rFonts w:ascii="Arial" w:hAnsi="Arial" w:cs="Arial"/>
          <w:color w:val="000000"/>
          <w:sz w:val="20"/>
          <w:szCs w:val="20"/>
          <w:vertAlign w:val="superscript"/>
        </w:rPr>
        <w:t>1</w:t>
      </w:r>
      <w:r w:rsidRPr="001723B0">
        <w:rPr>
          <w:rFonts w:ascii="Arial" w:hAnsi="Arial" w:cs="Arial"/>
          <w:color w:val="000000"/>
          <w:sz w:val="20"/>
          <w:szCs w:val="20"/>
        </w:rPr>
        <w:t xml:space="preserve"> § 1 Kodeksu cywilnego, równoważnej z oświadczeniem woli złożonym w</w:t>
      </w:r>
      <w:r w:rsidR="00B3661E" w:rsidRPr="001723B0">
        <w:rPr>
          <w:rFonts w:ascii="Arial" w:hAnsi="Arial" w:cs="Arial"/>
          <w:color w:val="000000"/>
          <w:sz w:val="20"/>
          <w:szCs w:val="20"/>
        </w:rPr>
        <w:t> </w:t>
      </w:r>
      <w:r w:rsidRPr="001723B0">
        <w:rPr>
          <w:rFonts w:ascii="Arial" w:hAnsi="Arial" w:cs="Arial"/>
          <w:color w:val="000000"/>
          <w:sz w:val="20"/>
          <w:szCs w:val="20"/>
        </w:rPr>
        <w:t>formie pisemnej.</w:t>
      </w:r>
    </w:p>
    <w:p w14:paraId="7478E085" w14:textId="77777777" w:rsidR="009E1D43" w:rsidRPr="001723B0" w:rsidRDefault="00A97FFE" w:rsidP="000868D7">
      <w:pPr>
        <w:keepNext/>
        <w:spacing w:after="120" w:line="240" w:lineRule="auto"/>
        <w:jc w:val="both"/>
        <w:rPr>
          <w:rFonts w:ascii="Arial" w:hAnsi="Arial" w:cs="Arial"/>
          <w:b/>
          <w:bCs/>
          <w:sz w:val="20"/>
          <w:szCs w:val="20"/>
          <w:u w:val="single"/>
        </w:rPr>
      </w:pPr>
      <w:r w:rsidRPr="001723B0">
        <w:rPr>
          <w:rFonts w:ascii="Arial" w:hAnsi="Arial" w:cs="Arial"/>
          <w:b/>
          <w:bCs/>
          <w:sz w:val="20"/>
          <w:szCs w:val="20"/>
          <w:u w:val="single"/>
        </w:rPr>
        <w:t xml:space="preserve">Zapłata </w:t>
      </w:r>
      <w:r w:rsidR="00482974" w:rsidRPr="001723B0">
        <w:rPr>
          <w:rFonts w:ascii="Arial" w:hAnsi="Arial" w:cs="Arial"/>
          <w:b/>
          <w:bCs/>
          <w:sz w:val="20"/>
          <w:szCs w:val="20"/>
          <w:u w:val="single"/>
        </w:rPr>
        <w:t>za obejmowane Akcje Oferowane</w:t>
      </w:r>
    </w:p>
    <w:p w14:paraId="5C4A3F28" w14:textId="77777777" w:rsidR="00AC2DCB" w:rsidRPr="001723B0" w:rsidRDefault="00A97FFE" w:rsidP="000868D7">
      <w:pPr>
        <w:autoSpaceDE w:val="0"/>
        <w:autoSpaceDN w:val="0"/>
        <w:adjustRightInd w:val="0"/>
        <w:spacing w:after="120" w:line="240" w:lineRule="auto"/>
        <w:jc w:val="both"/>
        <w:rPr>
          <w:rFonts w:ascii="Arial" w:hAnsi="Arial" w:cs="Arial"/>
          <w:color w:val="000000"/>
          <w:sz w:val="20"/>
          <w:szCs w:val="20"/>
        </w:rPr>
      </w:pPr>
      <w:r w:rsidRPr="001723B0">
        <w:rPr>
          <w:rFonts w:ascii="Arial" w:hAnsi="Arial" w:cs="Arial"/>
          <w:color w:val="000000"/>
          <w:sz w:val="20"/>
          <w:szCs w:val="20"/>
        </w:rPr>
        <w:t xml:space="preserve">Zapłata </w:t>
      </w:r>
      <w:r w:rsidR="009E1D43" w:rsidRPr="001723B0">
        <w:rPr>
          <w:rFonts w:ascii="Arial" w:hAnsi="Arial" w:cs="Arial"/>
          <w:color w:val="000000"/>
          <w:sz w:val="20"/>
          <w:szCs w:val="20"/>
        </w:rPr>
        <w:t xml:space="preserve">łącznej ceny za </w:t>
      </w:r>
      <w:r w:rsidR="00482974" w:rsidRPr="001723B0">
        <w:rPr>
          <w:rFonts w:ascii="Arial" w:hAnsi="Arial" w:cs="Arial"/>
          <w:color w:val="000000"/>
          <w:sz w:val="20"/>
          <w:szCs w:val="20"/>
        </w:rPr>
        <w:t xml:space="preserve">obejmowane </w:t>
      </w:r>
      <w:r w:rsidR="009E1D43" w:rsidRPr="001723B0">
        <w:rPr>
          <w:rFonts w:ascii="Arial" w:hAnsi="Arial" w:cs="Arial"/>
          <w:color w:val="000000"/>
          <w:sz w:val="20"/>
          <w:szCs w:val="20"/>
        </w:rPr>
        <w:t>Akcje Oferowane</w:t>
      </w:r>
      <w:r w:rsidR="00482974" w:rsidRPr="001723B0">
        <w:rPr>
          <w:rFonts w:ascii="Arial" w:hAnsi="Arial" w:cs="Arial"/>
          <w:color w:val="000000"/>
          <w:sz w:val="20"/>
          <w:szCs w:val="20"/>
        </w:rPr>
        <w:t xml:space="preserve"> </w:t>
      </w:r>
      <w:r w:rsidR="008C6237" w:rsidRPr="001723B0">
        <w:rPr>
          <w:rFonts w:ascii="Arial" w:hAnsi="Arial" w:cs="Arial"/>
          <w:color w:val="000000"/>
          <w:sz w:val="20"/>
          <w:szCs w:val="20"/>
        </w:rPr>
        <w:t>–</w:t>
      </w:r>
      <w:r w:rsidR="00482974" w:rsidRPr="001723B0">
        <w:rPr>
          <w:rFonts w:ascii="Arial" w:hAnsi="Arial" w:cs="Arial"/>
          <w:color w:val="000000"/>
          <w:sz w:val="20"/>
          <w:szCs w:val="20"/>
        </w:rPr>
        <w:t xml:space="preserve"> </w:t>
      </w:r>
      <w:r w:rsidR="00007738" w:rsidRPr="001723B0">
        <w:rPr>
          <w:rFonts w:ascii="Arial" w:hAnsi="Arial" w:cs="Arial"/>
          <w:color w:val="000000"/>
          <w:sz w:val="20"/>
          <w:szCs w:val="20"/>
        </w:rPr>
        <w:t xml:space="preserve">obliczonej jako </w:t>
      </w:r>
      <w:r w:rsidR="009E1D43" w:rsidRPr="001723B0">
        <w:rPr>
          <w:rFonts w:ascii="Arial" w:hAnsi="Arial" w:cs="Arial"/>
          <w:color w:val="000000"/>
          <w:sz w:val="20"/>
          <w:szCs w:val="20"/>
        </w:rPr>
        <w:t>iloczyn liczby Akcji Oferowanych</w:t>
      </w:r>
      <w:r w:rsidR="00136D91" w:rsidRPr="001723B0">
        <w:rPr>
          <w:rFonts w:ascii="Arial" w:hAnsi="Arial" w:cs="Arial"/>
          <w:color w:val="000000"/>
          <w:sz w:val="20"/>
          <w:szCs w:val="20"/>
        </w:rPr>
        <w:t xml:space="preserve"> obejmowanych przez </w:t>
      </w:r>
      <w:r w:rsidR="00DF6C3C">
        <w:rPr>
          <w:rFonts w:ascii="Arial" w:hAnsi="Arial" w:cs="Arial"/>
          <w:color w:val="000000"/>
          <w:sz w:val="20"/>
          <w:szCs w:val="20"/>
        </w:rPr>
        <w:t>I</w:t>
      </w:r>
      <w:r w:rsidR="00136D91" w:rsidRPr="001723B0">
        <w:rPr>
          <w:rFonts w:ascii="Arial" w:hAnsi="Arial" w:cs="Arial"/>
          <w:color w:val="000000"/>
          <w:sz w:val="20"/>
          <w:szCs w:val="20"/>
        </w:rPr>
        <w:t xml:space="preserve">nwestora </w:t>
      </w:r>
      <w:r w:rsidR="009E1D43" w:rsidRPr="001723B0">
        <w:rPr>
          <w:rFonts w:ascii="Arial" w:hAnsi="Arial" w:cs="Arial"/>
          <w:color w:val="000000"/>
          <w:sz w:val="20"/>
          <w:szCs w:val="20"/>
        </w:rPr>
        <w:t xml:space="preserve">oraz </w:t>
      </w:r>
      <w:r w:rsidR="00AC2DCB" w:rsidRPr="001723B0">
        <w:rPr>
          <w:rFonts w:ascii="Arial" w:hAnsi="Arial" w:cs="Arial"/>
          <w:color w:val="000000"/>
          <w:sz w:val="20"/>
          <w:szCs w:val="20"/>
        </w:rPr>
        <w:t>C</w:t>
      </w:r>
      <w:r w:rsidR="009E1D43" w:rsidRPr="001723B0">
        <w:rPr>
          <w:rFonts w:ascii="Arial" w:hAnsi="Arial" w:cs="Arial"/>
          <w:color w:val="000000"/>
          <w:sz w:val="20"/>
          <w:szCs w:val="20"/>
        </w:rPr>
        <w:t xml:space="preserve">eny </w:t>
      </w:r>
      <w:r w:rsidR="00AC2DCB" w:rsidRPr="001723B0">
        <w:rPr>
          <w:rFonts w:ascii="Arial" w:hAnsi="Arial" w:cs="Arial"/>
          <w:color w:val="000000"/>
          <w:sz w:val="20"/>
          <w:szCs w:val="20"/>
        </w:rPr>
        <w:t>E</w:t>
      </w:r>
      <w:r w:rsidR="009E1D43" w:rsidRPr="001723B0">
        <w:rPr>
          <w:rFonts w:ascii="Arial" w:hAnsi="Arial" w:cs="Arial"/>
          <w:color w:val="000000"/>
          <w:sz w:val="20"/>
          <w:szCs w:val="20"/>
        </w:rPr>
        <w:t>misyjnej</w:t>
      </w:r>
      <w:r w:rsidR="001C7601" w:rsidRPr="001723B0">
        <w:rPr>
          <w:rFonts w:ascii="Arial" w:hAnsi="Arial" w:cs="Arial"/>
          <w:color w:val="000000"/>
          <w:sz w:val="20"/>
          <w:szCs w:val="20"/>
        </w:rPr>
        <w:t xml:space="preserve"> („</w:t>
      </w:r>
      <w:r w:rsidR="001C7601" w:rsidRPr="001723B0">
        <w:rPr>
          <w:rFonts w:ascii="Arial" w:hAnsi="Arial" w:cs="Arial"/>
          <w:b/>
          <w:bCs/>
          <w:color w:val="000000"/>
          <w:sz w:val="20"/>
          <w:szCs w:val="20"/>
        </w:rPr>
        <w:t>Cena Obejmowanych Akcji</w:t>
      </w:r>
      <w:r w:rsidR="001C7601" w:rsidRPr="001723B0">
        <w:rPr>
          <w:rFonts w:ascii="Arial" w:hAnsi="Arial" w:cs="Arial"/>
          <w:color w:val="000000"/>
          <w:sz w:val="20"/>
          <w:szCs w:val="20"/>
        </w:rPr>
        <w:t>”)</w:t>
      </w:r>
      <w:r w:rsidR="00AC2DCB" w:rsidRPr="001723B0">
        <w:rPr>
          <w:rFonts w:ascii="Arial" w:hAnsi="Arial" w:cs="Arial"/>
          <w:color w:val="000000"/>
          <w:sz w:val="20"/>
          <w:szCs w:val="20"/>
        </w:rPr>
        <w:t xml:space="preserve"> </w:t>
      </w:r>
      <w:r w:rsidR="008C6237" w:rsidRPr="001723B0">
        <w:rPr>
          <w:rFonts w:ascii="Arial" w:hAnsi="Arial" w:cs="Arial"/>
          <w:color w:val="000000"/>
          <w:sz w:val="20"/>
          <w:szCs w:val="20"/>
        </w:rPr>
        <w:t>–</w:t>
      </w:r>
      <w:r w:rsidR="009E1D43" w:rsidRPr="001723B0">
        <w:rPr>
          <w:rFonts w:ascii="Arial" w:hAnsi="Arial" w:cs="Arial"/>
          <w:color w:val="000000"/>
          <w:sz w:val="20"/>
          <w:szCs w:val="20"/>
        </w:rPr>
        <w:t xml:space="preserve"> objęte </w:t>
      </w:r>
      <w:r w:rsidR="00AC2DCB" w:rsidRPr="001723B0">
        <w:rPr>
          <w:rFonts w:ascii="Arial" w:hAnsi="Arial" w:cs="Arial"/>
          <w:color w:val="000000"/>
          <w:sz w:val="20"/>
          <w:szCs w:val="20"/>
        </w:rPr>
        <w:t>U</w:t>
      </w:r>
      <w:r w:rsidR="009E1D43" w:rsidRPr="001723B0">
        <w:rPr>
          <w:rFonts w:ascii="Arial" w:hAnsi="Arial" w:cs="Arial"/>
          <w:color w:val="000000"/>
          <w:sz w:val="20"/>
          <w:szCs w:val="20"/>
        </w:rPr>
        <w:t>mową</w:t>
      </w:r>
      <w:r w:rsidR="00136D91" w:rsidRPr="001723B0">
        <w:rPr>
          <w:rFonts w:ascii="Arial" w:hAnsi="Arial" w:cs="Arial"/>
          <w:color w:val="000000"/>
          <w:sz w:val="20"/>
          <w:szCs w:val="20"/>
        </w:rPr>
        <w:t xml:space="preserve"> </w:t>
      </w:r>
      <w:r w:rsidR="00AC2DCB" w:rsidRPr="001723B0">
        <w:rPr>
          <w:rFonts w:ascii="Arial" w:hAnsi="Arial" w:cs="Arial"/>
          <w:color w:val="000000"/>
          <w:sz w:val="20"/>
          <w:szCs w:val="20"/>
        </w:rPr>
        <w:t>O</w:t>
      </w:r>
      <w:r w:rsidR="009E1D43" w:rsidRPr="001723B0">
        <w:rPr>
          <w:rFonts w:ascii="Arial" w:hAnsi="Arial" w:cs="Arial"/>
          <w:color w:val="000000"/>
          <w:sz w:val="20"/>
          <w:szCs w:val="20"/>
        </w:rPr>
        <w:t>bjęcia Akcji następuje w drodze przelewu środków pieniężnych na</w:t>
      </w:r>
      <w:r w:rsidR="00136D91" w:rsidRPr="001723B0">
        <w:rPr>
          <w:rFonts w:ascii="Arial" w:hAnsi="Arial" w:cs="Arial"/>
          <w:color w:val="000000"/>
          <w:sz w:val="20"/>
          <w:szCs w:val="20"/>
        </w:rPr>
        <w:t xml:space="preserve"> </w:t>
      </w:r>
      <w:r w:rsidR="009E1D43" w:rsidRPr="001723B0">
        <w:rPr>
          <w:rFonts w:ascii="Arial" w:hAnsi="Arial" w:cs="Arial"/>
          <w:color w:val="000000"/>
          <w:sz w:val="20"/>
          <w:szCs w:val="20"/>
        </w:rPr>
        <w:t xml:space="preserve">rachunek </w:t>
      </w:r>
      <w:r w:rsidR="000B7319" w:rsidRPr="001723B0">
        <w:rPr>
          <w:rFonts w:ascii="Arial" w:hAnsi="Arial" w:cs="Arial"/>
          <w:color w:val="000000"/>
          <w:sz w:val="20"/>
          <w:szCs w:val="20"/>
        </w:rPr>
        <w:t>Trigon DM</w:t>
      </w:r>
      <w:r w:rsidR="00136D91" w:rsidRPr="001723B0">
        <w:rPr>
          <w:rFonts w:ascii="Arial" w:hAnsi="Arial" w:cs="Arial"/>
          <w:color w:val="000000"/>
          <w:sz w:val="20"/>
          <w:szCs w:val="20"/>
        </w:rPr>
        <w:t xml:space="preserve"> </w:t>
      </w:r>
      <w:r w:rsidR="009E1D43" w:rsidRPr="001723B0">
        <w:rPr>
          <w:rFonts w:ascii="Arial" w:hAnsi="Arial" w:cs="Arial"/>
          <w:color w:val="000000"/>
          <w:sz w:val="20"/>
          <w:szCs w:val="20"/>
        </w:rPr>
        <w:t xml:space="preserve">wskazany w treści </w:t>
      </w:r>
      <w:r w:rsidR="00AC2DCB" w:rsidRPr="001723B0">
        <w:rPr>
          <w:rFonts w:ascii="Arial" w:hAnsi="Arial" w:cs="Arial"/>
          <w:color w:val="000000"/>
          <w:sz w:val="20"/>
          <w:szCs w:val="20"/>
        </w:rPr>
        <w:t>U</w:t>
      </w:r>
      <w:r w:rsidR="009E1D43" w:rsidRPr="001723B0">
        <w:rPr>
          <w:rFonts w:ascii="Arial" w:hAnsi="Arial" w:cs="Arial"/>
          <w:color w:val="000000"/>
          <w:sz w:val="20"/>
          <w:szCs w:val="20"/>
        </w:rPr>
        <w:t xml:space="preserve">mowy </w:t>
      </w:r>
      <w:r w:rsidR="00AC2DCB" w:rsidRPr="001723B0">
        <w:rPr>
          <w:rFonts w:ascii="Arial" w:hAnsi="Arial" w:cs="Arial"/>
          <w:color w:val="000000"/>
          <w:sz w:val="20"/>
          <w:szCs w:val="20"/>
        </w:rPr>
        <w:t>O</w:t>
      </w:r>
      <w:r w:rsidR="009E1D43" w:rsidRPr="001723B0">
        <w:rPr>
          <w:rFonts w:ascii="Arial" w:hAnsi="Arial" w:cs="Arial"/>
          <w:color w:val="000000"/>
          <w:sz w:val="20"/>
          <w:szCs w:val="20"/>
        </w:rPr>
        <w:t>bjęcia Akcji.</w:t>
      </w:r>
    </w:p>
    <w:p w14:paraId="2765D0A7" w14:textId="5300732D" w:rsidR="009D7B10" w:rsidRPr="001723B0" w:rsidRDefault="00136D91" w:rsidP="000868D7">
      <w:pPr>
        <w:autoSpaceDE w:val="0"/>
        <w:autoSpaceDN w:val="0"/>
        <w:adjustRightInd w:val="0"/>
        <w:spacing w:after="120" w:line="240" w:lineRule="auto"/>
        <w:jc w:val="both"/>
        <w:rPr>
          <w:rFonts w:ascii="Arial" w:hAnsi="Arial" w:cs="Arial"/>
          <w:sz w:val="20"/>
          <w:szCs w:val="20"/>
        </w:rPr>
      </w:pPr>
      <w:r w:rsidRPr="001723B0">
        <w:rPr>
          <w:rFonts w:ascii="Arial" w:hAnsi="Arial" w:cs="Arial"/>
          <w:color w:val="000000"/>
          <w:sz w:val="20"/>
          <w:szCs w:val="20"/>
        </w:rPr>
        <w:t xml:space="preserve">Rachunek bankowy </w:t>
      </w:r>
      <w:r w:rsidR="000B7319" w:rsidRPr="001723B0">
        <w:rPr>
          <w:rFonts w:ascii="Arial" w:hAnsi="Arial" w:cs="Arial"/>
          <w:color w:val="000000"/>
          <w:sz w:val="20"/>
          <w:szCs w:val="20"/>
        </w:rPr>
        <w:t>Trigon DM</w:t>
      </w:r>
      <w:r w:rsidR="00AB5A76" w:rsidRPr="001723B0">
        <w:rPr>
          <w:rFonts w:ascii="Arial" w:hAnsi="Arial" w:cs="Arial"/>
          <w:color w:val="000000"/>
          <w:sz w:val="20"/>
          <w:szCs w:val="20"/>
        </w:rPr>
        <w:t xml:space="preserve"> </w:t>
      </w:r>
      <w:r w:rsidRPr="001723B0">
        <w:rPr>
          <w:rFonts w:ascii="Arial" w:hAnsi="Arial" w:cs="Arial"/>
          <w:color w:val="000000"/>
          <w:sz w:val="20"/>
          <w:szCs w:val="20"/>
        </w:rPr>
        <w:t xml:space="preserve">winien być uznany kwotą </w:t>
      </w:r>
      <w:r w:rsidR="00AC2DCB" w:rsidRPr="001723B0">
        <w:rPr>
          <w:rFonts w:ascii="Arial" w:hAnsi="Arial" w:cs="Arial"/>
          <w:color w:val="000000"/>
          <w:sz w:val="20"/>
          <w:szCs w:val="20"/>
        </w:rPr>
        <w:t xml:space="preserve">Ceny Obejmowanych Akcji </w:t>
      </w:r>
      <w:r w:rsidR="0050331E" w:rsidRPr="001723B0">
        <w:rPr>
          <w:rFonts w:ascii="Arial" w:hAnsi="Arial" w:cs="Arial"/>
          <w:color w:val="000000"/>
          <w:sz w:val="20"/>
          <w:szCs w:val="20"/>
        </w:rPr>
        <w:t xml:space="preserve">do dnia </w:t>
      </w:r>
      <w:r w:rsidR="00DF7C1D">
        <w:rPr>
          <w:rFonts w:ascii="Arial" w:hAnsi="Arial" w:cs="Arial"/>
          <w:color w:val="000000"/>
          <w:sz w:val="20"/>
          <w:szCs w:val="20"/>
        </w:rPr>
        <w:t>5 maja</w:t>
      </w:r>
      <w:r w:rsidR="00BD389B" w:rsidRPr="001723B0">
        <w:rPr>
          <w:rFonts w:ascii="Arial" w:hAnsi="Arial" w:cs="Arial"/>
          <w:bCs/>
          <w:sz w:val="20"/>
          <w:szCs w:val="20"/>
        </w:rPr>
        <w:t xml:space="preserve"> </w:t>
      </w:r>
      <w:r w:rsidR="00AC2DCB" w:rsidRPr="001723B0">
        <w:rPr>
          <w:rFonts w:ascii="Arial" w:hAnsi="Arial" w:cs="Arial"/>
          <w:bCs/>
          <w:sz w:val="20"/>
          <w:szCs w:val="20"/>
        </w:rPr>
        <w:t>202</w:t>
      </w:r>
      <w:r w:rsidR="00BF7ADC">
        <w:rPr>
          <w:rFonts w:ascii="Arial" w:hAnsi="Arial" w:cs="Arial"/>
          <w:bCs/>
          <w:sz w:val="20"/>
          <w:szCs w:val="20"/>
        </w:rPr>
        <w:t>6</w:t>
      </w:r>
      <w:r w:rsidR="00AC2DCB" w:rsidRPr="001723B0">
        <w:rPr>
          <w:rFonts w:ascii="Arial" w:hAnsi="Arial" w:cs="Arial"/>
          <w:bCs/>
          <w:sz w:val="20"/>
          <w:szCs w:val="20"/>
        </w:rPr>
        <w:t xml:space="preserve"> r.</w:t>
      </w:r>
      <w:r w:rsidR="00AB5A76" w:rsidRPr="001723B0">
        <w:rPr>
          <w:rFonts w:ascii="Arial" w:hAnsi="Arial" w:cs="Arial"/>
          <w:color w:val="000000"/>
          <w:sz w:val="20"/>
          <w:szCs w:val="20"/>
        </w:rPr>
        <w:t xml:space="preserve"> Za moment dokonania płatności uważa się moment uznania rachunku </w:t>
      </w:r>
      <w:r w:rsidR="000B7319" w:rsidRPr="001723B0">
        <w:rPr>
          <w:rFonts w:ascii="Arial" w:hAnsi="Arial" w:cs="Arial"/>
          <w:color w:val="000000"/>
          <w:sz w:val="20"/>
          <w:szCs w:val="20"/>
        </w:rPr>
        <w:t>Trigon DM</w:t>
      </w:r>
      <w:r w:rsidR="000652D3" w:rsidRPr="001723B0">
        <w:rPr>
          <w:rFonts w:ascii="Arial" w:hAnsi="Arial" w:cs="Arial"/>
          <w:color w:val="000000"/>
          <w:sz w:val="20"/>
          <w:szCs w:val="20"/>
        </w:rPr>
        <w:t xml:space="preserve"> </w:t>
      </w:r>
      <w:r w:rsidR="00AB5A76" w:rsidRPr="001723B0">
        <w:rPr>
          <w:rFonts w:ascii="Arial" w:hAnsi="Arial" w:cs="Arial"/>
          <w:color w:val="000000"/>
          <w:sz w:val="20"/>
          <w:szCs w:val="20"/>
        </w:rPr>
        <w:t xml:space="preserve">całą kwotą </w:t>
      </w:r>
      <w:r w:rsidR="00AC2DCB" w:rsidRPr="001723B0">
        <w:rPr>
          <w:rFonts w:ascii="Arial" w:hAnsi="Arial" w:cs="Arial"/>
          <w:color w:val="000000"/>
          <w:sz w:val="20"/>
          <w:szCs w:val="20"/>
        </w:rPr>
        <w:t xml:space="preserve">Ceny Obejmowanych Akcji. </w:t>
      </w:r>
      <w:r w:rsidR="006E1554" w:rsidRPr="001723B0">
        <w:rPr>
          <w:rFonts w:ascii="Arial" w:hAnsi="Arial" w:cs="Arial"/>
          <w:color w:val="000000"/>
          <w:sz w:val="20"/>
          <w:szCs w:val="20"/>
        </w:rPr>
        <w:t xml:space="preserve">Wpłaty za Akcje Oferowane </w:t>
      </w:r>
      <w:r w:rsidR="006E1554" w:rsidRPr="001723B0">
        <w:rPr>
          <w:rFonts w:ascii="Arial" w:hAnsi="Arial" w:cs="Arial"/>
          <w:sz w:val="20"/>
          <w:szCs w:val="20"/>
        </w:rPr>
        <w:t xml:space="preserve">powinny być wnoszone w sposób akceptowany przez </w:t>
      </w:r>
      <w:r w:rsidR="000B7319" w:rsidRPr="001723B0">
        <w:rPr>
          <w:rFonts w:ascii="Arial" w:hAnsi="Arial" w:cs="Arial"/>
          <w:sz w:val="20"/>
          <w:szCs w:val="20"/>
        </w:rPr>
        <w:t>Trigon DM</w:t>
      </w:r>
      <w:r w:rsidR="006E1554" w:rsidRPr="001723B0">
        <w:rPr>
          <w:rFonts w:ascii="Arial" w:hAnsi="Arial" w:cs="Arial"/>
          <w:sz w:val="20"/>
          <w:szCs w:val="20"/>
        </w:rPr>
        <w:t>. Zwraca się uwagę, że wpłata zostanie dokonana prawidłowo, jeżeli będzie wniesiona w</w:t>
      </w:r>
      <w:r w:rsidR="00B3661E" w:rsidRPr="001723B0">
        <w:rPr>
          <w:rFonts w:ascii="Arial" w:hAnsi="Arial" w:cs="Arial"/>
          <w:sz w:val="20"/>
          <w:szCs w:val="20"/>
        </w:rPr>
        <w:t> </w:t>
      </w:r>
      <w:r w:rsidR="006E1554" w:rsidRPr="001723B0">
        <w:rPr>
          <w:rFonts w:ascii="Arial" w:hAnsi="Arial" w:cs="Arial"/>
          <w:sz w:val="20"/>
          <w:szCs w:val="20"/>
        </w:rPr>
        <w:t xml:space="preserve">pełnej wysokości i zaksięgowana na rachunku </w:t>
      </w:r>
      <w:r w:rsidR="000B7319" w:rsidRPr="001723B0">
        <w:rPr>
          <w:rFonts w:ascii="Arial" w:hAnsi="Arial" w:cs="Arial"/>
          <w:sz w:val="20"/>
          <w:szCs w:val="20"/>
        </w:rPr>
        <w:t>Trigon DM</w:t>
      </w:r>
      <w:r w:rsidR="006E1554" w:rsidRPr="001723B0">
        <w:rPr>
          <w:rFonts w:ascii="Arial" w:hAnsi="Arial" w:cs="Arial"/>
          <w:sz w:val="20"/>
          <w:szCs w:val="20"/>
        </w:rPr>
        <w:t xml:space="preserve"> w terminie wskazanym wyżej. Oznacza to, że </w:t>
      </w:r>
      <w:r w:rsidR="00462330">
        <w:rPr>
          <w:rFonts w:ascii="Arial" w:hAnsi="Arial" w:cs="Arial"/>
          <w:sz w:val="20"/>
          <w:szCs w:val="20"/>
        </w:rPr>
        <w:t>I</w:t>
      </w:r>
      <w:r w:rsidR="006E1554" w:rsidRPr="001723B0">
        <w:rPr>
          <w:rFonts w:ascii="Arial" w:hAnsi="Arial" w:cs="Arial"/>
          <w:sz w:val="20"/>
          <w:szCs w:val="20"/>
        </w:rPr>
        <w:t xml:space="preserve">nwestor (w szczególności w przypadku dokonania wpłaty przekazem lub przelewem, jak również wpłat przy wykorzystaniu kredytów bankowych) musi dokonać wpłaty ze stosownym wyprzedzeniem, uwzględniającym czas dokonania przelewu, realizacji kredytu lub wykonywania innych podobnych czynności. Zaleca się, aby </w:t>
      </w:r>
      <w:r w:rsidR="00DF6C3C">
        <w:rPr>
          <w:rFonts w:ascii="Arial" w:hAnsi="Arial" w:cs="Arial"/>
          <w:sz w:val="20"/>
          <w:szCs w:val="20"/>
        </w:rPr>
        <w:t>I</w:t>
      </w:r>
      <w:r w:rsidR="006E1554" w:rsidRPr="001723B0">
        <w:rPr>
          <w:rFonts w:ascii="Arial" w:hAnsi="Arial" w:cs="Arial"/>
          <w:sz w:val="20"/>
          <w:szCs w:val="20"/>
        </w:rPr>
        <w:t>nwestor zasięgnął informacji w zakresie czasu trwania określonych czynności w obsługującej go instytucji finansowej i podjął właściwe czynności, uwzględniając czas ich wykonania. Inwestor dokonujący wpłaty na Akcje Oferowane za pośrednictwem banku, powinien liczyć się z możliwością pobierania przez bank prowizji od wpłat gotówkowych lub od przelewów. Zwraca się uwagę, że dokonanie wpłaty niepełnej skutkować będzie nieprzydzieleniem żadnej z Akcji Oferowanych.</w:t>
      </w:r>
    </w:p>
    <w:p w14:paraId="08025875" w14:textId="77777777" w:rsidR="00D6020B" w:rsidRPr="001723B0" w:rsidRDefault="00D6020B" w:rsidP="00D6020B">
      <w:pPr>
        <w:autoSpaceDE w:val="0"/>
        <w:autoSpaceDN w:val="0"/>
        <w:adjustRightInd w:val="0"/>
        <w:spacing w:after="120" w:line="240" w:lineRule="auto"/>
        <w:jc w:val="both"/>
        <w:rPr>
          <w:rFonts w:ascii="Arial" w:hAnsi="Arial" w:cs="Arial"/>
          <w:sz w:val="20"/>
          <w:szCs w:val="20"/>
        </w:rPr>
      </w:pPr>
      <w:r w:rsidRPr="001723B0">
        <w:rPr>
          <w:rFonts w:ascii="Arial" w:hAnsi="Arial" w:cs="Arial"/>
          <w:sz w:val="20"/>
          <w:szCs w:val="20"/>
        </w:rPr>
        <w:t xml:space="preserve">Jeżeli </w:t>
      </w:r>
      <w:r w:rsidR="00462330">
        <w:rPr>
          <w:rFonts w:ascii="Arial" w:hAnsi="Arial" w:cs="Arial"/>
          <w:sz w:val="20"/>
          <w:szCs w:val="20"/>
        </w:rPr>
        <w:t>I</w:t>
      </w:r>
      <w:r w:rsidRPr="001723B0">
        <w:rPr>
          <w:rFonts w:ascii="Arial" w:hAnsi="Arial" w:cs="Arial"/>
          <w:sz w:val="20"/>
          <w:szCs w:val="20"/>
        </w:rPr>
        <w:t xml:space="preserve">nwestorem </w:t>
      </w:r>
      <w:r w:rsidR="00D67C64" w:rsidRPr="001723B0">
        <w:rPr>
          <w:rFonts w:ascii="Arial" w:hAnsi="Arial" w:cs="Arial"/>
          <w:sz w:val="20"/>
          <w:szCs w:val="20"/>
        </w:rPr>
        <w:t xml:space="preserve">uczestniczącym w Procesie Budowania Księgi Popytu </w:t>
      </w:r>
      <w:r w:rsidRPr="001723B0">
        <w:rPr>
          <w:rFonts w:ascii="Arial" w:hAnsi="Arial" w:cs="Arial"/>
          <w:sz w:val="20"/>
          <w:szCs w:val="20"/>
        </w:rPr>
        <w:t xml:space="preserve">będzie </w:t>
      </w:r>
      <w:r w:rsidR="00462330">
        <w:rPr>
          <w:rFonts w:ascii="Arial" w:hAnsi="Arial" w:cs="Arial"/>
          <w:sz w:val="20"/>
          <w:szCs w:val="20"/>
        </w:rPr>
        <w:t>I</w:t>
      </w:r>
      <w:r w:rsidRPr="001723B0">
        <w:rPr>
          <w:rFonts w:ascii="Arial" w:hAnsi="Arial" w:cs="Arial"/>
          <w:sz w:val="20"/>
          <w:szCs w:val="20"/>
        </w:rPr>
        <w:t xml:space="preserve">nwestor niebędący Inwestorem Kwalifikowanym (a w szczególności osoba fizyczna), </w:t>
      </w:r>
      <w:r w:rsidR="000B7319" w:rsidRPr="001723B0">
        <w:rPr>
          <w:rFonts w:ascii="Arial" w:hAnsi="Arial" w:cs="Arial"/>
          <w:sz w:val="20"/>
          <w:szCs w:val="20"/>
        </w:rPr>
        <w:t>Trigon DM</w:t>
      </w:r>
      <w:r w:rsidRPr="001723B0">
        <w:rPr>
          <w:rFonts w:ascii="Arial" w:hAnsi="Arial" w:cs="Arial"/>
          <w:sz w:val="20"/>
          <w:szCs w:val="20"/>
        </w:rPr>
        <w:t xml:space="preserve"> może wymagać: (i) na moment złożenia </w:t>
      </w:r>
      <w:r w:rsidR="002D799D" w:rsidRPr="001723B0">
        <w:rPr>
          <w:rFonts w:ascii="Arial" w:hAnsi="Arial" w:cs="Arial"/>
          <w:sz w:val="20"/>
          <w:szCs w:val="20"/>
        </w:rPr>
        <w:t>D</w:t>
      </w:r>
      <w:r w:rsidRPr="001723B0">
        <w:rPr>
          <w:rFonts w:ascii="Arial" w:hAnsi="Arial" w:cs="Arial"/>
          <w:sz w:val="20"/>
          <w:szCs w:val="20"/>
        </w:rPr>
        <w:t xml:space="preserve">eklaracji, posiadania na rachunku inwestycyjnym inwestora prowadzonym przez </w:t>
      </w:r>
      <w:r w:rsidR="000B7319" w:rsidRPr="001723B0">
        <w:rPr>
          <w:rFonts w:ascii="Arial" w:hAnsi="Arial" w:cs="Arial"/>
          <w:sz w:val="20"/>
          <w:szCs w:val="20"/>
        </w:rPr>
        <w:t>Trigon DM</w:t>
      </w:r>
      <w:r w:rsidRPr="001723B0">
        <w:rPr>
          <w:rFonts w:ascii="Arial" w:hAnsi="Arial" w:cs="Arial"/>
          <w:sz w:val="20"/>
          <w:szCs w:val="20"/>
        </w:rPr>
        <w:t xml:space="preserve"> środków pieniężnych w wysokości odpowiadającej wartości Akcji Oferowanych, na jakie </w:t>
      </w:r>
      <w:r w:rsidR="00DF6C3C">
        <w:rPr>
          <w:rFonts w:ascii="Arial" w:hAnsi="Arial" w:cs="Arial"/>
          <w:sz w:val="20"/>
          <w:szCs w:val="20"/>
        </w:rPr>
        <w:t>I</w:t>
      </w:r>
      <w:r w:rsidRPr="001723B0">
        <w:rPr>
          <w:rFonts w:ascii="Arial" w:hAnsi="Arial" w:cs="Arial"/>
          <w:sz w:val="20"/>
          <w:szCs w:val="20"/>
        </w:rPr>
        <w:t xml:space="preserve">nwestor planuje złożyć </w:t>
      </w:r>
      <w:r w:rsidR="002D799D" w:rsidRPr="001723B0">
        <w:rPr>
          <w:rFonts w:ascii="Arial" w:hAnsi="Arial" w:cs="Arial"/>
          <w:sz w:val="20"/>
          <w:szCs w:val="20"/>
        </w:rPr>
        <w:t>D</w:t>
      </w:r>
      <w:r w:rsidRPr="001723B0">
        <w:rPr>
          <w:rFonts w:ascii="Arial" w:hAnsi="Arial" w:cs="Arial"/>
          <w:sz w:val="20"/>
          <w:szCs w:val="20"/>
        </w:rPr>
        <w:t xml:space="preserve">eklarację, (ii) ustanowienia blokady tych środków do momentu podpisania przez </w:t>
      </w:r>
      <w:r w:rsidR="00DF6C3C">
        <w:rPr>
          <w:rFonts w:ascii="Arial" w:hAnsi="Arial" w:cs="Arial"/>
          <w:sz w:val="20"/>
          <w:szCs w:val="20"/>
        </w:rPr>
        <w:t>I</w:t>
      </w:r>
      <w:r w:rsidRPr="001723B0">
        <w:rPr>
          <w:rFonts w:ascii="Arial" w:hAnsi="Arial" w:cs="Arial"/>
          <w:sz w:val="20"/>
          <w:szCs w:val="20"/>
        </w:rPr>
        <w:t xml:space="preserve">nwestora Umowy Objęcia Akcji oraz (iii) przekazania dyspozycji przelewu środków finansowych z rachunku inwestycyjnego </w:t>
      </w:r>
      <w:r w:rsidR="00DF6C3C">
        <w:rPr>
          <w:rFonts w:ascii="Arial" w:hAnsi="Arial" w:cs="Arial"/>
          <w:sz w:val="20"/>
          <w:szCs w:val="20"/>
        </w:rPr>
        <w:t>I</w:t>
      </w:r>
      <w:r w:rsidRPr="001723B0">
        <w:rPr>
          <w:rFonts w:ascii="Arial" w:hAnsi="Arial" w:cs="Arial"/>
          <w:sz w:val="20"/>
          <w:szCs w:val="20"/>
        </w:rPr>
        <w:t xml:space="preserve">nwestora na </w:t>
      </w:r>
      <w:r w:rsidR="00CE4E54" w:rsidRPr="001723B0">
        <w:rPr>
          <w:rFonts w:ascii="Arial" w:hAnsi="Arial" w:cs="Arial"/>
          <w:sz w:val="20"/>
          <w:szCs w:val="20"/>
        </w:rPr>
        <w:t>r</w:t>
      </w:r>
      <w:r w:rsidRPr="001723B0">
        <w:rPr>
          <w:rFonts w:ascii="Arial" w:hAnsi="Arial" w:cs="Arial"/>
          <w:sz w:val="20"/>
          <w:szCs w:val="20"/>
        </w:rPr>
        <w:t xml:space="preserve">achunek </w:t>
      </w:r>
      <w:r w:rsidR="000B7319" w:rsidRPr="001723B0">
        <w:rPr>
          <w:rFonts w:ascii="Arial" w:hAnsi="Arial" w:cs="Arial"/>
          <w:sz w:val="20"/>
          <w:szCs w:val="20"/>
        </w:rPr>
        <w:t>Trigon DM</w:t>
      </w:r>
      <w:r w:rsidR="00CE4E54" w:rsidRPr="001723B0">
        <w:rPr>
          <w:rFonts w:ascii="Arial" w:hAnsi="Arial" w:cs="Arial"/>
          <w:sz w:val="20"/>
          <w:szCs w:val="20"/>
        </w:rPr>
        <w:t xml:space="preserve"> </w:t>
      </w:r>
      <w:r w:rsidRPr="001723B0">
        <w:rPr>
          <w:rFonts w:ascii="Arial" w:hAnsi="Arial" w:cs="Arial"/>
          <w:sz w:val="20"/>
          <w:szCs w:val="20"/>
        </w:rPr>
        <w:t>w kwocie wynikającej z</w:t>
      </w:r>
      <w:r w:rsidR="000B7319" w:rsidRPr="001723B0">
        <w:rPr>
          <w:rFonts w:ascii="Arial" w:hAnsi="Arial" w:cs="Arial"/>
          <w:sz w:val="20"/>
          <w:szCs w:val="20"/>
        </w:rPr>
        <w:t> </w:t>
      </w:r>
      <w:r w:rsidRPr="001723B0">
        <w:rPr>
          <w:rFonts w:ascii="Arial" w:hAnsi="Arial" w:cs="Arial"/>
          <w:sz w:val="20"/>
          <w:szCs w:val="20"/>
        </w:rPr>
        <w:t xml:space="preserve">podpisanej przez </w:t>
      </w:r>
      <w:r w:rsidR="00DF6C3C">
        <w:rPr>
          <w:rFonts w:ascii="Arial" w:hAnsi="Arial" w:cs="Arial"/>
          <w:sz w:val="20"/>
          <w:szCs w:val="20"/>
        </w:rPr>
        <w:t>I</w:t>
      </w:r>
      <w:r w:rsidRPr="001723B0">
        <w:rPr>
          <w:rFonts w:ascii="Arial" w:hAnsi="Arial" w:cs="Arial"/>
          <w:sz w:val="20"/>
          <w:szCs w:val="20"/>
        </w:rPr>
        <w:t xml:space="preserve">nwestora Umowy Objęcia Akcji. </w:t>
      </w:r>
    </w:p>
    <w:p w14:paraId="5D084669" w14:textId="77777777" w:rsidR="009E1D43" w:rsidRPr="001723B0" w:rsidRDefault="006403CA" w:rsidP="000868D7">
      <w:pPr>
        <w:keepNext/>
        <w:spacing w:after="120" w:line="240" w:lineRule="auto"/>
        <w:jc w:val="both"/>
        <w:rPr>
          <w:rFonts w:ascii="Arial" w:hAnsi="Arial" w:cs="Arial"/>
          <w:b/>
          <w:bCs/>
          <w:sz w:val="20"/>
          <w:szCs w:val="20"/>
          <w:u w:val="single"/>
        </w:rPr>
      </w:pPr>
      <w:r w:rsidRPr="001723B0">
        <w:rPr>
          <w:rFonts w:ascii="Arial" w:hAnsi="Arial" w:cs="Arial"/>
          <w:b/>
          <w:bCs/>
          <w:sz w:val="20"/>
          <w:szCs w:val="20"/>
          <w:u w:val="single"/>
        </w:rPr>
        <w:t xml:space="preserve">Skutki niedojścia do skutku </w:t>
      </w:r>
      <w:r w:rsidR="009E1D43" w:rsidRPr="001723B0">
        <w:rPr>
          <w:rFonts w:ascii="Arial" w:hAnsi="Arial" w:cs="Arial"/>
          <w:b/>
          <w:bCs/>
          <w:sz w:val="20"/>
          <w:szCs w:val="20"/>
          <w:u w:val="single"/>
        </w:rPr>
        <w:t xml:space="preserve">podwyższenia kapitału zakładowego </w:t>
      </w:r>
      <w:r w:rsidR="00231FDD" w:rsidRPr="001723B0">
        <w:rPr>
          <w:rFonts w:ascii="Arial" w:hAnsi="Arial" w:cs="Arial"/>
          <w:b/>
          <w:bCs/>
          <w:sz w:val="20"/>
          <w:szCs w:val="20"/>
          <w:u w:val="single"/>
        </w:rPr>
        <w:t>Emitenta</w:t>
      </w:r>
      <w:r w:rsidR="009E1D43" w:rsidRPr="001723B0">
        <w:rPr>
          <w:rFonts w:ascii="Arial" w:hAnsi="Arial" w:cs="Arial"/>
          <w:b/>
          <w:bCs/>
          <w:sz w:val="20"/>
          <w:szCs w:val="20"/>
          <w:u w:val="single"/>
        </w:rPr>
        <w:t xml:space="preserve"> </w:t>
      </w:r>
      <w:r w:rsidR="00074037" w:rsidRPr="001723B0">
        <w:rPr>
          <w:rFonts w:ascii="Arial" w:hAnsi="Arial" w:cs="Arial"/>
          <w:b/>
          <w:bCs/>
          <w:sz w:val="20"/>
          <w:szCs w:val="20"/>
          <w:u w:val="single"/>
        </w:rPr>
        <w:t xml:space="preserve">w wyniku emisji </w:t>
      </w:r>
      <w:r w:rsidR="009E1D43" w:rsidRPr="001723B0">
        <w:rPr>
          <w:rFonts w:ascii="Arial" w:hAnsi="Arial" w:cs="Arial"/>
          <w:b/>
          <w:bCs/>
          <w:sz w:val="20"/>
          <w:szCs w:val="20"/>
          <w:u w:val="single"/>
        </w:rPr>
        <w:t>Akcji Oferowanych</w:t>
      </w:r>
    </w:p>
    <w:p w14:paraId="2182160B" w14:textId="77777777" w:rsidR="00C64D33" w:rsidRPr="001723B0" w:rsidRDefault="009E1D43" w:rsidP="000868D7">
      <w:pPr>
        <w:autoSpaceDE w:val="0"/>
        <w:autoSpaceDN w:val="0"/>
        <w:adjustRightInd w:val="0"/>
        <w:spacing w:after="120" w:line="240" w:lineRule="auto"/>
        <w:jc w:val="both"/>
        <w:rPr>
          <w:rFonts w:ascii="Arial" w:hAnsi="Arial" w:cs="Arial"/>
          <w:color w:val="000000"/>
          <w:sz w:val="20"/>
          <w:szCs w:val="20"/>
        </w:rPr>
      </w:pPr>
      <w:r w:rsidRPr="001723B0">
        <w:rPr>
          <w:rFonts w:ascii="Arial" w:hAnsi="Arial" w:cs="Arial"/>
          <w:color w:val="000000"/>
          <w:sz w:val="20"/>
          <w:szCs w:val="20"/>
        </w:rPr>
        <w:t xml:space="preserve">Jeżeli emisja Akcji Oferowanych nie dojdzie do skutku, w szczególności gdy sąd rejestrowy właściwy dla </w:t>
      </w:r>
      <w:r w:rsidR="00A97FFE" w:rsidRPr="001723B0">
        <w:rPr>
          <w:rFonts w:ascii="Arial" w:hAnsi="Arial" w:cs="Arial"/>
          <w:color w:val="000000"/>
          <w:sz w:val="20"/>
          <w:szCs w:val="20"/>
        </w:rPr>
        <w:t xml:space="preserve">siedziby </w:t>
      </w:r>
      <w:r w:rsidR="00231FDD" w:rsidRPr="001723B0">
        <w:rPr>
          <w:rFonts w:ascii="Arial" w:hAnsi="Arial" w:cs="Arial"/>
          <w:color w:val="000000"/>
          <w:sz w:val="20"/>
          <w:szCs w:val="20"/>
        </w:rPr>
        <w:t>Emitenta</w:t>
      </w:r>
      <w:r w:rsidRPr="001723B0">
        <w:rPr>
          <w:rFonts w:ascii="Arial" w:hAnsi="Arial" w:cs="Arial"/>
          <w:color w:val="000000"/>
          <w:sz w:val="20"/>
          <w:szCs w:val="20"/>
        </w:rPr>
        <w:t xml:space="preserve"> nie zarejestruje podwyższenia kapitału zakładowego</w:t>
      </w:r>
      <w:r w:rsidR="00136D91" w:rsidRPr="001723B0">
        <w:rPr>
          <w:rFonts w:ascii="Arial" w:hAnsi="Arial" w:cs="Arial"/>
          <w:color w:val="000000"/>
          <w:sz w:val="20"/>
          <w:szCs w:val="20"/>
        </w:rPr>
        <w:t xml:space="preserve"> </w:t>
      </w:r>
      <w:r w:rsidR="00231FDD" w:rsidRPr="001723B0">
        <w:rPr>
          <w:rFonts w:ascii="Arial" w:hAnsi="Arial" w:cs="Arial"/>
          <w:color w:val="000000"/>
          <w:sz w:val="20"/>
          <w:szCs w:val="20"/>
        </w:rPr>
        <w:t>Emitenta</w:t>
      </w:r>
      <w:r w:rsidRPr="001723B0">
        <w:rPr>
          <w:rFonts w:ascii="Arial" w:hAnsi="Arial" w:cs="Arial"/>
          <w:color w:val="000000"/>
          <w:sz w:val="20"/>
          <w:szCs w:val="20"/>
        </w:rPr>
        <w:t xml:space="preserve"> wynikającego z emisji Akcji Oferowanych, </w:t>
      </w:r>
      <w:r w:rsidR="00283836">
        <w:rPr>
          <w:rFonts w:ascii="Arial" w:hAnsi="Arial" w:cs="Arial"/>
          <w:color w:val="000000"/>
          <w:sz w:val="20"/>
          <w:szCs w:val="20"/>
        </w:rPr>
        <w:t>z</w:t>
      </w:r>
      <w:r w:rsidRPr="001723B0">
        <w:rPr>
          <w:rFonts w:ascii="Arial" w:hAnsi="Arial" w:cs="Arial"/>
          <w:color w:val="000000"/>
          <w:sz w:val="20"/>
          <w:szCs w:val="20"/>
        </w:rPr>
        <w:t>wrot wpłat na Akcje Oferowane zostanie dokonany</w:t>
      </w:r>
      <w:r w:rsidR="008E4DBB" w:rsidRPr="001723B0">
        <w:rPr>
          <w:rFonts w:ascii="Arial" w:hAnsi="Arial" w:cs="Arial"/>
          <w:color w:val="000000"/>
          <w:sz w:val="20"/>
          <w:szCs w:val="20"/>
        </w:rPr>
        <w:t xml:space="preserve"> </w:t>
      </w:r>
      <w:r w:rsidRPr="001723B0">
        <w:rPr>
          <w:rFonts w:ascii="Arial" w:hAnsi="Arial" w:cs="Arial"/>
          <w:color w:val="000000"/>
          <w:sz w:val="20"/>
          <w:szCs w:val="20"/>
        </w:rPr>
        <w:t xml:space="preserve">na rzecz </w:t>
      </w:r>
      <w:r w:rsidR="00074037" w:rsidRPr="001723B0">
        <w:rPr>
          <w:rFonts w:ascii="Arial" w:hAnsi="Arial" w:cs="Arial"/>
          <w:color w:val="000000"/>
          <w:sz w:val="20"/>
          <w:szCs w:val="20"/>
        </w:rPr>
        <w:t>inwestorów</w:t>
      </w:r>
      <w:r w:rsidR="00283836">
        <w:rPr>
          <w:rFonts w:ascii="Arial" w:hAnsi="Arial" w:cs="Arial"/>
          <w:color w:val="000000"/>
          <w:sz w:val="20"/>
          <w:szCs w:val="20"/>
        </w:rPr>
        <w:t xml:space="preserve"> </w:t>
      </w:r>
      <w:r w:rsidRPr="001723B0">
        <w:rPr>
          <w:rFonts w:ascii="Arial" w:hAnsi="Arial" w:cs="Arial"/>
          <w:color w:val="000000"/>
          <w:sz w:val="20"/>
          <w:szCs w:val="20"/>
        </w:rPr>
        <w:t xml:space="preserve">nie później niż w terminie 14 dni od dnia niedojścia emisji Akcji Oferowanych do skutku. </w:t>
      </w:r>
      <w:r w:rsidR="006403CA" w:rsidRPr="001723B0">
        <w:rPr>
          <w:rFonts w:ascii="Arial" w:hAnsi="Arial" w:cs="Arial"/>
          <w:color w:val="000000"/>
          <w:sz w:val="20"/>
          <w:szCs w:val="20"/>
        </w:rPr>
        <w:t xml:space="preserve">Zwrot nastąpi w kwocie </w:t>
      </w:r>
      <w:r w:rsidRPr="001723B0">
        <w:rPr>
          <w:rFonts w:ascii="Arial" w:hAnsi="Arial" w:cs="Arial"/>
          <w:color w:val="000000"/>
          <w:sz w:val="20"/>
          <w:szCs w:val="20"/>
        </w:rPr>
        <w:t>stanowi</w:t>
      </w:r>
      <w:r w:rsidR="006403CA" w:rsidRPr="001723B0">
        <w:rPr>
          <w:rFonts w:ascii="Arial" w:hAnsi="Arial" w:cs="Arial"/>
          <w:color w:val="000000"/>
          <w:sz w:val="20"/>
          <w:szCs w:val="20"/>
        </w:rPr>
        <w:t xml:space="preserve">ącej </w:t>
      </w:r>
      <w:r w:rsidRPr="001723B0">
        <w:rPr>
          <w:rFonts w:ascii="Arial" w:hAnsi="Arial" w:cs="Arial"/>
          <w:color w:val="000000"/>
          <w:sz w:val="20"/>
          <w:szCs w:val="20"/>
        </w:rPr>
        <w:t>iloczyn liczby Praw do Akcji znajdujących się na rachunku papierów wartościowych</w:t>
      </w:r>
      <w:r w:rsidR="006403CA" w:rsidRPr="001723B0">
        <w:rPr>
          <w:rFonts w:ascii="Arial" w:hAnsi="Arial" w:cs="Arial"/>
          <w:color w:val="000000"/>
          <w:sz w:val="20"/>
          <w:szCs w:val="20"/>
        </w:rPr>
        <w:t xml:space="preserve"> </w:t>
      </w:r>
      <w:r w:rsidRPr="001723B0">
        <w:rPr>
          <w:rFonts w:ascii="Arial" w:hAnsi="Arial" w:cs="Arial"/>
          <w:color w:val="000000"/>
          <w:sz w:val="20"/>
          <w:szCs w:val="20"/>
        </w:rPr>
        <w:t xml:space="preserve">danego </w:t>
      </w:r>
      <w:r w:rsidR="00FE12B5">
        <w:rPr>
          <w:rFonts w:ascii="Arial" w:hAnsi="Arial" w:cs="Arial"/>
          <w:color w:val="000000"/>
          <w:sz w:val="20"/>
          <w:szCs w:val="20"/>
        </w:rPr>
        <w:t>I</w:t>
      </w:r>
      <w:r w:rsidRPr="001723B0">
        <w:rPr>
          <w:rFonts w:ascii="Arial" w:hAnsi="Arial" w:cs="Arial"/>
          <w:color w:val="000000"/>
          <w:sz w:val="20"/>
          <w:szCs w:val="20"/>
        </w:rPr>
        <w:t xml:space="preserve">nwestora oraz </w:t>
      </w:r>
      <w:r w:rsidR="00074037" w:rsidRPr="001723B0">
        <w:rPr>
          <w:rFonts w:ascii="Arial" w:hAnsi="Arial" w:cs="Arial"/>
          <w:color w:val="000000"/>
          <w:sz w:val="20"/>
          <w:szCs w:val="20"/>
        </w:rPr>
        <w:t>C</w:t>
      </w:r>
      <w:r w:rsidRPr="001723B0">
        <w:rPr>
          <w:rFonts w:ascii="Arial" w:hAnsi="Arial" w:cs="Arial"/>
          <w:color w:val="000000"/>
          <w:sz w:val="20"/>
          <w:szCs w:val="20"/>
        </w:rPr>
        <w:t xml:space="preserve">eny </w:t>
      </w:r>
      <w:r w:rsidR="00074037" w:rsidRPr="001723B0">
        <w:rPr>
          <w:rFonts w:ascii="Arial" w:hAnsi="Arial" w:cs="Arial"/>
          <w:color w:val="000000"/>
          <w:sz w:val="20"/>
          <w:szCs w:val="20"/>
        </w:rPr>
        <w:t>E</w:t>
      </w:r>
      <w:r w:rsidRPr="001723B0">
        <w:rPr>
          <w:rFonts w:ascii="Arial" w:hAnsi="Arial" w:cs="Arial"/>
          <w:color w:val="000000"/>
          <w:sz w:val="20"/>
          <w:szCs w:val="20"/>
        </w:rPr>
        <w:t xml:space="preserve">misyjnej jednej Akcji Oferowanej. </w:t>
      </w:r>
    </w:p>
    <w:p w14:paraId="16946D0E" w14:textId="77777777" w:rsidR="009E1D43" w:rsidRPr="001723B0" w:rsidRDefault="009E1D43" w:rsidP="000868D7">
      <w:pPr>
        <w:autoSpaceDE w:val="0"/>
        <w:autoSpaceDN w:val="0"/>
        <w:adjustRightInd w:val="0"/>
        <w:spacing w:after="120" w:line="240" w:lineRule="auto"/>
        <w:jc w:val="both"/>
        <w:rPr>
          <w:rFonts w:ascii="Arial" w:hAnsi="Arial" w:cs="Arial"/>
          <w:color w:val="000000"/>
          <w:sz w:val="20"/>
          <w:szCs w:val="20"/>
        </w:rPr>
      </w:pPr>
      <w:r w:rsidRPr="001723B0">
        <w:rPr>
          <w:rFonts w:ascii="Arial" w:hAnsi="Arial" w:cs="Arial"/>
          <w:color w:val="000000"/>
          <w:sz w:val="20"/>
          <w:szCs w:val="20"/>
        </w:rPr>
        <w:t xml:space="preserve">Zwrot środków </w:t>
      </w:r>
      <w:r w:rsidR="00C64D33" w:rsidRPr="001723B0">
        <w:rPr>
          <w:rFonts w:ascii="Arial" w:hAnsi="Arial" w:cs="Arial"/>
          <w:color w:val="000000"/>
          <w:sz w:val="20"/>
          <w:szCs w:val="20"/>
        </w:rPr>
        <w:t xml:space="preserve">w przypadku niedojścia do skutku podwyższenia kapitału zakładowego Emitenta </w:t>
      </w:r>
      <w:r w:rsidRPr="001723B0">
        <w:rPr>
          <w:rFonts w:ascii="Arial" w:hAnsi="Arial" w:cs="Arial"/>
          <w:color w:val="000000"/>
          <w:sz w:val="20"/>
          <w:szCs w:val="20"/>
        </w:rPr>
        <w:t>nastąpi bez jakichkolwiek odsetek lub</w:t>
      </w:r>
      <w:r w:rsidR="006403CA" w:rsidRPr="001723B0">
        <w:rPr>
          <w:rFonts w:ascii="Arial" w:hAnsi="Arial" w:cs="Arial"/>
          <w:color w:val="000000"/>
          <w:sz w:val="20"/>
          <w:szCs w:val="20"/>
        </w:rPr>
        <w:t xml:space="preserve"> </w:t>
      </w:r>
      <w:r w:rsidRPr="001723B0">
        <w:rPr>
          <w:rFonts w:ascii="Arial" w:hAnsi="Arial" w:cs="Arial"/>
          <w:color w:val="000000"/>
          <w:sz w:val="20"/>
          <w:szCs w:val="20"/>
        </w:rPr>
        <w:t>odszkodowa</w:t>
      </w:r>
      <w:r w:rsidR="006403CA" w:rsidRPr="001723B0">
        <w:rPr>
          <w:rFonts w:ascii="Arial" w:hAnsi="Arial" w:cs="Arial"/>
          <w:color w:val="000000"/>
          <w:sz w:val="20"/>
          <w:szCs w:val="20"/>
        </w:rPr>
        <w:t>ń</w:t>
      </w:r>
      <w:r w:rsidRPr="001723B0">
        <w:rPr>
          <w:rFonts w:ascii="Arial" w:hAnsi="Arial" w:cs="Arial"/>
          <w:color w:val="000000"/>
          <w:sz w:val="20"/>
          <w:szCs w:val="20"/>
        </w:rPr>
        <w:t>.</w:t>
      </w:r>
    </w:p>
    <w:p w14:paraId="57286962" w14:textId="77777777" w:rsidR="009E1D43" w:rsidRPr="001723B0" w:rsidRDefault="009E1D43" w:rsidP="000868D7">
      <w:pPr>
        <w:autoSpaceDE w:val="0"/>
        <w:autoSpaceDN w:val="0"/>
        <w:adjustRightInd w:val="0"/>
        <w:spacing w:after="120" w:line="240" w:lineRule="auto"/>
        <w:jc w:val="both"/>
        <w:rPr>
          <w:rFonts w:ascii="Arial" w:hAnsi="Arial" w:cs="Arial"/>
          <w:color w:val="000000"/>
          <w:sz w:val="20"/>
          <w:szCs w:val="20"/>
        </w:rPr>
      </w:pPr>
      <w:r w:rsidRPr="001723B0">
        <w:rPr>
          <w:rFonts w:ascii="Arial" w:hAnsi="Arial" w:cs="Arial"/>
          <w:color w:val="000000"/>
          <w:sz w:val="20"/>
          <w:szCs w:val="20"/>
        </w:rPr>
        <w:t xml:space="preserve">Informacja na temat niedojścia emisji Akcji Oferowanych do skutku zostanie przekazana przez </w:t>
      </w:r>
      <w:r w:rsidR="00231FDD" w:rsidRPr="001723B0">
        <w:rPr>
          <w:rFonts w:ascii="Arial" w:hAnsi="Arial" w:cs="Arial"/>
          <w:color w:val="000000"/>
          <w:sz w:val="20"/>
          <w:szCs w:val="20"/>
        </w:rPr>
        <w:t>Emitent</w:t>
      </w:r>
      <w:r w:rsidR="00074037" w:rsidRPr="001723B0">
        <w:rPr>
          <w:rFonts w:ascii="Arial" w:hAnsi="Arial" w:cs="Arial"/>
          <w:color w:val="000000"/>
          <w:sz w:val="20"/>
          <w:szCs w:val="20"/>
        </w:rPr>
        <w:t>a</w:t>
      </w:r>
      <w:r w:rsidRPr="001723B0">
        <w:rPr>
          <w:rFonts w:ascii="Arial" w:hAnsi="Arial" w:cs="Arial"/>
          <w:color w:val="000000"/>
          <w:sz w:val="20"/>
          <w:szCs w:val="20"/>
        </w:rPr>
        <w:t xml:space="preserve"> do publicznej</w:t>
      </w:r>
      <w:r w:rsidR="006403CA" w:rsidRPr="001723B0">
        <w:rPr>
          <w:rFonts w:ascii="Arial" w:hAnsi="Arial" w:cs="Arial"/>
          <w:color w:val="000000"/>
          <w:sz w:val="20"/>
          <w:szCs w:val="20"/>
        </w:rPr>
        <w:t xml:space="preserve"> </w:t>
      </w:r>
      <w:r w:rsidRPr="001723B0">
        <w:rPr>
          <w:rFonts w:ascii="Arial" w:hAnsi="Arial" w:cs="Arial"/>
          <w:color w:val="000000"/>
          <w:sz w:val="20"/>
          <w:szCs w:val="20"/>
        </w:rPr>
        <w:t>wiadomości w formie raportu bieżącego.</w:t>
      </w:r>
      <w:r w:rsidR="00D6020B" w:rsidRPr="001723B0">
        <w:rPr>
          <w:rFonts w:ascii="Arial" w:hAnsi="Arial" w:cs="Arial"/>
          <w:color w:val="000000"/>
          <w:sz w:val="20"/>
          <w:szCs w:val="20"/>
        </w:rPr>
        <w:t xml:space="preserve"> </w:t>
      </w:r>
    </w:p>
    <w:p w14:paraId="445FB064" w14:textId="77777777" w:rsidR="00D6020B" w:rsidRPr="001723B0" w:rsidRDefault="00D6020B" w:rsidP="009B449B">
      <w:pPr>
        <w:autoSpaceDE w:val="0"/>
        <w:autoSpaceDN w:val="0"/>
        <w:adjustRightInd w:val="0"/>
        <w:spacing w:after="120" w:line="240" w:lineRule="auto"/>
        <w:jc w:val="both"/>
        <w:rPr>
          <w:rFonts w:ascii="Arial" w:hAnsi="Arial" w:cs="Arial"/>
          <w:color w:val="000000"/>
          <w:sz w:val="20"/>
          <w:szCs w:val="20"/>
        </w:rPr>
      </w:pPr>
      <w:r w:rsidRPr="001723B0">
        <w:rPr>
          <w:rFonts w:ascii="Arial" w:hAnsi="Arial" w:cs="Arial"/>
          <w:color w:val="000000"/>
          <w:sz w:val="20"/>
          <w:szCs w:val="20"/>
        </w:rPr>
        <w:t xml:space="preserve">W granicach dopuszczalnych właściwymi przepisami prawa i Uchwałą Emisyjną, Spółka zastrzega sobie prawo zmiany któregokolwiek z terminów dotyczących Oferty i </w:t>
      </w:r>
      <w:r w:rsidR="009B449B" w:rsidRPr="001723B0">
        <w:rPr>
          <w:rFonts w:ascii="Arial" w:hAnsi="Arial" w:cs="Arial"/>
          <w:color w:val="000000"/>
          <w:sz w:val="20"/>
          <w:szCs w:val="20"/>
        </w:rPr>
        <w:t>wprowadzenia do obrotu na rynku regulowanym prowadzonym przez GPW Praw do Akcji a także Akcji Oferowanych</w:t>
      </w:r>
      <w:r w:rsidRPr="001723B0">
        <w:rPr>
          <w:rFonts w:ascii="Arial" w:hAnsi="Arial" w:cs="Arial"/>
          <w:color w:val="000000"/>
          <w:sz w:val="20"/>
          <w:szCs w:val="20"/>
        </w:rPr>
        <w:t>.</w:t>
      </w:r>
    </w:p>
    <w:p w14:paraId="25FEB35D" w14:textId="77777777" w:rsidR="009E1D43" w:rsidRPr="001723B0" w:rsidRDefault="009E1D43" w:rsidP="000868D7">
      <w:pPr>
        <w:autoSpaceDE w:val="0"/>
        <w:autoSpaceDN w:val="0"/>
        <w:adjustRightInd w:val="0"/>
        <w:spacing w:after="120" w:line="240" w:lineRule="auto"/>
        <w:jc w:val="both"/>
        <w:rPr>
          <w:rFonts w:ascii="Arial" w:hAnsi="Arial" w:cs="Arial"/>
          <w:b/>
          <w:bCs/>
          <w:color w:val="000000"/>
          <w:sz w:val="20"/>
          <w:szCs w:val="20"/>
        </w:rPr>
      </w:pPr>
      <w:r w:rsidRPr="001723B0">
        <w:rPr>
          <w:rFonts w:ascii="Arial" w:hAnsi="Arial" w:cs="Arial"/>
          <w:b/>
          <w:bCs/>
          <w:color w:val="000000"/>
          <w:sz w:val="20"/>
          <w:szCs w:val="20"/>
        </w:rPr>
        <w:t>Zastrzeżenia prawne</w:t>
      </w:r>
    </w:p>
    <w:p w14:paraId="3733B1C1" w14:textId="77777777" w:rsidR="006403CA" w:rsidRPr="001723B0" w:rsidRDefault="00EC4EEC" w:rsidP="000868D7">
      <w:pPr>
        <w:autoSpaceDE w:val="0"/>
        <w:autoSpaceDN w:val="0"/>
        <w:adjustRightInd w:val="0"/>
        <w:spacing w:after="120" w:line="240" w:lineRule="auto"/>
        <w:jc w:val="both"/>
        <w:rPr>
          <w:rFonts w:ascii="Arial" w:hAnsi="Arial" w:cs="Arial"/>
          <w:bCs/>
          <w:color w:val="000000"/>
          <w:sz w:val="20"/>
          <w:szCs w:val="20"/>
        </w:rPr>
      </w:pPr>
      <w:r w:rsidRPr="001723B0">
        <w:rPr>
          <w:rFonts w:ascii="Arial" w:hAnsi="Arial" w:cs="Arial"/>
          <w:color w:val="000000"/>
          <w:sz w:val="20"/>
          <w:szCs w:val="20"/>
        </w:rPr>
        <w:lastRenderedPageBreak/>
        <w:t xml:space="preserve">Zasady </w:t>
      </w:r>
      <w:r w:rsidR="001723B0" w:rsidRPr="001723B0">
        <w:rPr>
          <w:rFonts w:ascii="Arial" w:hAnsi="Arial" w:cs="Arial"/>
          <w:color w:val="000000"/>
          <w:sz w:val="20"/>
          <w:szCs w:val="20"/>
        </w:rPr>
        <w:t xml:space="preserve">Budowy Księgi Popytu i </w:t>
      </w:r>
      <w:r w:rsidRPr="001723B0">
        <w:rPr>
          <w:rFonts w:ascii="Arial" w:hAnsi="Arial" w:cs="Arial"/>
          <w:color w:val="000000"/>
          <w:sz w:val="20"/>
          <w:szCs w:val="20"/>
        </w:rPr>
        <w:t xml:space="preserve">Subskrypcji nie są prospektem, memorandum informacyjnym, ani jakimkolwiek innym dokumentem </w:t>
      </w:r>
      <w:r w:rsidR="00007738" w:rsidRPr="001723B0">
        <w:rPr>
          <w:rFonts w:ascii="Arial" w:hAnsi="Arial" w:cs="Arial"/>
          <w:color w:val="000000"/>
          <w:sz w:val="20"/>
          <w:szCs w:val="20"/>
        </w:rPr>
        <w:t>i</w:t>
      </w:r>
      <w:r w:rsidRPr="001723B0">
        <w:rPr>
          <w:rFonts w:ascii="Arial" w:hAnsi="Arial" w:cs="Arial"/>
          <w:color w:val="000000"/>
          <w:sz w:val="20"/>
          <w:szCs w:val="20"/>
        </w:rPr>
        <w:t xml:space="preserve">nformacyjnym </w:t>
      </w:r>
      <w:r w:rsidR="00007738" w:rsidRPr="001723B0">
        <w:rPr>
          <w:rFonts w:ascii="Arial" w:hAnsi="Arial" w:cs="Arial"/>
          <w:color w:val="000000"/>
          <w:sz w:val="20"/>
          <w:szCs w:val="20"/>
        </w:rPr>
        <w:t xml:space="preserve">lub </w:t>
      </w:r>
      <w:r w:rsidRPr="001723B0">
        <w:rPr>
          <w:rFonts w:ascii="Arial" w:hAnsi="Arial" w:cs="Arial"/>
          <w:color w:val="000000"/>
          <w:sz w:val="20"/>
          <w:szCs w:val="20"/>
        </w:rPr>
        <w:t>ofertowym przewidzianym przez przepisy prawa w związku z</w:t>
      </w:r>
      <w:r w:rsidR="00007738" w:rsidRPr="001723B0">
        <w:rPr>
          <w:rFonts w:ascii="Arial" w:hAnsi="Arial" w:cs="Arial"/>
          <w:color w:val="000000"/>
          <w:sz w:val="20"/>
          <w:szCs w:val="20"/>
        </w:rPr>
        <w:t> </w:t>
      </w:r>
      <w:r w:rsidRPr="001723B0">
        <w:rPr>
          <w:rFonts w:ascii="Arial" w:hAnsi="Arial" w:cs="Arial"/>
          <w:color w:val="000000"/>
          <w:sz w:val="20"/>
          <w:szCs w:val="20"/>
        </w:rPr>
        <w:t xml:space="preserve">przeprowadzaniem oferty instrumentów finansowych lub ubieganiem się o ich dopuszczenie lub wprowadzenie do obrotu na rynku regulowanym. Zasady </w:t>
      </w:r>
      <w:r w:rsidR="001723B0" w:rsidRPr="001723B0">
        <w:rPr>
          <w:rFonts w:ascii="Arial" w:hAnsi="Arial" w:cs="Arial"/>
          <w:color w:val="000000"/>
          <w:sz w:val="20"/>
          <w:szCs w:val="20"/>
        </w:rPr>
        <w:t xml:space="preserve">Budowy Księgi Popytu i </w:t>
      </w:r>
      <w:r w:rsidRPr="001723B0">
        <w:rPr>
          <w:rFonts w:ascii="Arial" w:hAnsi="Arial" w:cs="Arial"/>
          <w:color w:val="000000"/>
          <w:sz w:val="20"/>
          <w:szCs w:val="20"/>
        </w:rPr>
        <w:t>Subskrypcji nie podlegają zatwierdzeniu przez Komisję Nadzoru Finansowego ani jakikolwiek inny organ administracji publicznej.</w:t>
      </w:r>
      <w:r w:rsidR="007E352F" w:rsidRPr="001723B0">
        <w:rPr>
          <w:rFonts w:ascii="Arial" w:hAnsi="Arial" w:cs="Arial"/>
          <w:color w:val="000000"/>
          <w:sz w:val="20"/>
          <w:szCs w:val="20"/>
        </w:rPr>
        <w:t xml:space="preserve"> Zasady</w:t>
      </w:r>
      <w:r w:rsidR="001723B0" w:rsidRPr="001723B0">
        <w:rPr>
          <w:rFonts w:ascii="Arial" w:hAnsi="Arial" w:cs="Arial"/>
          <w:color w:val="000000"/>
          <w:sz w:val="20"/>
          <w:szCs w:val="20"/>
        </w:rPr>
        <w:t xml:space="preserve"> Budowy Księgi Popytu i</w:t>
      </w:r>
      <w:r w:rsidR="007E352F" w:rsidRPr="001723B0">
        <w:rPr>
          <w:rFonts w:ascii="Arial" w:hAnsi="Arial" w:cs="Arial"/>
          <w:color w:val="000000"/>
          <w:sz w:val="20"/>
          <w:szCs w:val="20"/>
        </w:rPr>
        <w:t xml:space="preserve"> Subskrypcji mają charakter wyłącznie informacyjny i celem ich udostępnienia przez Emitenta jest wyłącznie przekazanie najistotniejszych informacji na temat zasad subskrypcji Akcji Oferowanych oraz działań, które zostaną podjęte przez Emitenta w związku z</w:t>
      </w:r>
      <w:r w:rsidR="00007738" w:rsidRPr="001723B0">
        <w:rPr>
          <w:rFonts w:ascii="Arial" w:hAnsi="Arial" w:cs="Arial"/>
          <w:color w:val="000000"/>
          <w:sz w:val="20"/>
          <w:szCs w:val="20"/>
        </w:rPr>
        <w:t> </w:t>
      </w:r>
      <w:r w:rsidR="007E352F" w:rsidRPr="001723B0">
        <w:rPr>
          <w:rFonts w:ascii="Arial" w:hAnsi="Arial" w:cs="Arial"/>
          <w:color w:val="000000"/>
          <w:sz w:val="20"/>
          <w:szCs w:val="20"/>
        </w:rPr>
        <w:t xml:space="preserve">subskrypcją Akcji Oferowanych. </w:t>
      </w:r>
      <w:r w:rsidR="0050331E" w:rsidRPr="001723B0">
        <w:rPr>
          <w:rFonts w:ascii="Arial" w:hAnsi="Arial" w:cs="Arial"/>
          <w:color w:val="000000"/>
          <w:sz w:val="20"/>
          <w:szCs w:val="20"/>
        </w:rPr>
        <w:t>P</w:t>
      </w:r>
      <w:r w:rsidR="006403CA" w:rsidRPr="001723B0">
        <w:rPr>
          <w:rFonts w:ascii="Arial" w:hAnsi="Arial" w:cs="Arial"/>
          <w:bCs/>
          <w:color w:val="000000"/>
          <w:sz w:val="20"/>
          <w:szCs w:val="20"/>
        </w:rPr>
        <w:t xml:space="preserve">rzeznaczeniem Zasad </w:t>
      </w:r>
      <w:r w:rsidR="001723B0" w:rsidRPr="001723B0">
        <w:rPr>
          <w:rFonts w:ascii="Arial" w:hAnsi="Arial" w:cs="Arial"/>
          <w:color w:val="000000"/>
          <w:sz w:val="20"/>
          <w:szCs w:val="20"/>
        </w:rPr>
        <w:t>Budowy Księgi Popytu i</w:t>
      </w:r>
      <w:r w:rsidR="001723B0" w:rsidRPr="001723B0">
        <w:rPr>
          <w:rFonts w:ascii="Arial" w:hAnsi="Arial" w:cs="Arial"/>
          <w:bCs/>
          <w:color w:val="000000"/>
          <w:sz w:val="20"/>
          <w:szCs w:val="20"/>
        </w:rPr>
        <w:t xml:space="preserve"> </w:t>
      </w:r>
      <w:r w:rsidR="006403CA" w:rsidRPr="001723B0">
        <w:rPr>
          <w:rFonts w:ascii="Arial" w:hAnsi="Arial" w:cs="Arial"/>
          <w:bCs/>
          <w:color w:val="000000"/>
          <w:sz w:val="20"/>
          <w:szCs w:val="20"/>
        </w:rPr>
        <w:t xml:space="preserve">Subskrypcji jest opis najistotniejszych informacji dotyczących działań zaplanowanych w ramach Oferty oraz w związku z ubieganiem się o dopuszczenie Akcji Oferowanych do obrotu na rynku regulowanym. </w:t>
      </w:r>
    </w:p>
    <w:p w14:paraId="55371114" w14:textId="77777777" w:rsidR="0050331E" w:rsidRPr="001723B0" w:rsidRDefault="0050331E" w:rsidP="0050331E">
      <w:pPr>
        <w:autoSpaceDE w:val="0"/>
        <w:autoSpaceDN w:val="0"/>
        <w:adjustRightInd w:val="0"/>
        <w:spacing w:after="120" w:line="240" w:lineRule="auto"/>
        <w:jc w:val="both"/>
        <w:rPr>
          <w:rFonts w:ascii="Arial" w:hAnsi="Arial" w:cs="Arial"/>
          <w:bCs/>
          <w:color w:val="000000"/>
          <w:sz w:val="20"/>
          <w:szCs w:val="20"/>
        </w:rPr>
      </w:pPr>
      <w:r w:rsidRPr="001723B0">
        <w:rPr>
          <w:rFonts w:ascii="Arial" w:hAnsi="Arial" w:cs="Arial"/>
          <w:bCs/>
          <w:color w:val="000000"/>
          <w:sz w:val="20"/>
          <w:szCs w:val="20"/>
        </w:rPr>
        <w:t xml:space="preserve">Zasady </w:t>
      </w:r>
      <w:r w:rsidR="001723B0" w:rsidRPr="001723B0">
        <w:rPr>
          <w:rFonts w:ascii="Arial" w:hAnsi="Arial" w:cs="Arial"/>
          <w:color w:val="000000"/>
          <w:sz w:val="20"/>
          <w:szCs w:val="20"/>
        </w:rPr>
        <w:t>Budowy Księgi Popytu i</w:t>
      </w:r>
      <w:r w:rsidR="001723B0" w:rsidRPr="001723B0">
        <w:rPr>
          <w:rFonts w:ascii="Arial" w:hAnsi="Arial" w:cs="Arial"/>
          <w:bCs/>
          <w:color w:val="000000"/>
          <w:sz w:val="20"/>
          <w:szCs w:val="20"/>
        </w:rPr>
        <w:t xml:space="preserve"> </w:t>
      </w:r>
      <w:r w:rsidRPr="001723B0">
        <w:rPr>
          <w:rFonts w:ascii="Arial" w:hAnsi="Arial" w:cs="Arial"/>
          <w:bCs/>
          <w:color w:val="000000"/>
          <w:sz w:val="20"/>
          <w:szCs w:val="20"/>
        </w:rPr>
        <w:t xml:space="preserve">Subskrypcji nie stanowią (i) oferty w rozumieniu art. 66 ustawy </w:t>
      </w:r>
      <w:r w:rsidR="008C6237" w:rsidRPr="001723B0">
        <w:rPr>
          <w:rFonts w:ascii="Arial" w:hAnsi="Arial" w:cs="Arial"/>
          <w:color w:val="000000"/>
          <w:sz w:val="20"/>
          <w:szCs w:val="20"/>
        </w:rPr>
        <w:t>–</w:t>
      </w:r>
      <w:r w:rsidRPr="001723B0">
        <w:rPr>
          <w:rFonts w:ascii="Arial" w:hAnsi="Arial" w:cs="Arial"/>
          <w:bCs/>
          <w:color w:val="000000"/>
          <w:sz w:val="20"/>
          <w:szCs w:val="20"/>
        </w:rPr>
        <w:t xml:space="preserve"> Kodeks cywilny, (ii) rekomendacji inwestycyjnej w rozumieniu Rozporządzenia Parlamentu Europejskiego i Rady nr 596/2014 z dnia 16 kwietnia 2014 r. w sprawie nadużyć na rynku (rozporządzenie w sprawie nadużyć na rynku) oraz uchylającego dyrektywę 2003/6/WE Parlamentu Europejskiego i Rady i dyrektywę Komisji 2003/124/WE, 2003/125/WE i 2004/72/WE, (iii) porady inwestycyjnej, (iv) porady prawnej ani podatkowej, (v) wskazania, iż jakakolwiek inwestycja lub strategia jest odpowiednia i adekwatna do poziomu wiedzy o inwestowaniu w zakresie instrumentów finansowych oraz doświadczenia inwestycyjnego Inwestora, (vi) usługi doradztwa inwestycyjnego w rozumieniu </w:t>
      </w:r>
      <w:r w:rsidR="00CE4E54" w:rsidRPr="001723B0">
        <w:rPr>
          <w:rFonts w:ascii="Arial" w:hAnsi="Arial" w:cs="Arial"/>
          <w:bCs/>
          <w:color w:val="000000"/>
          <w:sz w:val="20"/>
          <w:szCs w:val="20"/>
        </w:rPr>
        <w:t>U</w:t>
      </w:r>
      <w:r w:rsidRPr="001723B0">
        <w:rPr>
          <w:rFonts w:ascii="Arial" w:hAnsi="Arial" w:cs="Arial"/>
          <w:bCs/>
          <w:color w:val="000000"/>
          <w:sz w:val="20"/>
          <w:szCs w:val="20"/>
        </w:rPr>
        <w:t xml:space="preserve">stawy o </w:t>
      </w:r>
      <w:r w:rsidR="00CE4E54" w:rsidRPr="001723B0">
        <w:rPr>
          <w:rFonts w:ascii="Arial" w:hAnsi="Arial" w:cs="Arial"/>
          <w:bCs/>
          <w:color w:val="000000"/>
          <w:sz w:val="20"/>
          <w:szCs w:val="20"/>
        </w:rPr>
        <w:t>O</w:t>
      </w:r>
      <w:r w:rsidRPr="001723B0">
        <w:rPr>
          <w:rFonts w:ascii="Arial" w:hAnsi="Arial" w:cs="Arial"/>
          <w:bCs/>
          <w:color w:val="000000"/>
          <w:sz w:val="20"/>
          <w:szCs w:val="20"/>
        </w:rPr>
        <w:t xml:space="preserve">brocie </w:t>
      </w:r>
      <w:r w:rsidR="00CE4E54" w:rsidRPr="001723B0">
        <w:rPr>
          <w:rFonts w:ascii="Arial" w:hAnsi="Arial" w:cs="Arial"/>
          <w:bCs/>
          <w:color w:val="000000"/>
          <w:sz w:val="20"/>
          <w:szCs w:val="20"/>
        </w:rPr>
        <w:t>I</w:t>
      </w:r>
      <w:r w:rsidRPr="001723B0">
        <w:rPr>
          <w:rFonts w:ascii="Arial" w:hAnsi="Arial" w:cs="Arial"/>
          <w:bCs/>
          <w:color w:val="000000"/>
          <w:sz w:val="20"/>
          <w:szCs w:val="20"/>
        </w:rPr>
        <w:t xml:space="preserve">nstrumentami </w:t>
      </w:r>
      <w:r w:rsidR="00CE4E54" w:rsidRPr="001723B0">
        <w:rPr>
          <w:rFonts w:ascii="Arial" w:hAnsi="Arial" w:cs="Arial"/>
          <w:bCs/>
          <w:color w:val="000000"/>
          <w:sz w:val="20"/>
          <w:szCs w:val="20"/>
        </w:rPr>
        <w:t>F</w:t>
      </w:r>
      <w:r w:rsidRPr="001723B0">
        <w:rPr>
          <w:rFonts w:ascii="Arial" w:hAnsi="Arial" w:cs="Arial"/>
          <w:bCs/>
          <w:color w:val="000000"/>
          <w:sz w:val="20"/>
          <w:szCs w:val="20"/>
        </w:rPr>
        <w:t>inansowymi.</w:t>
      </w:r>
    </w:p>
    <w:p w14:paraId="3C970F8C" w14:textId="77777777" w:rsidR="0050331E" w:rsidRPr="001723B0" w:rsidRDefault="0050331E" w:rsidP="0050331E">
      <w:pPr>
        <w:autoSpaceDE w:val="0"/>
        <w:autoSpaceDN w:val="0"/>
        <w:adjustRightInd w:val="0"/>
        <w:spacing w:after="120" w:line="240" w:lineRule="auto"/>
        <w:jc w:val="both"/>
        <w:rPr>
          <w:rFonts w:ascii="Arial" w:hAnsi="Arial" w:cs="Arial"/>
          <w:bCs/>
          <w:color w:val="000000"/>
          <w:sz w:val="20"/>
          <w:szCs w:val="20"/>
        </w:rPr>
      </w:pPr>
      <w:r w:rsidRPr="001723B0">
        <w:rPr>
          <w:rFonts w:ascii="Arial" w:hAnsi="Arial" w:cs="Arial"/>
          <w:bCs/>
          <w:color w:val="000000"/>
          <w:sz w:val="20"/>
          <w:szCs w:val="20"/>
        </w:rPr>
        <w:t>Inwestowanie w instrumenty finansowe obarczone jest ryzykiem. Podjęcie każdej decyzji inwestycyjnej wiąże się z koniecznością oceny ryzyka w kontekście oczekiwanego i faktycznego wyniku z inwestycji w papiery wartościowe. Inwestowanie w akcje rodzi ryzyko utraty całości lub części zainwestowanych środków, a nawet konieczność poniesienia dodatkowych kosztów.</w:t>
      </w:r>
    </w:p>
    <w:p w14:paraId="0A3C3B30" w14:textId="77777777" w:rsidR="0050331E" w:rsidRPr="001723B0" w:rsidRDefault="0050331E" w:rsidP="0050331E">
      <w:pPr>
        <w:autoSpaceDE w:val="0"/>
        <w:autoSpaceDN w:val="0"/>
        <w:adjustRightInd w:val="0"/>
        <w:spacing w:after="120" w:line="240" w:lineRule="auto"/>
        <w:jc w:val="both"/>
        <w:rPr>
          <w:rFonts w:ascii="Arial" w:hAnsi="Arial" w:cs="Arial"/>
          <w:bCs/>
          <w:color w:val="000000"/>
          <w:sz w:val="20"/>
          <w:szCs w:val="20"/>
        </w:rPr>
      </w:pPr>
      <w:r w:rsidRPr="001723B0">
        <w:rPr>
          <w:rFonts w:ascii="Arial" w:hAnsi="Arial" w:cs="Arial"/>
          <w:bCs/>
          <w:color w:val="000000"/>
          <w:sz w:val="20"/>
          <w:szCs w:val="20"/>
        </w:rPr>
        <w:t xml:space="preserve">Odpowiedzialność za decyzje podjęte na podstawie Zasad </w:t>
      </w:r>
      <w:r w:rsidR="001723B0" w:rsidRPr="001723B0">
        <w:rPr>
          <w:rFonts w:ascii="Arial" w:hAnsi="Arial" w:cs="Arial"/>
          <w:color w:val="000000"/>
          <w:sz w:val="20"/>
          <w:szCs w:val="20"/>
        </w:rPr>
        <w:t>Budowy Księgi Popytu i</w:t>
      </w:r>
      <w:r w:rsidR="001723B0" w:rsidRPr="001723B0">
        <w:rPr>
          <w:rFonts w:ascii="Arial" w:hAnsi="Arial" w:cs="Arial"/>
          <w:bCs/>
          <w:color w:val="000000"/>
          <w:sz w:val="20"/>
          <w:szCs w:val="20"/>
        </w:rPr>
        <w:t xml:space="preserve"> </w:t>
      </w:r>
      <w:r w:rsidRPr="001723B0">
        <w:rPr>
          <w:rFonts w:ascii="Arial" w:hAnsi="Arial" w:cs="Arial"/>
          <w:bCs/>
          <w:color w:val="000000"/>
          <w:sz w:val="20"/>
          <w:szCs w:val="20"/>
        </w:rPr>
        <w:t>Subskrypcji ponoszą wyłącznie osoby lub podmioty z ni</w:t>
      </w:r>
      <w:r w:rsidR="00CE4E54" w:rsidRPr="001723B0">
        <w:rPr>
          <w:rFonts w:ascii="Arial" w:hAnsi="Arial" w:cs="Arial"/>
          <w:bCs/>
          <w:color w:val="000000"/>
          <w:sz w:val="20"/>
          <w:szCs w:val="20"/>
        </w:rPr>
        <w:t>ch</w:t>
      </w:r>
      <w:r w:rsidRPr="001723B0">
        <w:rPr>
          <w:rFonts w:ascii="Arial" w:hAnsi="Arial" w:cs="Arial"/>
          <w:bCs/>
          <w:color w:val="000000"/>
          <w:sz w:val="20"/>
          <w:szCs w:val="20"/>
        </w:rPr>
        <w:t xml:space="preserve"> korzystające.</w:t>
      </w:r>
    </w:p>
    <w:p w14:paraId="43B7654C" w14:textId="77777777" w:rsidR="0050331E" w:rsidRPr="001723B0" w:rsidRDefault="0050331E" w:rsidP="0050331E">
      <w:pPr>
        <w:autoSpaceDE w:val="0"/>
        <w:autoSpaceDN w:val="0"/>
        <w:adjustRightInd w:val="0"/>
        <w:spacing w:after="120" w:line="240" w:lineRule="auto"/>
        <w:jc w:val="both"/>
        <w:rPr>
          <w:rFonts w:ascii="Arial" w:hAnsi="Arial" w:cs="Arial"/>
          <w:bCs/>
          <w:color w:val="000000"/>
          <w:sz w:val="20"/>
          <w:szCs w:val="20"/>
        </w:rPr>
      </w:pPr>
      <w:r w:rsidRPr="001723B0">
        <w:rPr>
          <w:rFonts w:ascii="Arial" w:hAnsi="Arial" w:cs="Arial"/>
          <w:bCs/>
          <w:color w:val="000000"/>
          <w:sz w:val="20"/>
          <w:szCs w:val="20"/>
        </w:rPr>
        <w:t xml:space="preserve">Emitent będzie oferował Akcje Oferowane za pośrednictwem </w:t>
      </w:r>
      <w:r w:rsidR="00092CAC" w:rsidRPr="001723B0">
        <w:rPr>
          <w:rFonts w:ascii="Arial" w:hAnsi="Arial" w:cs="Arial"/>
          <w:bCs/>
          <w:color w:val="000000"/>
          <w:sz w:val="20"/>
          <w:szCs w:val="20"/>
        </w:rPr>
        <w:t>Trigon DM</w:t>
      </w:r>
      <w:r w:rsidRPr="001723B0">
        <w:rPr>
          <w:rFonts w:ascii="Arial" w:hAnsi="Arial" w:cs="Arial"/>
          <w:bCs/>
          <w:color w:val="000000"/>
          <w:sz w:val="20"/>
          <w:szCs w:val="20"/>
        </w:rPr>
        <w:t xml:space="preserve">. Nadzór nad działalnością </w:t>
      </w:r>
      <w:r w:rsidR="00092CAC" w:rsidRPr="001723B0">
        <w:rPr>
          <w:rFonts w:ascii="Arial" w:hAnsi="Arial" w:cs="Arial"/>
          <w:bCs/>
          <w:color w:val="000000"/>
          <w:sz w:val="20"/>
          <w:szCs w:val="20"/>
        </w:rPr>
        <w:t>Trigon DM</w:t>
      </w:r>
      <w:r w:rsidRPr="001723B0">
        <w:rPr>
          <w:rFonts w:ascii="Arial" w:hAnsi="Arial" w:cs="Arial"/>
          <w:bCs/>
          <w:color w:val="000000"/>
          <w:sz w:val="20"/>
          <w:szCs w:val="20"/>
        </w:rPr>
        <w:t xml:space="preserve"> sprawuje K</w:t>
      </w:r>
      <w:r w:rsidR="00CE4E54" w:rsidRPr="001723B0">
        <w:rPr>
          <w:rFonts w:ascii="Arial" w:hAnsi="Arial" w:cs="Arial"/>
          <w:bCs/>
          <w:color w:val="000000"/>
          <w:sz w:val="20"/>
          <w:szCs w:val="20"/>
        </w:rPr>
        <w:t xml:space="preserve">omisja </w:t>
      </w:r>
      <w:r w:rsidRPr="001723B0">
        <w:rPr>
          <w:rFonts w:ascii="Arial" w:hAnsi="Arial" w:cs="Arial"/>
          <w:bCs/>
          <w:color w:val="000000"/>
          <w:sz w:val="20"/>
          <w:szCs w:val="20"/>
        </w:rPr>
        <w:t>N</w:t>
      </w:r>
      <w:r w:rsidR="00CE4E54" w:rsidRPr="001723B0">
        <w:rPr>
          <w:rFonts w:ascii="Arial" w:hAnsi="Arial" w:cs="Arial"/>
          <w:bCs/>
          <w:color w:val="000000"/>
          <w:sz w:val="20"/>
          <w:szCs w:val="20"/>
        </w:rPr>
        <w:t xml:space="preserve">adzoru </w:t>
      </w:r>
      <w:r w:rsidRPr="001723B0">
        <w:rPr>
          <w:rFonts w:ascii="Arial" w:hAnsi="Arial" w:cs="Arial"/>
          <w:bCs/>
          <w:color w:val="000000"/>
          <w:sz w:val="20"/>
          <w:szCs w:val="20"/>
        </w:rPr>
        <w:t>F</w:t>
      </w:r>
      <w:r w:rsidR="00CE4E54" w:rsidRPr="001723B0">
        <w:rPr>
          <w:rFonts w:ascii="Arial" w:hAnsi="Arial" w:cs="Arial"/>
          <w:bCs/>
          <w:color w:val="000000"/>
          <w:sz w:val="20"/>
          <w:szCs w:val="20"/>
        </w:rPr>
        <w:t>inansowego</w:t>
      </w:r>
      <w:r w:rsidRPr="001723B0">
        <w:rPr>
          <w:rFonts w:ascii="Arial" w:hAnsi="Arial" w:cs="Arial"/>
          <w:bCs/>
          <w:color w:val="000000"/>
          <w:sz w:val="20"/>
          <w:szCs w:val="20"/>
        </w:rPr>
        <w:t>.</w:t>
      </w:r>
    </w:p>
    <w:p w14:paraId="6DB5EBAC" w14:textId="77777777" w:rsidR="0050331E" w:rsidRPr="001723B0" w:rsidRDefault="0050331E" w:rsidP="0050331E">
      <w:pPr>
        <w:autoSpaceDE w:val="0"/>
        <w:autoSpaceDN w:val="0"/>
        <w:adjustRightInd w:val="0"/>
        <w:spacing w:after="120" w:line="240" w:lineRule="auto"/>
        <w:jc w:val="both"/>
        <w:rPr>
          <w:rFonts w:ascii="Arial" w:hAnsi="Arial" w:cs="Arial"/>
          <w:bCs/>
          <w:color w:val="000000"/>
          <w:sz w:val="20"/>
          <w:szCs w:val="20"/>
        </w:rPr>
      </w:pPr>
      <w:r w:rsidRPr="001723B0">
        <w:rPr>
          <w:rFonts w:ascii="Arial" w:hAnsi="Arial" w:cs="Arial"/>
          <w:bCs/>
          <w:color w:val="000000"/>
          <w:sz w:val="20"/>
          <w:szCs w:val="20"/>
        </w:rPr>
        <w:t>Niniejszy materiał nie jest reklamą w rozumieniu art. 22 Rozporządzenia</w:t>
      </w:r>
      <w:r w:rsidR="002F6849" w:rsidRPr="001723B0">
        <w:rPr>
          <w:rFonts w:ascii="Arial" w:hAnsi="Arial" w:cs="Arial"/>
          <w:bCs/>
          <w:color w:val="000000"/>
          <w:sz w:val="20"/>
          <w:szCs w:val="20"/>
        </w:rPr>
        <w:t xml:space="preserve"> Prospektowego</w:t>
      </w:r>
      <w:r w:rsidRPr="001723B0">
        <w:rPr>
          <w:rFonts w:ascii="Arial" w:hAnsi="Arial" w:cs="Arial"/>
          <w:bCs/>
          <w:color w:val="000000"/>
          <w:sz w:val="20"/>
          <w:szCs w:val="20"/>
        </w:rPr>
        <w:t>.</w:t>
      </w:r>
    </w:p>
    <w:p w14:paraId="771F283B" w14:textId="77777777" w:rsidR="00E145F9" w:rsidRPr="001723B0" w:rsidRDefault="0050331E" w:rsidP="00AA1B91">
      <w:pPr>
        <w:autoSpaceDE w:val="0"/>
        <w:autoSpaceDN w:val="0"/>
        <w:adjustRightInd w:val="0"/>
        <w:spacing w:after="120" w:line="240" w:lineRule="auto"/>
        <w:jc w:val="both"/>
        <w:rPr>
          <w:rFonts w:ascii="Arial" w:hAnsi="Arial" w:cs="Arial"/>
          <w:bCs/>
          <w:color w:val="000000"/>
          <w:sz w:val="20"/>
          <w:szCs w:val="20"/>
        </w:rPr>
      </w:pPr>
      <w:r w:rsidRPr="001723B0">
        <w:rPr>
          <w:rFonts w:ascii="Arial" w:hAnsi="Arial" w:cs="Arial"/>
          <w:bCs/>
          <w:color w:val="000000"/>
          <w:sz w:val="20"/>
          <w:szCs w:val="20"/>
        </w:rPr>
        <w:t>Niniejszy materiał i zawarte w nim informacje nie są przeznaczone do publikacji, ogłoszenia lub rozpowszechniania, bezpośrednio albo pośrednio, na terytorium albo do Stanów Zjednoczonych Ameryki albo w innych państwach, w których publiczne rozpowszechnianie informacji zawartych w</w:t>
      </w:r>
      <w:r w:rsidR="006E5CAB" w:rsidRPr="001723B0">
        <w:rPr>
          <w:rFonts w:ascii="Arial" w:hAnsi="Arial" w:cs="Arial"/>
          <w:bCs/>
          <w:color w:val="000000"/>
          <w:sz w:val="20"/>
          <w:szCs w:val="20"/>
        </w:rPr>
        <w:t> </w:t>
      </w:r>
      <w:r w:rsidRPr="001723B0">
        <w:rPr>
          <w:rFonts w:ascii="Arial" w:hAnsi="Arial" w:cs="Arial"/>
          <w:bCs/>
          <w:color w:val="000000"/>
          <w:sz w:val="20"/>
          <w:szCs w:val="20"/>
        </w:rPr>
        <w:t xml:space="preserve">niniejszym materiale może podlegać ograniczeniom lub być zakazane przez prawo. Papiery wartościowe, o których mowa w niniejszym materiale, nie zostały i nie zostaną zarejestrowane na podstawie Amerykańskiej Ustawy o Papierach Wartościowych z 1933 r. ze zmianami (ang. </w:t>
      </w:r>
      <w:r w:rsidRPr="001723B0">
        <w:rPr>
          <w:rFonts w:ascii="Arial" w:hAnsi="Arial" w:cs="Arial"/>
          <w:bCs/>
          <w:i/>
          <w:iCs/>
          <w:color w:val="000000"/>
          <w:sz w:val="20"/>
          <w:szCs w:val="20"/>
        </w:rPr>
        <w:t>U.S. Securities Act of 1933</w:t>
      </w:r>
      <w:r w:rsidRPr="001723B0">
        <w:rPr>
          <w:rFonts w:ascii="Arial" w:hAnsi="Arial" w:cs="Arial"/>
          <w:bCs/>
          <w:color w:val="000000"/>
          <w:sz w:val="20"/>
          <w:szCs w:val="20"/>
        </w:rPr>
        <w:t>) i nie mogą być oferowane ani zbywane na terytorium Stanów Zjednoczonych Ameryki za wyjątkiem transakcji niepodlegających obowiązkowi rejestracyjnemu przewidzianemu w Amerykańskiej Ustawie o Papierach Wartościowych lub na podstawie wyjątku od takiego obowiązku rejestracyjnego.</w:t>
      </w:r>
    </w:p>
    <w:sectPr w:rsidR="00E145F9" w:rsidRPr="001723B0" w:rsidSect="0032758F">
      <w:headerReference w:type="default" r:id="rId9"/>
      <w:footerReference w:type="even"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DD005" w14:textId="77777777" w:rsidR="00BB4354" w:rsidRDefault="00BB4354" w:rsidP="00BC372B">
      <w:pPr>
        <w:spacing w:after="0" w:line="240" w:lineRule="auto"/>
      </w:pPr>
      <w:r>
        <w:separator/>
      </w:r>
    </w:p>
  </w:endnote>
  <w:endnote w:type="continuationSeparator" w:id="0">
    <w:p w14:paraId="03981472" w14:textId="77777777" w:rsidR="00BB4354" w:rsidRDefault="00BB4354" w:rsidP="00BC3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NewRomanPSMT">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variable"/>
    <w:sig w:usb0="00000003" w:usb1="00000000" w:usb2="00000000" w:usb3="00000000" w:csb0="00000001" w:csb1="00000000"/>
  </w:font>
  <w:font w:name="Formular">
    <w:altName w:val="Calibri"/>
    <w:charset w:val="EE"/>
    <w:family w:val="auto"/>
    <w:pitch w:val="variable"/>
    <w:sig w:usb0="800002AF" w:usb1="5000206A" w:usb2="00000000" w:usb3="00000000" w:csb0="0000008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287E0" w14:textId="77777777" w:rsidR="00037586" w:rsidRDefault="00037586" w:rsidP="00B92322">
    <w:pPr>
      <w:pStyle w:val="Footer"/>
    </w:pPr>
    <w:r>
      <w:t>#110696593v1&lt;RZDMS&gt;</w:t>
    </w:r>
  </w:p>
  <w:bookmarkStart w:id="6" w:name="_iDocIDFielddd999ab7-d292-48fe-beba-627a"/>
  <w:p w14:paraId="765386D8" w14:textId="77777777" w:rsidR="00037586" w:rsidRDefault="00037586">
    <w:pPr>
      <w:pStyle w:val="DocID"/>
    </w:pPr>
    <w:r>
      <w:fldChar w:fldCharType="begin"/>
    </w:r>
    <w:r>
      <w:instrText xml:space="preserve">  DOCPROPERTY "CUS_DocIDChunk0" </w:instrText>
    </w:r>
    <w:r>
      <w:fldChar w:fldCharType="separate"/>
    </w:r>
    <w:r>
      <w:rPr>
        <w:noProof/>
      </w:rPr>
      <w:t>WAW 4158339v8</w:t>
    </w:r>
    <w:r>
      <w:fldChar w:fldCharType="end"/>
    </w:r>
    <w:bookmarkEnd w:id="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2BCFA" w14:textId="77777777" w:rsidR="00037586" w:rsidRDefault="00037586" w:rsidP="00EA62A0">
    <w:pPr>
      <w:pStyle w:val="Footer"/>
    </w:pPr>
    <w:r>
      <w:t>#110696593v1&lt;RZDMS&gt;</w:t>
    </w:r>
  </w:p>
  <w:bookmarkStart w:id="7" w:name="_iDocIDField78532363-55af-4dc4-8a18-1aca"/>
  <w:p w14:paraId="1348CE0A" w14:textId="77777777" w:rsidR="00037586" w:rsidRDefault="00037586">
    <w:pPr>
      <w:pStyle w:val="DocID"/>
    </w:pPr>
    <w:r>
      <w:fldChar w:fldCharType="begin"/>
    </w:r>
    <w:r>
      <w:instrText xml:space="preserve">  DOCPROPERTY "CUS_DocIDChunk0" </w:instrText>
    </w:r>
    <w:r>
      <w:fldChar w:fldCharType="separate"/>
    </w:r>
    <w:r>
      <w:rPr>
        <w:noProof/>
      </w:rPr>
      <w:t>WAW 4158339v8</w:t>
    </w:r>
    <w:r>
      <w:fldChar w:fldCharType="end"/>
    </w:r>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50E52" w14:textId="77777777" w:rsidR="00BB4354" w:rsidRDefault="00BB4354" w:rsidP="00BC372B">
      <w:pPr>
        <w:spacing w:after="0" w:line="240" w:lineRule="auto"/>
      </w:pPr>
      <w:r>
        <w:separator/>
      </w:r>
    </w:p>
  </w:footnote>
  <w:footnote w:type="continuationSeparator" w:id="0">
    <w:p w14:paraId="39F2B393" w14:textId="77777777" w:rsidR="00BB4354" w:rsidRDefault="00BB4354" w:rsidP="00BC37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467DD" w14:textId="77777777" w:rsidR="00497DD5" w:rsidRPr="00171A4E" w:rsidRDefault="00497DD5" w:rsidP="001232C2">
    <w:pPr>
      <w:pStyle w:val="Header"/>
      <w:jc w:val="center"/>
      <w:rPr>
        <w:rFonts w:ascii="Formular" w:hAnsi="Formular" w:cs="Arial"/>
        <w:i/>
        <w:color w:val="FF0000"/>
        <w:sz w:val="18"/>
      </w:rPr>
    </w:pPr>
    <w:r w:rsidRPr="00171A4E">
      <w:rPr>
        <w:rFonts w:ascii="Formular" w:hAnsi="Formular" w:cs="Arial"/>
        <w:i/>
        <w:color w:val="FF0000"/>
        <w:sz w:val="18"/>
      </w:rPr>
      <w:t>NINIEJSZY DOKUMENT NIE JEST PRZEZNACZONY DO DYSTRYBUCJI, BEZPOŚREDNIO CZY POŚREDNIO, NA TERYTORIUM ALBO DO STANÓW ZJEDNOCZONYCH AMERYKI, AUSTRALII, KANADY LUB JAPONII ANI INNYCH KRAJÓW, GDZIE PUBLIKACJA, OGŁOSZENIE, DYSTRYBUCJA LUB PRZESŁANIE BYŁOBY NIEZGODNE Z PRAWEM.</w:t>
    </w:r>
  </w:p>
  <w:p w14:paraId="41C1684B" w14:textId="77777777" w:rsidR="00497DD5" w:rsidRPr="00171A4E" w:rsidRDefault="00497DD5" w:rsidP="001232C2">
    <w:pPr>
      <w:pStyle w:val="Header"/>
      <w:spacing w:before="240"/>
      <w:jc w:val="center"/>
      <w:rPr>
        <w:rFonts w:ascii="Formular" w:hAnsi="Formular" w:cs="Arial"/>
        <w:i/>
        <w:color w:val="FF0000"/>
        <w:sz w:val="18"/>
      </w:rPr>
    </w:pPr>
    <w:r w:rsidRPr="00171A4E">
      <w:rPr>
        <w:rFonts w:ascii="Formular" w:hAnsi="Formular" w:cs="Arial"/>
        <w:i/>
        <w:color w:val="FF0000"/>
        <w:sz w:val="18"/>
      </w:rPr>
      <w:t>NINIEJSZY DOKUMENT NIE STANOWI OFERTY PAPIERÓW WARTOŚCIOWYCH W JAKIEJKOLWIEK JURYSDYKCJI.</w:t>
    </w:r>
  </w:p>
  <w:p w14:paraId="33CAEB60" w14:textId="77777777" w:rsidR="00994CEC" w:rsidRPr="00171A4E" w:rsidRDefault="00497DD5" w:rsidP="001232C2">
    <w:pPr>
      <w:pStyle w:val="Header"/>
      <w:spacing w:before="240" w:after="240"/>
      <w:jc w:val="center"/>
      <w:rPr>
        <w:rFonts w:ascii="Formular" w:hAnsi="Formular" w:cs="Arial"/>
      </w:rPr>
    </w:pPr>
    <w:r w:rsidRPr="00171A4E">
      <w:rPr>
        <w:rFonts w:ascii="Formular" w:hAnsi="Formular" w:cs="Arial"/>
        <w:i/>
        <w:color w:val="FF0000"/>
        <w:sz w:val="18"/>
      </w:rPr>
      <w:t>PROSIMY O ZAPOZNANIE SIĘ Z ZASTRZEŻENIAMI PRAWNYMI ZAMIESZCZONYMI NA KOŃCU NINIEJSZEGO DOKUMENTU.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77BA7"/>
    <w:multiLevelType w:val="hybridMultilevel"/>
    <w:tmpl w:val="5EF67A5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AC10DBA"/>
    <w:multiLevelType w:val="hybridMultilevel"/>
    <w:tmpl w:val="8A8241A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B036A73"/>
    <w:multiLevelType w:val="hybridMultilevel"/>
    <w:tmpl w:val="FE06F15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 w15:restartNumberingAfterBreak="0">
    <w:nsid w:val="204B0CF7"/>
    <w:multiLevelType w:val="hybridMultilevel"/>
    <w:tmpl w:val="410E3DB8"/>
    <w:lvl w:ilvl="0" w:tplc="3FECC4EC">
      <w:numFmt w:val="bullet"/>
      <w:lvlText w:val="•"/>
      <w:lvlJc w:val="left"/>
      <w:pPr>
        <w:ind w:left="720" w:hanging="360"/>
      </w:pPr>
      <w:rPr>
        <w:rFonts w:ascii="Arial Narrow" w:eastAsiaTheme="minorHAnsi" w:hAnsi="Arial Narrow" w:cs="TimesNewRomanPSM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52005CF"/>
    <w:multiLevelType w:val="hybridMultilevel"/>
    <w:tmpl w:val="EED88F88"/>
    <w:lvl w:ilvl="0" w:tplc="493C1400">
      <w:start w:val="1"/>
      <w:numFmt w:val="lowerLetter"/>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1BA6132"/>
    <w:multiLevelType w:val="hybridMultilevel"/>
    <w:tmpl w:val="FE06F15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 w15:restartNumberingAfterBreak="0">
    <w:nsid w:val="3FC77272"/>
    <w:multiLevelType w:val="hybridMultilevel"/>
    <w:tmpl w:val="E47AB2AE"/>
    <w:lvl w:ilvl="0" w:tplc="D8AA9162">
      <w:start w:val="1"/>
      <w:numFmt w:val="low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490F7834"/>
    <w:multiLevelType w:val="hybridMultilevel"/>
    <w:tmpl w:val="8500C71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499D5A76"/>
    <w:multiLevelType w:val="hybridMultilevel"/>
    <w:tmpl w:val="E410CE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C4A73A7"/>
    <w:multiLevelType w:val="hybridMultilevel"/>
    <w:tmpl w:val="5F5A7F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583E1363"/>
    <w:multiLevelType w:val="hybridMultilevel"/>
    <w:tmpl w:val="75F0E1C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5B6166C7"/>
    <w:multiLevelType w:val="hybridMultilevel"/>
    <w:tmpl w:val="DF567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E51890"/>
    <w:multiLevelType w:val="hybridMultilevel"/>
    <w:tmpl w:val="1AB29DA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60684DCA"/>
    <w:multiLevelType w:val="hybridMultilevel"/>
    <w:tmpl w:val="73B2F8FE"/>
    <w:lvl w:ilvl="0" w:tplc="3FECC4EC">
      <w:numFmt w:val="bullet"/>
      <w:lvlText w:val="•"/>
      <w:lvlJc w:val="left"/>
      <w:pPr>
        <w:ind w:left="720" w:hanging="360"/>
      </w:pPr>
      <w:rPr>
        <w:rFonts w:ascii="Arial Narrow" w:eastAsiaTheme="minorHAnsi" w:hAnsi="Arial Narrow" w:cs="TimesNewRomanPSM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8001BE5"/>
    <w:multiLevelType w:val="hybridMultilevel"/>
    <w:tmpl w:val="E47AB2AE"/>
    <w:lvl w:ilvl="0" w:tplc="FFFFFFFF">
      <w:start w:val="1"/>
      <w:numFmt w:val="lowerRoman"/>
      <w:lvlText w:val="(%1)"/>
      <w:lvlJc w:val="left"/>
      <w:pPr>
        <w:ind w:left="1428" w:hanging="72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5" w15:restartNumberingAfterBreak="0">
    <w:nsid w:val="6AED5257"/>
    <w:multiLevelType w:val="hybridMultilevel"/>
    <w:tmpl w:val="5EF67A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BF97984"/>
    <w:multiLevelType w:val="hybridMultilevel"/>
    <w:tmpl w:val="2C1A4C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DF64FD8"/>
    <w:multiLevelType w:val="hybridMultilevel"/>
    <w:tmpl w:val="9C12EC44"/>
    <w:lvl w:ilvl="0" w:tplc="493C1400">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72ED32C3"/>
    <w:multiLevelType w:val="hybridMultilevel"/>
    <w:tmpl w:val="EED88F88"/>
    <w:lvl w:ilvl="0" w:tplc="FFFFFFFF">
      <w:start w:val="1"/>
      <w:numFmt w:val="lowerLetter"/>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75516943"/>
    <w:multiLevelType w:val="hybridMultilevel"/>
    <w:tmpl w:val="5EF67A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BAB3382"/>
    <w:multiLevelType w:val="hybridMultilevel"/>
    <w:tmpl w:val="FE06F15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16cid:durableId="17264438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081494">
    <w:abstractNumId w:val="0"/>
  </w:num>
  <w:num w:numId="3" w16cid:durableId="405340399">
    <w:abstractNumId w:val="11"/>
  </w:num>
  <w:num w:numId="4" w16cid:durableId="1320815594">
    <w:abstractNumId w:val="17"/>
  </w:num>
  <w:num w:numId="5" w16cid:durableId="878469693">
    <w:abstractNumId w:val="6"/>
  </w:num>
  <w:num w:numId="6" w16cid:durableId="713315863">
    <w:abstractNumId w:val="14"/>
  </w:num>
  <w:num w:numId="7" w16cid:durableId="1200897396">
    <w:abstractNumId w:val="4"/>
  </w:num>
  <w:num w:numId="8" w16cid:durableId="810293685">
    <w:abstractNumId w:val="18"/>
  </w:num>
  <w:num w:numId="9" w16cid:durableId="132866878">
    <w:abstractNumId w:val="16"/>
  </w:num>
  <w:num w:numId="10" w16cid:durableId="144129467">
    <w:abstractNumId w:val="3"/>
  </w:num>
  <w:num w:numId="11" w16cid:durableId="2013412208">
    <w:abstractNumId w:val="13"/>
  </w:num>
  <w:num w:numId="12" w16cid:durableId="250116733">
    <w:abstractNumId w:val="15"/>
  </w:num>
  <w:num w:numId="13" w16cid:durableId="660036858">
    <w:abstractNumId w:val="19"/>
  </w:num>
  <w:num w:numId="14" w16cid:durableId="438641495">
    <w:abstractNumId w:val="1"/>
  </w:num>
  <w:num w:numId="15" w16cid:durableId="472792824">
    <w:abstractNumId w:val="9"/>
  </w:num>
  <w:num w:numId="16" w16cid:durableId="186597170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22122650">
    <w:abstractNumId w:val="5"/>
  </w:num>
  <w:num w:numId="18" w16cid:durableId="1339117679">
    <w:abstractNumId w:val="2"/>
  </w:num>
  <w:num w:numId="19" w16cid:durableId="1326276360">
    <w:abstractNumId w:val="7"/>
  </w:num>
  <w:num w:numId="20" w16cid:durableId="2073384093">
    <w:abstractNumId w:val="12"/>
  </w:num>
  <w:num w:numId="21" w16cid:durableId="19716707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D43"/>
    <w:rsid w:val="00001BCB"/>
    <w:rsid w:val="0000235C"/>
    <w:rsid w:val="00007738"/>
    <w:rsid w:val="0001448B"/>
    <w:rsid w:val="00016EDC"/>
    <w:rsid w:val="00017D65"/>
    <w:rsid w:val="000218FB"/>
    <w:rsid w:val="00022A39"/>
    <w:rsid w:val="00035678"/>
    <w:rsid w:val="00037586"/>
    <w:rsid w:val="000460B1"/>
    <w:rsid w:val="00047254"/>
    <w:rsid w:val="00054E32"/>
    <w:rsid w:val="00056C3E"/>
    <w:rsid w:val="00056E4C"/>
    <w:rsid w:val="00061439"/>
    <w:rsid w:val="000652D3"/>
    <w:rsid w:val="00067FEF"/>
    <w:rsid w:val="000704DB"/>
    <w:rsid w:val="00074037"/>
    <w:rsid w:val="00074294"/>
    <w:rsid w:val="00074505"/>
    <w:rsid w:val="00075AD8"/>
    <w:rsid w:val="00084E57"/>
    <w:rsid w:val="00085C15"/>
    <w:rsid w:val="000868D7"/>
    <w:rsid w:val="00087B6A"/>
    <w:rsid w:val="00090A87"/>
    <w:rsid w:val="00092CAC"/>
    <w:rsid w:val="000969EF"/>
    <w:rsid w:val="000A19F4"/>
    <w:rsid w:val="000A25AE"/>
    <w:rsid w:val="000A3307"/>
    <w:rsid w:val="000B1248"/>
    <w:rsid w:val="000B1C63"/>
    <w:rsid w:val="000B7319"/>
    <w:rsid w:val="000C1ADC"/>
    <w:rsid w:val="000C4C16"/>
    <w:rsid w:val="000C6309"/>
    <w:rsid w:val="000E07E6"/>
    <w:rsid w:val="000E5677"/>
    <w:rsid w:val="000E6717"/>
    <w:rsid w:val="000E6CBA"/>
    <w:rsid w:val="000E6F2C"/>
    <w:rsid w:val="000F2957"/>
    <w:rsid w:val="000F4DCC"/>
    <w:rsid w:val="00102837"/>
    <w:rsid w:val="00104329"/>
    <w:rsid w:val="00105509"/>
    <w:rsid w:val="00105AE1"/>
    <w:rsid w:val="0010719E"/>
    <w:rsid w:val="00122B58"/>
    <w:rsid w:val="001232C2"/>
    <w:rsid w:val="00126FBB"/>
    <w:rsid w:val="001276A9"/>
    <w:rsid w:val="00127986"/>
    <w:rsid w:val="001327B0"/>
    <w:rsid w:val="00133FA0"/>
    <w:rsid w:val="00134512"/>
    <w:rsid w:val="00136D91"/>
    <w:rsid w:val="00140A4B"/>
    <w:rsid w:val="0014137A"/>
    <w:rsid w:val="00146CB3"/>
    <w:rsid w:val="0015093A"/>
    <w:rsid w:val="00150A19"/>
    <w:rsid w:val="00160365"/>
    <w:rsid w:val="00164073"/>
    <w:rsid w:val="00165692"/>
    <w:rsid w:val="0016760C"/>
    <w:rsid w:val="001707B8"/>
    <w:rsid w:val="001715DD"/>
    <w:rsid w:val="00171A4E"/>
    <w:rsid w:val="001723B0"/>
    <w:rsid w:val="00172578"/>
    <w:rsid w:val="00174435"/>
    <w:rsid w:val="001772AF"/>
    <w:rsid w:val="00181744"/>
    <w:rsid w:val="00184129"/>
    <w:rsid w:val="001845D1"/>
    <w:rsid w:val="001849BB"/>
    <w:rsid w:val="00185DDE"/>
    <w:rsid w:val="001870FA"/>
    <w:rsid w:val="001917C0"/>
    <w:rsid w:val="00195D2D"/>
    <w:rsid w:val="001A0A01"/>
    <w:rsid w:val="001A0F11"/>
    <w:rsid w:val="001A4143"/>
    <w:rsid w:val="001A7798"/>
    <w:rsid w:val="001B24DA"/>
    <w:rsid w:val="001C3E5B"/>
    <w:rsid w:val="001C536B"/>
    <w:rsid w:val="001C7601"/>
    <w:rsid w:val="001D3034"/>
    <w:rsid w:val="001D318A"/>
    <w:rsid w:val="001D69A1"/>
    <w:rsid w:val="001D751E"/>
    <w:rsid w:val="001E68BD"/>
    <w:rsid w:val="001E6B80"/>
    <w:rsid w:val="001F3162"/>
    <w:rsid w:val="001F4260"/>
    <w:rsid w:val="002048F4"/>
    <w:rsid w:val="0021233B"/>
    <w:rsid w:val="00212EF3"/>
    <w:rsid w:val="00223443"/>
    <w:rsid w:val="00223B15"/>
    <w:rsid w:val="002243A6"/>
    <w:rsid w:val="002256A2"/>
    <w:rsid w:val="00226224"/>
    <w:rsid w:val="00227CE8"/>
    <w:rsid w:val="00231FDD"/>
    <w:rsid w:val="00232FD5"/>
    <w:rsid w:val="0023477E"/>
    <w:rsid w:val="00237D0D"/>
    <w:rsid w:val="00237FCF"/>
    <w:rsid w:val="002422D3"/>
    <w:rsid w:val="00247068"/>
    <w:rsid w:val="00247990"/>
    <w:rsid w:val="0026352B"/>
    <w:rsid w:val="00270C4C"/>
    <w:rsid w:val="00274D63"/>
    <w:rsid w:val="002811CF"/>
    <w:rsid w:val="00283836"/>
    <w:rsid w:val="0029499D"/>
    <w:rsid w:val="002A22BC"/>
    <w:rsid w:val="002A627A"/>
    <w:rsid w:val="002B5499"/>
    <w:rsid w:val="002B6442"/>
    <w:rsid w:val="002C55A5"/>
    <w:rsid w:val="002D1545"/>
    <w:rsid w:val="002D3CF6"/>
    <w:rsid w:val="002D5B21"/>
    <w:rsid w:val="002D799D"/>
    <w:rsid w:val="002E0803"/>
    <w:rsid w:val="002E1133"/>
    <w:rsid w:val="002E592B"/>
    <w:rsid w:val="002F0087"/>
    <w:rsid w:val="002F3CC3"/>
    <w:rsid w:val="002F4806"/>
    <w:rsid w:val="002F6849"/>
    <w:rsid w:val="003103B2"/>
    <w:rsid w:val="00312303"/>
    <w:rsid w:val="00314E0D"/>
    <w:rsid w:val="003170E4"/>
    <w:rsid w:val="003215EB"/>
    <w:rsid w:val="00322B0C"/>
    <w:rsid w:val="0032440F"/>
    <w:rsid w:val="00324C4E"/>
    <w:rsid w:val="0032758F"/>
    <w:rsid w:val="00330DC4"/>
    <w:rsid w:val="003438A6"/>
    <w:rsid w:val="003461EE"/>
    <w:rsid w:val="0034623E"/>
    <w:rsid w:val="00347673"/>
    <w:rsid w:val="00347B9B"/>
    <w:rsid w:val="00352377"/>
    <w:rsid w:val="00352C6C"/>
    <w:rsid w:val="003627D2"/>
    <w:rsid w:val="00362D35"/>
    <w:rsid w:val="00362D50"/>
    <w:rsid w:val="00363166"/>
    <w:rsid w:val="00365B9D"/>
    <w:rsid w:val="00366CF2"/>
    <w:rsid w:val="00380A1B"/>
    <w:rsid w:val="00382A81"/>
    <w:rsid w:val="00383A15"/>
    <w:rsid w:val="0039038C"/>
    <w:rsid w:val="0039180F"/>
    <w:rsid w:val="0039451E"/>
    <w:rsid w:val="0039590B"/>
    <w:rsid w:val="003A251C"/>
    <w:rsid w:val="003A33CD"/>
    <w:rsid w:val="003A7E29"/>
    <w:rsid w:val="003B28EA"/>
    <w:rsid w:val="003B47D9"/>
    <w:rsid w:val="003D084D"/>
    <w:rsid w:val="003D1F7D"/>
    <w:rsid w:val="003D64EB"/>
    <w:rsid w:val="003D678F"/>
    <w:rsid w:val="003E0A24"/>
    <w:rsid w:val="003E3B5A"/>
    <w:rsid w:val="003E759F"/>
    <w:rsid w:val="003F0D47"/>
    <w:rsid w:val="004041CF"/>
    <w:rsid w:val="004104C8"/>
    <w:rsid w:val="00414CB6"/>
    <w:rsid w:val="00415846"/>
    <w:rsid w:val="00421120"/>
    <w:rsid w:val="00424B6D"/>
    <w:rsid w:val="00424F67"/>
    <w:rsid w:val="00430809"/>
    <w:rsid w:val="00431163"/>
    <w:rsid w:val="00431895"/>
    <w:rsid w:val="00433A1C"/>
    <w:rsid w:val="0043425E"/>
    <w:rsid w:val="00435D25"/>
    <w:rsid w:val="00442994"/>
    <w:rsid w:val="004460F6"/>
    <w:rsid w:val="00457C9C"/>
    <w:rsid w:val="004620A1"/>
    <w:rsid w:val="00462330"/>
    <w:rsid w:val="00463841"/>
    <w:rsid w:val="00466A00"/>
    <w:rsid w:val="00477212"/>
    <w:rsid w:val="00477494"/>
    <w:rsid w:val="004823A8"/>
    <w:rsid w:val="00482974"/>
    <w:rsid w:val="00490F47"/>
    <w:rsid w:val="00492E10"/>
    <w:rsid w:val="00495E38"/>
    <w:rsid w:val="00497DD5"/>
    <w:rsid w:val="004A657F"/>
    <w:rsid w:val="004A6996"/>
    <w:rsid w:val="004B1E0C"/>
    <w:rsid w:val="004B52AA"/>
    <w:rsid w:val="004B5532"/>
    <w:rsid w:val="004B7F19"/>
    <w:rsid w:val="004C00F1"/>
    <w:rsid w:val="004C0D83"/>
    <w:rsid w:val="004C2785"/>
    <w:rsid w:val="004C6427"/>
    <w:rsid w:val="004D01F3"/>
    <w:rsid w:val="004D1AC2"/>
    <w:rsid w:val="004D2265"/>
    <w:rsid w:val="004D66C0"/>
    <w:rsid w:val="004D6BDD"/>
    <w:rsid w:val="004E2EDA"/>
    <w:rsid w:val="004E7411"/>
    <w:rsid w:val="004F3415"/>
    <w:rsid w:val="0050331E"/>
    <w:rsid w:val="00507C0A"/>
    <w:rsid w:val="00512183"/>
    <w:rsid w:val="00516974"/>
    <w:rsid w:val="0052069D"/>
    <w:rsid w:val="0053246A"/>
    <w:rsid w:val="0053279F"/>
    <w:rsid w:val="0053307C"/>
    <w:rsid w:val="00545A24"/>
    <w:rsid w:val="005479C8"/>
    <w:rsid w:val="00552F46"/>
    <w:rsid w:val="00554477"/>
    <w:rsid w:val="00563AE2"/>
    <w:rsid w:val="00566634"/>
    <w:rsid w:val="00576345"/>
    <w:rsid w:val="005770E8"/>
    <w:rsid w:val="00585D3D"/>
    <w:rsid w:val="005B183B"/>
    <w:rsid w:val="005B1EA4"/>
    <w:rsid w:val="005C308B"/>
    <w:rsid w:val="005C4151"/>
    <w:rsid w:val="005C4863"/>
    <w:rsid w:val="005C4FDF"/>
    <w:rsid w:val="005D1B3C"/>
    <w:rsid w:val="005D2C21"/>
    <w:rsid w:val="005D3402"/>
    <w:rsid w:val="005D48CC"/>
    <w:rsid w:val="005D6ACD"/>
    <w:rsid w:val="005E121E"/>
    <w:rsid w:val="005E3D53"/>
    <w:rsid w:val="005E7292"/>
    <w:rsid w:val="005F1A0B"/>
    <w:rsid w:val="005F6DFE"/>
    <w:rsid w:val="00603807"/>
    <w:rsid w:val="00604AA8"/>
    <w:rsid w:val="006066C0"/>
    <w:rsid w:val="006071DF"/>
    <w:rsid w:val="00611F91"/>
    <w:rsid w:val="0062098E"/>
    <w:rsid w:val="00622567"/>
    <w:rsid w:val="0063059D"/>
    <w:rsid w:val="006403CA"/>
    <w:rsid w:val="00647D1E"/>
    <w:rsid w:val="006642CF"/>
    <w:rsid w:val="0066467F"/>
    <w:rsid w:val="0066561E"/>
    <w:rsid w:val="00666713"/>
    <w:rsid w:val="00666F88"/>
    <w:rsid w:val="00672D7A"/>
    <w:rsid w:val="00673DE1"/>
    <w:rsid w:val="006778D6"/>
    <w:rsid w:val="00686E7D"/>
    <w:rsid w:val="00686F8D"/>
    <w:rsid w:val="0069330E"/>
    <w:rsid w:val="0069379C"/>
    <w:rsid w:val="006A4B9C"/>
    <w:rsid w:val="006A51E0"/>
    <w:rsid w:val="006A54BD"/>
    <w:rsid w:val="006A7681"/>
    <w:rsid w:val="006B12F1"/>
    <w:rsid w:val="006B6A72"/>
    <w:rsid w:val="006C2030"/>
    <w:rsid w:val="006C3B70"/>
    <w:rsid w:val="006C53EB"/>
    <w:rsid w:val="006C5EFF"/>
    <w:rsid w:val="006C7DBC"/>
    <w:rsid w:val="006D3C03"/>
    <w:rsid w:val="006E0ACE"/>
    <w:rsid w:val="006E1554"/>
    <w:rsid w:val="006E38A9"/>
    <w:rsid w:val="006E3D15"/>
    <w:rsid w:val="006E440A"/>
    <w:rsid w:val="006E5CAB"/>
    <w:rsid w:val="006E6EE9"/>
    <w:rsid w:val="006F278B"/>
    <w:rsid w:val="00710128"/>
    <w:rsid w:val="007142D5"/>
    <w:rsid w:val="00721C64"/>
    <w:rsid w:val="00722AF1"/>
    <w:rsid w:val="00726DAC"/>
    <w:rsid w:val="007305A4"/>
    <w:rsid w:val="0074208B"/>
    <w:rsid w:val="00742E41"/>
    <w:rsid w:val="00742E86"/>
    <w:rsid w:val="00745943"/>
    <w:rsid w:val="00746D69"/>
    <w:rsid w:val="00747A34"/>
    <w:rsid w:val="00754465"/>
    <w:rsid w:val="007561B1"/>
    <w:rsid w:val="00756D35"/>
    <w:rsid w:val="00761CAB"/>
    <w:rsid w:val="00770974"/>
    <w:rsid w:val="0077161C"/>
    <w:rsid w:val="00773ADA"/>
    <w:rsid w:val="00774859"/>
    <w:rsid w:val="00776C5B"/>
    <w:rsid w:val="00780E1A"/>
    <w:rsid w:val="00784142"/>
    <w:rsid w:val="00795CF5"/>
    <w:rsid w:val="007A0994"/>
    <w:rsid w:val="007A38BE"/>
    <w:rsid w:val="007A6665"/>
    <w:rsid w:val="007B00C5"/>
    <w:rsid w:val="007B4A3F"/>
    <w:rsid w:val="007E352F"/>
    <w:rsid w:val="007E773F"/>
    <w:rsid w:val="007E7D29"/>
    <w:rsid w:val="007F69A2"/>
    <w:rsid w:val="00800862"/>
    <w:rsid w:val="008032E1"/>
    <w:rsid w:val="008055DB"/>
    <w:rsid w:val="008119C1"/>
    <w:rsid w:val="00823A4C"/>
    <w:rsid w:val="0082591A"/>
    <w:rsid w:val="00832A3A"/>
    <w:rsid w:val="0083648D"/>
    <w:rsid w:val="00840983"/>
    <w:rsid w:val="0084129C"/>
    <w:rsid w:val="0084219A"/>
    <w:rsid w:val="0084631E"/>
    <w:rsid w:val="0085100B"/>
    <w:rsid w:val="008563F4"/>
    <w:rsid w:val="00861FCF"/>
    <w:rsid w:val="0086322A"/>
    <w:rsid w:val="0086345F"/>
    <w:rsid w:val="00864650"/>
    <w:rsid w:val="008660E5"/>
    <w:rsid w:val="0086639D"/>
    <w:rsid w:val="0087142A"/>
    <w:rsid w:val="008765BC"/>
    <w:rsid w:val="008769CA"/>
    <w:rsid w:val="00882D5D"/>
    <w:rsid w:val="008917D8"/>
    <w:rsid w:val="00894BF3"/>
    <w:rsid w:val="008A144B"/>
    <w:rsid w:val="008A2207"/>
    <w:rsid w:val="008A23E0"/>
    <w:rsid w:val="008B4CCA"/>
    <w:rsid w:val="008B64A6"/>
    <w:rsid w:val="008C5560"/>
    <w:rsid w:val="008C57DC"/>
    <w:rsid w:val="008C6237"/>
    <w:rsid w:val="008E4DBB"/>
    <w:rsid w:val="008F77D4"/>
    <w:rsid w:val="00901619"/>
    <w:rsid w:val="00904099"/>
    <w:rsid w:val="00905389"/>
    <w:rsid w:val="0091003C"/>
    <w:rsid w:val="00913C51"/>
    <w:rsid w:val="009159B9"/>
    <w:rsid w:val="009166DA"/>
    <w:rsid w:val="00920F0E"/>
    <w:rsid w:val="00923E63"/>
    <w:rsid w:val="00924BCF"/>
    <w:rsid w:val="00925FC7"/>
    <w:rsid w:val="00926594"/>
    <w:rsid w:val="009276CE"/>
    <w:rsid w:val="0092778D"/>
    <w:rsid w:val="00937EED"/>
    <w:rsid w:val="0094119E"/>
    <w:rsid w:val="00943D73"/>
    <w:rsid w:val="00946FDC"/>
    <w:rsid w:val="0094783A"/>
    <w:rsid w:val="0095753D"/>
    <w:rsid w:val="009673D0"/>
    <w:rsid w:val="00970A99"/>
    <w:rsid w:val="00975362"/>
    <w:rsid w:val="00976CBA"/>
    <w:rsid w:val="00981EF5"/>
    <w:rsid w:val="0098340C"/>
    <w:rsid w:val="0098384E"/>
    <w:rsid w:val="00983CF9"/>
    <w:rsid w:val="009944AF"/>
    <w:rsid w:val="00994CEC"/>
    <w:rsid w:val="009968F0"/>
    <w:rsid w:val="009B3641"/>
    <w:rsid w:val="009B442C"/>
    <w:rsid w:val="009B449B"/>
    <w:rsid w:val="009B52E9"/>
    <w:rsid w:val="009C1810"/>
    <w:rsid w:val="009C4B65"/>
    <w:rsid w:val="009C7446"/>
    <w:rsid w:val="009C752A"/>
    <w:rsid w:val="009D7B10"/>
    <w:rsid w:val="009E0A22"/>
    <w:rsid w:val="009E14C9"/>
    <w:rsid w:val="009E1D43"/>
    <w:rsid w:val="009E460A"/>
    <w:rsid w:val="009E66E5"/>
    <w:rsid w:val="009F03FB"/>
    <w:rsid w:val="009F06BF"/>
    <w:rsid w:val="009F2D3E"/>
    <w:rsid w:val="00A17A72"/>
    <w:rsid w:val="00A202C5"/>
    <w:rsid w:val="00A23F2B"/>
    <w:rsid w:val="00A27BB4"/>
    <w:rsid w:val="00A34AD4"/>
    <w:rsid w:val="00A362F2"/>
    <w:rsid w:val="00A50DA6"/>
    <w:rsid w:val="00A50F97"/>
    <w:rsid w:val="00A527E9"/>
    <w:rsid w:val="00A52B94"/>
    <w:rsid w:val="00A536E6"/>
    <w:rsid w:val="00A5581A"/>
    <w:rsid w:val="00A60AE7"/>
    <w:rsid w:val="00A622E5"/>
    <w:rsid w:val="00A853CC"/>
    <w:rsid w:val="00A90001"/>
    <w:rsid w:val="00A9654D"/>
    <w:rsid w:val="00A97FFE"/>
    <w:rsid w:val="00AA1B91"/>
    <w:rsid w:val="00AA5129"/>
    <w:rsid w:val="00AB04C6"/>
    <w:rsid w:val="00AB0FD1"/>
    <w:rsid w:val="00AB380B"/>
    <w:rsid w:val="00AB5A76"/>
    <w:rsid w:val="00AB7EB0"/>
    <w:rsid w:val="00AC145C"/>
    <w:rsid w:val="00AC15DF"/>
    <w:rsid w:val="00AC2DCB"/>
    <w:rsid w:val="00AC3DCD"/>
    <w:rsid w:val="00AD1B90"/>
    <w:rsid w:val="00AD2237"/>
    <w:rsid w:val="00AD3CE6"/>
    <w:rsid w:val="00AD4908"/>
    <w:rsid w:val="00AD5E27"/>
    <w:rsid w:val="00AE1519"/>
    <w:rsid w:val="00AE5176"/>
    <w:rsid w:val="00AF6918"/>
    <w:rsid w:val="00B03CC5"/>
    <w:rsid w:val="00B05E49"/>
    <w:rsid w:val="00B072B9"/>
    <w:rsid w:val="00B10186"/>
    <w:rsid w:val="00B120F7"/>
    <w:rsid w:val="00B14B47"/>
    <w:rsid w:val="00B167D8"/>
    <w:rsid w:val="00B17474"/>
    <w:rsid w:val="00B17513"/>
    <w:rsid w:val="00B2108D"/>
    <w:rsid w:val="00B22BA6"/>
    <w:rsid w:val="00B2627D"/>
    <w:rsid w:val="00B3661E"/>
    <w:rsid w:val="00B3674A"/>
    <w:rsid w:val="00B427D5"/>
    <w:rsid w:val="00B46D38"/>
    <w:rsid w:val="00B509A8"/>
    <w:rsid w:val="00B51ADD"/>
    <w:rsid w:val="00B54864"/>
    <w:rsid w:val="00B553BD"/>
    <w:rsid w:val="00B61FEB"/>
    <w:rsid w:val="00B62FE0"/>
    <w:rsid w:val="00B6577F"/>
    <w:rsid w:val="00B7241A"/>
    <w:rsid w:val="00B73FFD"/>
    <w:rsid w:val="00B77CCA"/>
    <w:rsid w:val="00B839AD"/>
    <w:rsid w:val="00B83B73"/>
    <w:rsid w:val="00B84201"/>
    <w:rsid w:val="00BA02B8"/>
    <w:rsid w:val="00BB0FBF"/>
    <w:rsid w:val="00BB4354"/>
    <w:rsid w:val="00BC372B"/>
    <w:rsid w:val="00BC6FC6"/>
    <w:rsid w:val="00BD0E84"/>
    <w:rsid w:val="00BD1F2D"/>
    <w:rsid w:val="00BD389B"/>
    <w:rsid w:val="00BD39E5"/>
    <w:rsid w:val="00BD6A31"/>
    <w:rsid w:val="00BF11BD"/>
    <w:rsid w:val="00BF246A"/>
    <w:rsid w:val="00BF7ADC"/>
    <w:rsid w:val="00C00A7F"/>
    <w:rsid w:val="00C018A4"/>
    <w:rsid w:val="00C03DAC"/>
    <w:rsid w:val="00C04DE5"/>
    <w:rsid w:val="00C0704E"/>
    <w:rsid w:val="00C153E9"/>
    <w:rsid w:val="00C16C7D"/>
    <w:rsid w:val="00C17D78"/>
    <w:rsid w:val="00C23663"/>
    <w:rsid w:val="00C26C98"/>
    <w:rsid w:val="00C34632"/>
    <w:rsid w:val="00C4070A"/>
    <w:rsid w:val="00C529FD"/>
    <w:rsid w:val="00C5762E"/>
    <w:rsid w:val="00C607FE"/>
    <w:rsid w:val="00C619E9"/>
    <w:rsid w:val="00C639FA"/>
    <w:rsid w:val="00C64D33"/>
    <w:rsid w:val="00C65004"/>
    <w:rsid w:val="00C73FF6"/>
    <w:rsid w:val="00C74AB8"/>
    <w:rsid w:val="00C868DE"/>
    <w:rsid w:val="00C877AE"/>
    <w:rsid w:val="00C904A1"/>
    <w:rsid w:val="00C9659B"/>
    <w:rsid w:val="00CA7B7B"/>
    <w:rsid w:val="00CA7BAD"/>
    <w:rsid w:val="00CB3425"/>
    <w:rsid w:val="00CB399E"/>
    <w:rsid w:val="00CB3DA7"/>
    <w:rsid w:val="00CB483D"/>
    <w:rsid w:val="00CC24EC"/>
    <w:rsid w:val="00CC69CF"/>
    <w:rsid w:val="00CD5741"/>
    <w:rsid w:val="00CE1808"/>
    <w:rsid w:val="00CE46C0"/>
    <w:rsid w:val="00CE4E54"/>
    <w:rsid w:val="00CE682E"/>
    <w:rsid w:val="00CE760B"/>
    <w:rsid w:val="00CF038B"/>
    <w:rsid w:val="00CF3F4E"/>
    <w:rsid w:val="00CF4FCA"/>
    <w:rsid w:val="00D004D3"/>
    <w:rsid w:val="00D04288"/>
    <w:rsid w:val="00D04F2C"/>
    <w:rsid w:val="00D127A5"/>
    <w:rsid w:val="00D143D4"/>
    <w:rsid w:val="00D22B43"/>
    <w:rsid w:val="00D25B7A"/>
    <w:rsid w:val="00D27414"/>
    <w:rsid w:val="00D31F0A"/>
    <w:rsid w:val="00D42762"/>
    <w:rsid w:val="00D46595"/>
    <w:rsid w:val="00D51D78"/>
    <w:rsid w:val="00D542F2"/>
    <w:rsid w:val="00D56842"/>
    <w:rsid w:val="00D56D6E"/>
    <w:rsid w:val="00D57337"/>
    <w:rsid w:val="00D6020B"/>
    <w:rsid w:val="00D61466"/>
    <w:rsid w:val="00D6171A"/>
    <w:rsid w:val="00D66A29"/>
    <w:rsid w:val="00D67C64"/>
    <w:rsid w:val="00D749A1"/>
    <w:rsid w:val="00D76E10"/>
    <w:rsid w:val="00D7797C"/>
    <w:rsid w:val="00D82AA4"/>
    <w:rsid w:val="00D9698C"/>
    <w:rsid w:val="00D9791D"/>
    <w:rsid w:val="00DA6CD2"/>
    <w:rsid w:val="00DA7A0A"/>
    <w:rsid w:val="00DB0788"/>
    <w:rsid w:val="00DB25D0"/>
    <w:rsid w:val="00DB49C6"/>
    <w:rsid w:val="00DC12BA"/>
    <w:rsid w:val="00DC349C"/>
    <w:rsid w:val="00DC5528"/>
    <w:rsid w:val="00DC69BE"/>
    <w:rsid w:val="00DD33B7"/>
    <w:rsid w:val="00DD3413"/>
    <w:rsid w:val="00DE3D65"/>
    <w:rsid w:val="00DE7D36"/>
    <w:rsid w:val="00DF4307"/>
    <w:rsid w:val="00DF46A4"/>
    <w:rsid w:val="00DF6C3C"/>
    <w:rsid w:val="00DF7590"/>
    <w:rsid w:val="00DF7C1D"/>
    <w:rsid w:val="00E01EFC"/>
    <w:rsid w:val="00E0647F"/>
    <w:rsid w:val="00E145F9"/>
    <w:rsid w:val="00E24385"/>
    <w:rsid w:val="00E35E49"/>
    <w:rsid w:val="00E430E5"/>
    <w:rsid w:val="00E548AB"/>
    <w:rsid w:val="00E571C4"/>
    <w:rsid w:val="00E64105"/>
    <w:rsid w:val="00E6425E"/>
    <w:rsid w:val="00E66732"/>
    <w:rsid w:val="00E67857"/>
    <w:rsid w:val="00E77C5D"/>
    <w:rsid w:val="00E83A43"/>
    <w:rsid w:val="00E95269"/>
    <w:rsid w:val="00EA0DDB"/>
    <w:rsid w:val="00EA50C1"/>
    <w:rsid w:val="00EA771B"/>
    <w:rsid w:val="00EA79DF"/>
    <w:rsid w:val="00EB27B8"/>
    <w:rsid w:val="00EB4AEA"/>
    <w:rsid w:val="00EB647F"/>
    <w:rsid w:val="00EC2902"/>
    <w:rsid w:val="00EC4EEC"/>
    <w:rsid w:val="00EC5AAE"/>
    <w:rsid w:val="00EC764B"/>
    <w:rsid w:val="00ED1A09"/>
    <w:rsid w:val="00ED7A3A"/>
    <w:rsid w:val="00EE270D"/>
    <w:rsid w:val="00EE3251"/>
    <w:rsid w:val="00EE5521"/>
    <w:rsid w:val="00EE5E36"/>
    <w:rsid w:val="00F01BD5"/>
    <w:rsid w:val="00F02E00"/>
    <w:rsid w:val="00F10AD8"/>
    <w:rsid w:val="00F12695"/>
    <w:rsid w:val="00F12FC6"/>
    <w:rsid w:val="00F22BDB"/>
    <w:rsid w:val="00F2472C"/>
    <w:rsid w:val="00F32888"/>
    <w:rsid w:val="00F33189"/>
    <w:rsid w:val="00F3426E"/>
    <w:rsid w:val="00F37328"/>
    <w:rsid w:val="00F37874"/>
    <w:rsid w:val="00F46646"/>
    <w:rsid w:val="00F47447"/>
    <w:rsid w:val="00F56A38"/>
    <w:rsid w:val="00F61152"/>
    <w:rsid w:val="00F63148"/>
    <w:rsid w:val="00F6453F"/>
    <w:rsid w:val="00F677A1"/>
    <w:rsid w:val="00F77657"/>
    <w:rsid w:val="00F8109A"/>
    <w:rsid w:val="00F81CD7"/>
    <w:rsid w:val="00F82B2C"/>
    <w:rsid w:val="00F86CA9"/>
    <w:rsid w:val="00F9432E"/>
    <w:rsid w:val="00FA07B7"/>
    <w:rsid w:val="00FA534C"/>
    <w:rsid w:val="00FA567C"/>
    <w:rsid w:val="00FB1E3D"/>
    <w:rsid w:val="00FB3A55"/>
    <w:rsid w:val="00FE12B5"/>
    <w:rsid w:val="00FE378D"/>
    <w:rsid w:val="00FE4015"/>
    <w:rsid w:val="00FE498D"/>
    <w:rsid w:val="00FF1138"/>
    <w:rsid w:val="00FF36D8"/>
    <w:rsid w:val="00FF37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66930F"/>
  <w15:docId w15:val="{7D61B357-B186-4B5B-BA9D-B37126FC4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538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0538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BC372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C372B"/>
    <w:rPr>
      <w:sz w:val="20"/>
      <w:szCs w:val="20"/>
    </w:rPr>
  </w:style>
  <w:style w:type="character" w:styleId="EndnoteReference">
    <w:name w:val="endnote reference"/>
    <w:basedOn w:val="DefaultParagraphFont"/>
    <w:uiPriority w:val="99"/>
    <w:semiHidden/>
    <w:unhideWhenUsed/>
    <w:rsid w:val="00BC372B"/>
    <w:rPr>
      <w:vertAlign w:val="superscript"/>
    </w:rPr>
  </w:style>
  <w:style w:type="paragraph" w:styleId="BalloonText">
    <w:name w:val="Balloon Text"/>
    <w:basedOn w:val="Normal"/>
    <w:link w:val="BalloonTextChar"/>
    <w:uiPriority w:val="99"/>
    <w:semiHidden/>
    <w:unhideWhenUsed/>
    <w:rsid w:val="00B509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9A8"/>
    <w:rPr>
      <w:rFonts w:ascii="Segoe UI" w:hAnsi="Segoe UI" w:cs="Segoe UI"/>
      <w:sz w:val="18"/>
      <w:szCs w:val="18"/>
    </w:rPr>
  </w:style>
  <w:style w:type="paragraph" w:styleId="ListParagraph">
    <w:name w:val="List Paragraph"/>
    <w:basedOn w:val="Normal"/>
    <w:uiPriority w:val="34"/>
    <w:qFormat/>
    <w:rsid w:val="0094783A"/>
    <w:pPr>
      <w:suppressAutoHyphens/>
      <w:spacing w:after="0" w:line="240" w:lineRule="auto"/>
      <w:ind w:left="720"/>
      <w:contextualSpacing/>
    </w:pPr>
    <w:rPr>
      <w:rFonts w:ascii="Times New Roman" w:eastAsia="Times New Roman" w:hAnsi="Times New Roman" w:cs="Times New Roman"/>
      <w:sz w:val="20"/>
      <w:szCs w:val="20"/>
      <w:lang w:eastAsia="ar-SA"/>
    </w:rPr>
  </w:style>
  <w:style w:type="paragraph" w:styleId="Header">
    <w:name w:val="header"/>
    <w:basedOn w:val="Normal"/>
    <w:link w:val="HeaderChar"/>
    <w:unhideWhenUsed/>
    <w:rsid w:val="009D7B10"/>
    <w:pPr>
      <w:tabs>
        <w:tab w:val="center" w:pos="4536"/>
        <w:tab w:val="right" w:pos="9072"/>
      </w:tabs>
      <w:spacing w:after="0" w:line="240" w:lineRule="auto"/>
    </w:pPr>
  </w:style>
  <w:style w:type="character" w:customStyle="1" w:styleId="HeaderChar">
    <w:name w:val="Header Char"/>
    <w:basedOn w:val="DefaultParagraphFont"/>
    <w:link w:val="Header"/>
    <w:rsid w:val="009D7B10"/>
  </w:style>
  <w:style w:type="paragraph" w:styleId="Footer">
    <w:name w:val="footer"/>
    <w:basedOn w:val="Normal"/>
    <w:link w:val="FooterChar"/>
    <w:uiPriority w:val="99"/>
    <w:unhideWhenUsed/>
    <w:rsid w:val="009D7B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9D7B10"/>
  </w:style>
  <w:style w:type="character" w:styleId="CommentReference">
    <w:name w:val="annotation reference"/>
    <w:basedOn w:val="DefaultParagraphFont"/>
    <w:uiPriority w:val="99"/>
    <w:semiHidden/>
    <w:unhideWhenUsed/>
    <w:rsid w:val="00BB0FBF"/>
    <w:rPr>
      <w:sz w:val="16"/>
      <w:szCs w:val="16"/>
    </w:rPr>
  </w:style>
  <w:style w:type="paragraph" w:styleId="CommentText">
    <w:name w:val="annotation text"/>
    <w:basedOn w:val="Normal"/>
    <w:link w:val="CommentTextChar"/>
    <w:uiPriority w:val="99"/>
    <w:unhideWhenUsed/>
    <w:rsid w:val="00BB0FBF"/>
    <w:pPr>
      <w:spacing w:line="240" w:lineRule="auto"/>
    </w:pPr>
    <w:rPr>
      <w:sz w:val="20"/>
      <w:szCs w:val="20"/>
    </w:rPr>
  </w:style>
  <w:style w:type="character" w:customStyle="1" w:styleId="CommentTextChar">
    <w:name w:val="Comment Text Char"/>
    <w:basedOn w:val="DefaultParagraphFont"/>
    <w:link w:val="CommentText"/>
    <w:uiPriority w:val="99"/>
    <w:rsid w:val="00BB0FBF"/>
    <w:rPr>
      <w:sz w:val="20"/>
      <w:szCs w:val="20"/>
    </w:rPr>
  </w:style>
  <w:style w:type="paragraph" w:styleId="CommentSubject">
    <w:name w:val="annotation subject"/>
    <w:basedOn w:val="CommentText"/>
    <w:next w:val="CommentText"/>
    <w:link w:val="CommentSubjectChar"/>
    <w:uiPriority w:val="99"/>
    <w:semiHidden/>
    <w:unhideWhenUsed/>
    <w:rsid w:val="00BB0FBF"/>
    <w:rPr>
      <w:b/>
      <w:bCs/>
    </w:rPr>
  </w:style>
  <w:style w:type="character" w:customStyle="1" w:styleId="CommentSubjectChar">
    <w:name w:val="Comment Subject Char"/>
    <w:basedOn w:val="CommentTextChar"/>
    <w:link w:val="CommentSubject"/>
    <w:uiPriority w:val="99"/>
    <w:semiHidden/>
    <w:rsid w:val="00BB0FBF"/>
    <w:rPr>
      <w:b/>
      <w:bCs/>
      <w:sz w:val="20"/>
      <w:szCs w:val="20"/>
    </w:rPr>
  </w:style>
  <w:style w:type="paragraph" w:customStyle="1" w:styleId="Default">
    <w:name w:val="Default"/>
    <w:rsid w:val="00067FEF"/>
    <w:pPr>
      <w:autoSpaceDE w:val="0"/>
      <w:autoSpaceDN w:val="0"/>
      <w:adjustRightInd w:val="0"/>
      <w:spacing w:after="0" w:line="240" w:lineRule="auto"/>
    </w:pPr>
    <w:rPr>
      <w:rFonts w:ascii="Calibri" w:hAnsi="Calibri" w:cs="Calibri"/>
      <w:color w:val="000000"/>
      <w:sz w:val="24"/>
      <w:szCs w:val="24"/>
      <w:lang w:val="en-GB"/>
    </w:rPr>
  </w:style>
  <w:style w:type="paragraph" w:styleId="Revision">
    <w:name w:val="Revision"/>
    <w:hidden/>
    <w:uiPriority w:val="99"/>
    <w:semiHidden/>
    <w:rsid w:val="00BF246A"/>
    <w:pPr>
      <w:spacing w:after="0" w:line="240" w:lineRule="auto"/>
    </w:pPr>
  </w:style>
  <w:style w:type="paragraph" w:customStyle="1" w:styleId="GTDocID">
    <w:name w:val="GT DocID"/>
    <w:basedOn w:val="Normal"/>
    <w:next w:val="Normal"/>
    <w:link w:val="GTDocIDChar"/>
    <w:qFormat/>
    <w:rsid w:val="00134512"/>
    <w:rPr>
      <w:rFonts w:ascii="Arial" w:hAnsi="Arial"/>
      <w:i/>
      <w:noProof/>
      <w:sz w:val="16"/>
      <w:lang w:val="en-US"/>
    </w:rPr>
  </w:style>
  <w:style w:type="character" w:customStyle="1" w:styleId="GTDocIDChar">
    <w:name w:val="GT DocID Char"/>
    <w:basedOn w:val="DefaultParagraphFont"/>
    <w:link w:val="GTDocID"/>
    <w:rsid w:val="00134512"/>
    <w:rPr>
      <w:rFonts w:ascii="Arial" w:hAnsi="Arial"/>
      <w:i/>
      <w:noProof/>
      <w:sz w:val="16"/>
      <w:lang w:val="en-US"/>
    </w:rPr>
  </w:style>
  <w:style w:type="paragraph" w:customStyle="1" w:styleId="ScheduleHeading">
    <w:name w:val="Schedule Heading"/>
    <w:basedOn w:val="Normal"/>
    <w:next w:val="Normal"/>
    <w:rsid w:val="00497DD5"/>
    <w:pPr>
      <w:spacing w:after="360" w:line="300" w:lineRule="atLeast"/>
      <w:jc w:val="center"/>
    </w:pPr>
    <w:rPr>
      <w:rFonts w:ascii="Arial Bold" w:eastAsia="Times New Roman" w:hAnsi="Arial Bold" w:cs="Arial"/>
      <w:b/>
      <w:sz w:val="20"/>
      <w:szCs w:val="20"/>
      <w:lang w:val="en-GB" w:eastAsia="en-GB"/>
    </w:rPr>
  </w:style>
  <w:style w:type="character" w:customStyle="1" w:styleId="Heading1Char">
    <w:name w:val="Heading 1 Char"/>
    <w:basedOn w:val="DefaultParagraphFont"/>
    <w:link w:val="Heading1"/>
    <w:uiPriority w:val="9"/>
    <w:rsid w:val="0090538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05389"/>
    <w:rPr>
      <w:rFonts w:asciiTheme="majorHAnsi" w:eastAsiaTheme="majorEastAsia" w:hAnsiTheme="majorHAnsi" w:cstheme="majorBidi"/>
      <w:color w:val="365F91" w:themeColor="accent1" w:themeShade="BF"/>
      <w:sz w:val="26"/>
      <w:szCs w:val="26"/>
    </w:rPr>
  </w:style>
  <w:style w:type="paragraph" w:styleId="List">
    <w:name w:val="List"/>
    <w:basedOn w:val="Normal"/>
    <w:uiPriority w:val="99"/>
    <w:unhideWhenUsed/>
    <w:rsid w:val="00905389"/>
    <w:pPr>
      <w:ind w:left="360" w:hanging="360"/>
      <w:contextualSpacing/>
    </w:pPr>
  </w:style>
  <w:style w:type="paragraph" w:styleId="Caption">
    <w:name w:val="caption"/>
    <w:basedOn w:val="Normal"/>
    <w:next w:val="Normal"/>
    <w:uiPriority w:val="35"/>
    <w:unhideWhenUsed/>
    <w:qFormat/>
    <w:rsid w:val="00905389"/>
    <w:pPr>
      <w:spacing w:line="240" w:lineRule="auto"/>
    </w:pPr>
    <w:rPr>
      <w:i/>
      <w:iCs/>
      <w:color w:val="1F497D" w:themeColor="text2"/>
      <w:sz w:val="18"/>
      <w:szCs w:val="18"/>
    </w:rPr>
  </w:style>
  <w:style w:type="paragraph" w:styleId="BodyText">
    <w:name w:val="Body Text"/>
    <w:basedOn w:val="Normal"/>
    <w:link w:val="BodyTextChar"/>
    <w:uiPriority w:val="99"/>
    <w:unhideWhenUsed/>
    <w:rsid w:val="00905389"/>
    <w:pPr>
      <w:spacing w:after="120"/>
    </w:pPr>
  </w:style>
  <w:style w:type="character" w:customStyle="1" w:styleId="BodyTextChar">
    <w:name w:val="Body Text Char"/>
    <w:basedOn w:val="DefaultParagraphFont"/>
    <w:link w:val="BodyText"/>
    <w:uiPriority w:val="99"/>
    <w:rsid w:val="00905389"/>
  </w:style>
  <w:style w:type="paragraph" w:styleId="BodyTextIndent">
    <w:name w:val="Body Text Indent"/>
    <w:basedOn w:val="Normal"/>
    <w:link w:val="BodyTextIndentChar"/>
    <w:uiPriority w:val="99"/>
    <w:unhideWhenUsed/>
    <w:rsid w:val="00F10AD8"/>
    <w:pPr>
      <w:spacing w:after="120"/>
      <w:ind w:left="66"/>
      <w:jc w:val="both"/>
    </w:pPr>
    <w:rPr>
      <w:rFonts w:ascii="Arial" w:hAnsi="Arial" w:cs="Arial"/>
      <w:color w:val="000000"/>
    </w:rPr>
  </w:style>
  <w:style w:type="character" w:customStyle="1" w:styleId="BodyTextIndentChar">
    <w:name w:val="Body Text Indent Char"/>
    <w:basedOn w:val="DefaultParagraphFont"/>
    <w:link w:val="BodyTextIndent"/>
    <w:uiPriority w:val="99"/>
    <w:rsid w:val="00F10AD8"/>
    <w:rPr>
      <w:rFonts w:ascii="Arial" w:hAnsi="Arial" w:cs="Arial"/>
      <w:color w:val="000000"/>
    </w:rPr>
  </w:style>
  <w:style w:type="paragraph" w:styleId="BodyText2">
    <w:name w:val="Body Text 2"/>
    <w:basedOn w:val="Normal"/>
    <w:link w:val="BodyText2Char"/>
    <w:uiPriority w:val="99"/>
    <w:unhideWhenUsed/>
    <w:rsid w:val="00F10AD8"/>
    <w:pPr>
      <w:spacing w:before="240"/>
    </w:pPr>
    <w:rPr>
      <w:rFonts w:ascii="Arial" w:hAnsi="Arial" w:cs="Arial"/>
      <w:color w:val="000000"/>
      <w:sz w:val="20"/>
      <w:szCs w:val="20"/>
    </w:rPr>
  </w:style>
  <w:style w:type="character" w:customStyle="1" w:styleId="BodyText2Char">
    <w:name w:val="Body Text 2 Char"/>
    <w:basedOn w:val="DefaultParagraphFont"/>
    <w:link w:val="BodyText2"/>
    <w:uiPriority w:val="99"/>
    <w:rsid w:val="00F10AD8"/>
    <w:rPr>
      <w:rFonts w:ascii="Arial" w:hAnsi="Arial" w:cs="Arial"/>
      <w:color w:val="000000"/>
      <w:sz w:val="20"/>
      <w:szCs w:val="20"/>
    </w:rPr>
  </w:style>
  <w:style w:type="paragraph" w:styleId="BodyText3">
    <w:name w:val="Body Text 3"/>
    <w:basedOn w:val="Normal"/>
    <w:link w:val="BodyText3Char"/>
    <w:uiPriority w:val="99"/>
    <w:semiHidden/>
    <w:unhideWhenUsed/>
    <w:rsid w:val="008B4CCA"/>
    <w:pPr>
      <w:spacing w:after="120"/>
    </w:pPr>
    <w:rPr>
      <w:sz w:val="16"/>
      <w:szCs w:val="16"/>
    </w:rPr>
  </w:style>
  <w:style w:type="character" w:customStyle="1" w:styleId="BodyText3Char">
    <w:name w:val="Body Text 3 Char"/>
    <w:basedOn w:val="DefaultParagraphFont"/>
    <w:link w:val="BodyText3"/>
    <w:uiPriority w:val="99"/>
    <w:semiHidden/>
    <w:rsid w:val="008B4CCA"/>
    <w:rPr>
      <w:sz w:val="16"/>
      <w:szCs w:val="16"/>
    </w:rPr>
  </w:style>
  <w:style w:type="paragraph" w:customStyle="1" w:styleId="DocID">
    <w:name w:val="DocID"/>
    <w:basedOn w:val="Footer"/>
    <w:next w:val="Footer"/>
    <w:link w:val="DocIDChar"/>
    <w:rsid w:val="0098384E"/>
    <w:pPr>
      <w:tabs>
        <w:tab w:val="clear" w:pos="4536"/>
        <w:tab w:val="clear" w:pos="9072"/>
      </w:tabs>
      <w:autoSpaceDE w:val="0"/>
      <w:autoSpaceDN w:val="0"/>
      <w:adjustRightInd w:val="0"/>
    </w:pPr>
    <w:rPr>
      <w:rFonts w:ascii="Arial" w:eastAsia="Times New Roman" w:hAnsi="Arial" w:cs="Arial"/>
      <w:sz w:val="16"/>
      <w:szCs w:val="20"/>
      <w:lang w:eastAsia="pl-PL"/>
    </w:rPr>
  </w:style>
  <w:style w:type="character" w:customStyle="1" w:styleId="DocIDChar">
    <w:name w:val="DocID Char"/>
    <w:basedOn w:val="DefaultParagraphFont"/>
    <w:link w:val="DocID"/>
    <w:rsid w:val="0098384E"/>
    <w:rPr>
      <w:rFonts w:ascii="Arial" w:eastAsia="Times New Roman" w:hAnsi="Arial" w:cs="Arial"/>
      <w:sz w:val="16"/>
      <w:szCs w:val="20"/>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149791">
      <w:bodyDiv w:val="1"/>
      <w:marLeft w:val="0"/>
      <w:marRight w:val="0"/>
      <w:marTop w:val="0"/>
      <w:marBottom w:val="0"/>
      <w:divBdr>
        <w:top w:val="none" w:sz="0" w:space="0" w:color="auto"/>
        <w:left w:val="none" w:sz="0" w:space="0" w:color="auto"/>
        <w:bottom w:val="none" w:sz="0" w:space="0" w:color="auto"/>
        <w:right w:val="none" w:sz="0" w:space="0" w:color="auto"/>
      </w:divBdr>
    </w:div>
    <w:div w:id="626082088">
      <w:bodyDiv w:val="1"/>
      <w:marLeft w:val="0"/>
      <w:marRight w:val="0"/>
      <w:marTop w:val="0"/>
      <w:marBottom w:val="0"/>
      <w:divBdr>
        <w:top w:val="none" w:sz="0" w:space="0" w:color="auto"/>
        <w:left w:val="none" w:sz="0" w:space="0" w:color="auto"/>
        <w:bottom w:val="none" w:sz="0" w:space="0" w:color="auto"/>
        <w:right w:val="none" w:sz="0" w:space="0" w:color="auto"/>
      </w:divBdr>
    </w:div>
    <w:div w:id="1501503425">
      <w:bodyDiv w:val="1"/>
      <w:marLeft w:val="0"/>
      <w:marRight w:val="0"/>
      <w:marTop w:val="0"/>
      <w:marBottom w:val="0"/>
      <w:divBdr>
        <w:top w:val="none" w:sz="0" w:space="0" w:color="auto"/>
        <w:left w:val="none" w:sz="0" w:space="0" w:color="auto"/>
        <w:bottom w:val="none" w:sz="0" w:space="0" w:color="auto"/>
        <w:right w:val="none" w:sz="0" w:space="0" w:color="auto"/>
      </w:divBdr>
    </w:div>
    <w:div w:id="1565947698">
      <w:bodyDiv w:val="1"/>
      <w:marLeft w:val="0"/>
      <w:marRight w:val="0"/>
      <w:marTop w:val="0"/>
      <w:marBottom w:val="0"/>
      <w:divBdr>
        <w:top w:val="none" w:sz="0" w:space="0" w:color="auto"/>
        <w:left w:val="none" w:sz="0" w:space="0" w:color="auto"/>
        <w:bottom w:val="none" w:sz="0" w:space="0" w:color="auto"/>
        <w:right w:val="none" w:sz="0" w:space="0" w:color="auto"/>
      </w:divBdr>
    </w:div>
    <w:div w:id="1788699956">
      <w:bodyDiv w:val="1"/>
      <w:marLeft w:val="0"/>
      <w:marRight w:val="0"/>
      <w:marTop w:val="0"/>
      <w:marBottom w:val="0"/>
      <w:divBdr>
        <w:top w:val="none" w:sz="0" w:space="0" w:color="auto"/>
        <w:left w:val="none" w:sz="0" w:space="0" w:color="auto"/>
        <w:bottom w:val="none" w:sz="0" w:space="0" w:color="auto"/>
        <w:right w:val="none" w:sz="0" w:space="0" w:color="auto"/>
      </w:divBdr>
    </w:div>
    <w:div w:id="180507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RZDMS!110696593.2</documentid>
  <senderid>FILIP.LESNIAK</senderid>
  <senderemail>FILIP.LESNIAK@RZMLAW.COM</senderemail>
  <lastmodified>2026-04-21T12:52:00.0000000+02:00</lastmodified>
  <database>RZDMS</database>
</properties>
</file>

<file path=customXml/itemProps1.xml><?xml version="1.0" encoding="utf-8"?>
<ds:datastoreItem xmlns:ds="http://schemas.openxmlformats.org/officeDocument/2006/customXml" ds:itemID="{D3ACADEE-77AA-44AC-B548-83D0816F3FCE}">
  <ds:schemaRefs>
    <ds:schemaRef ds:uri="http://schemas.openxmlformats.org/officeDocument/2006/bibliography"/>
  </ds:schemaRefs>
</ds:datastoreItem>
</file>

<file path=customXml/itemProps2.xml><?xml version="1.0" encoding="utf-8"?>
<ds:datastoreItem xmlns:ds="http://schemas.openxmlformats.org/officeDocument/2006/customXml" ds:itemID="{D72EDA4B-0B9F-4798-B71A-0EA665391CCA}">
  <ds:schemaRefs>
    <ds:schemaRef ds:uri="http://www.imanage.com/work/xmlschema"/>
  </ds:schemaRefs>
</ds:datastoreItem>
</file>

<file path=docMetadata/LabelInfo.xml><?xml version="1.0" encoding="utf-8"?>
<clbl:labelList xmlns:clbl="http://schemas.microsoft.com/office/2020/mipLabelMetadata">
  <clbl:label id="{7c496a01-b53f-4f6e-bd59-00032e6551e7}" enabled="0" method="" siteId="{7c496a01-b53f-4f6e-bd59-00032e6551e7}"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5147</Words>
  <Characters>29340</Characters>
  <Application>Microsoft Office Word</Application>
  <DocSecurity>0</DocSecurity>
  <Lines>244</Lines>
  <Paragraphs>68</Paragraphs>
  <ScaleCrop>false</ScaleCrop>
  <Company/>
  <LinksUpToDate>false</LinksUpToDate>
  <CharactersWithSpaces>34419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Marta Dabrowska</cp:lastModifiedBy>
  <cp:revision>2</cp:revision>
  <cp:lastPrinted>2026-04-24T04:00:00Z</cp:lastPrinted>
  <dcterms:created xsi:type="dcterms:W3CDTF">2026-04-24T04:00:00Z</dcterms:created>
  <dcterms:modified xsi:type="dcterms:W3CDTF">2026-04-24T19:19:00Z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WAW 3400591v8</vt:lpwstr>
  </property>
  <property fmtid="{D5CDD505-2E9C-101B-9397-08002B2CF9AE}" pid="3" name="CUS_DocIDString">
    <vt:lpwstr>WAW 4158339v8</vt:lpwstr>
  </property>
  <property fmtid="{D5CDD505-2E9C-101B-9397-08002B2CF9AE}" pid="4" name="CUS_DocIDChunk0">
    <vt:lpwstr>WAW 4158339v8</vt:lpwstr>
  </property>
  <property fmtid="{D5CDD505-2E9C-101B-9397-08002B2CF9AE}" pid="5" name="CUS_DocIDActiveBits">
    <vt:lpwstr>100352</vt:lpwstr>
  </property>
  <property fmtid="{D5CDD505-2E9C-101B-9397-08002B2CF9AE}" pid="6" name="CUS_DocIDLocation">
    <vt:lpwstr>EVERY_PAGE</vt:lpwstr>
  </property>
  <property fmtid="{D5CDD505-2E9C-101B-9397-08002B2CF9AE}" pid="7" name="CUS_DocIDReference">
    <vt:lpwstr>everyPage</vt:lpwstr>
  </property>
</Properties>
</file>