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34F" w14:textId="77777777" w:rsidR="009E1D43" w:rsidRPr="002101ED" w:rsidRDefault="00DB0829" w:rsidP="00497DD5">
      <w:pPr>
        <w:autoSpaceDE w:val="0"/>
        <w:autoSpaceDN w:val="0"/>
        <w:adjustRightInd w:val="0"/>
        <w:spacing w:before="240" w:after="120" w:line="240" w:lineRule="auto"/>
        <w:jc w:val="center"/>
        <w:rPr>
          <w:rFonts w:ascii="Arial" w:hAnsi="Arial" w:cs="Arial"/>
          <w:b/>
          <w:bCs/>
          <w:lang w:val="en-US"/>
        </w:rPr>
      </w:pPr>
      <w:bookmarkStart w:id="0" w:name="_Hlk136019368"/>
      <w:r w:rsidRPr="002101ED">
        <w:rPr>
          <w:rFonts w:ascii="Arial" w:hAnsi="Arial" w:cs="Arial"/>
          <w:b/>
          <w:bCs/>
          <w:lang w:val="en-US"/>
        </w:rPr>
        <w:t>BOOK</w:t>
      </w:r>
      <w:r w:rsidR="00B63F69" w:rsidRPr="002101ED">
        <w:rPr>
          <w:rFonts w:ascii="Arial" w:hAnsi="Arial" w:cs="Arial"/>
          <w:b/>
          <w:bCs/>
          <w:lang w:val="en-US"/>
        </w:rPr>
        <w:t xml:space="preserve"> </w:t>
      </w:r>
      <w:r w:rsidRPr="002101ED">
        <w:rPr>
          <w:rFonts w:ascii="Arial" w:hAnsi="Arial" w:cs="Arial"/>
          <w:b/>
          <w:bCs/>
          <w:lang w:val="en-US"/>
        </w:rPr>
        <w:t xml:space="preserve">BUILDING AND </w:t>
      </w:r>
      <w:r w:rsidR="009E1D43" w:rsidRPr="002101ED">
        <w:rPr>
          <w:rFonts w:ascii="Arial" w:hAnsi="Arial" w:cs="Arial"/>
          <w:b/>
          <w:bCs/>
          <w:lang w:val="en-US"/>
        </w:rPr>
        <w:t>SUBSCRIPTION RULES</w:t>
      </w:r>
      <w:r w:rsidR="009E1D43" w:rsidRPr="002101ED">
        <w:rPr>
          <w:rFonts w:ascii="Arial" w:hAnsi="Arial" w:cs="Arial"/>
          <w:lang w:val="en-US"/>
        </w:rPr>
        <w:br/>
      </w:r>
      <w:r w:rsidR="009E1D43" w:rsidRPr="002101ED">
        <w:rPr>
          <w:rFonts w:ascii="Arial" w:hAnsi="Arial" w:cs="Arial"/>
          <w:b/>
          <w:bCs/>
          <w:lang w:val="en-US"/>
        </w:rPr>
        <w:t xml:space="preserve">for </w:t>
      </w:r>
      <w:r w:rsidRPr="002101ED">
        <w:rPr>
          <w:rFonts w:ascii="Arial" w:hAnsi="Arial" w:cs="Arial"/>
          <w:b/>
          <w:bCs/>
          <w:lang w:val="en-US"/>
        </w:rPr>
        <w:t xml:space="preserve">the considered </w:t>
      </w:r>
      <w:r w:rsidR="009E1D43" w:rsidRPr="002101ED">
        <w:rPr>
          <w:rFonts w:ascii="Arial" w:hAnsi="Arial" w:cs="Arial"/>
          <w:b/>
          <w:bCs/>
          <w:lang w:val="en-US"/>
        </w:rPr>
        <w:t xml:space="preserve">Series </w:t>
      </w:r>
      <w:r w:rsidR="001D3A16">
        <w:rPr>
          <w:rFonts w:ascii="Arial" w:hAnsi="Arial" w:cs="Arial"/>
          <w:b/>
          <w:bCs/>
          <w:lang w:val="en-US"/>
        </w:rPr>
        <w:t>I</w:t>
      </w:r>
      <w:r w:rsidR="009E1D43" w:rsidRPr="002101ED">
        <w:rPr>
          <w:rFonts w:ascii="Arial" w:hAnsi="Arial" w:cs="Arial"/>
          <w:b/>
          <w:bCs/>
          <w:lang w:val="en-US"/>
        </w:rPr>
        <w:t xml:space="preserve"> ordinary bearer shares to be issued and offered by</w:t>
      </w:r>
      <w:r w:rsidR="009E1D43" w:rsidRPr="002101ED">
        <w:rPr>
          <w:rFonts w:ascii="Arial" w:hAnsi="Arial" w:cs="Arial"/>
          <w:lang w:val="en-US"/>
        </w:rPr>
        <w:br/>
      </w:r>
      <w:r w:rsidR="009E1D43" w:rsidRPr="002101ED">
        <w:rPr>
          <w:rFonts w:ascii="Arial" w:hAnsi="Arial" w:cs="Arial"/>
          <w:b/>
          <w:bCs/>
          <w:lang w:val="en-US"/>
        </w:rPr>
        <w:t>PCF Group S.A. with its registered office in Warsaw</w:t>
      </w:r>
    </w:p>
    <w:bookmarkEnd w:id="0"/>
    <w:p w14:paraId="63751B05" w14:textId="77777777" w:rsidR="009E1D43"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This document (the “</w:t>
      </w:r>
      <w:r w:rsidR="00DB0829" w:rsidRPr="002101ED">
        <w:rPr>
          <w:rFonts w:ascii="Arial" w:hAnsi="Arial" w:cs="Arial"/>
          <w:b/>
          <w:bCs/>
          <w:color w:val="000000"/>
          <w:lang w:val="en-US"/>
        </w:rPr>
        <w:t>Book</w:t>
      </w:r>
      <w:r w:rsidR="00B63F69" w:rsidRPr="002101ED">
        <w:rPr>
          <w:rFonts w:ascii="Arial" w:hAnsi="Arial" w:cs="Arial"/>
          <w:b/>
          <w:bCs/>
          <w:color w:val="000000"/>
          <w:lang w:val="en-US"/>
        </w:rPr>
        <w:t xml:space="preserve"> Building</w:t>
      </w:r>
      <w:r w:rsidR="00DB0829" w:rsidRPr="002101ED">
        <w:rPr>
          <w:rFonts w:ascii="Arial" w:hAnsi="Arial" w:cs="Arial"/>
          <w:b/>
          <w:bCs/>
          <w:color w:val="000000"/>
          <w:lang w:val="en-US"/>
        </w:rPr>
        <w:t xml:space="preserve"> and </w:t>
      </w:r>
      <w:r w:rsidRPr="002101ED">
        <w:rPr>
          <w:rFonts w:ascii="Arial" w:hAnsi="Arial" w:cs="Arial"/>
          <w:b/>
          <w:bCs/>
          <w:color w:val="000000"/>
          <w:lang w:val="en-US"/>
        </w:rPr>
        <w:t>Subscription Rules</w:t>
      </w:r>
      <w:r w:rsidRPr="002101ED">
        <w:rPr>
          <w:rFonts w:ascii="Arial" w:hAnsi="Arial" w:cs="Arial"/>
          <w:color w:val="000000"/>
          <w:lang w:val="en-US"/>
        </w:rPr>
        <w:t>”) has been prepared by PCF Group Spółka Akcyjna</w:t>
      </w:r>
      <w:r w:rsidRPr="002101ED">
        <w:rPr>
          <w:rFonts w:ascii="Arial" w:hAnsi="Arial" w:cs="Arial"/>
          <w:lang w:val="en-US"/>
        </w:rPr>
        <w:t xml:space="preserve"> with its registered office in Warsaw, </w:t>
      </w:r>
      <w:r w:rsidRPr="002101ED">
        <w:rPr>
          <w:rFonts w:ascii="Arial" w:hAnsi="Arial" w:cs="Arial"/>
          <w:color w:val="000000"/>
          <w:lang w:val="en-US"/>
        </w:rPr>
        <w:t xml:space="preserve">address: Aleja "Solidarności" 171, 00-877 Warsaw, </w:t>
      </w:r>
      <w:r w:rsidRPr="002101ED">
        <w:rPr>
          <w:rFonts w:ascii="Arial" w:hAnsi="Arial" w:cs="Arial"/>
          <w:lang w:val="en-US"/>
        </w:rPr>
        <w:t xml:space="preserve">entered in the Register of Entrepreneurs of the National Court Register kept by the District Court for the Capital City of Warsaw in Warsaw, XIII Commercial Division of the National Court Register under number 0000812668, tax identification number NIP 5213451404, with the fully paid up share capital of PLN </w:t>
      </w:r>
      <w:r w:rsidR="00AB249C" w:rsidRPr="002B1656">
        <w:rPr>
          <w:rFonts w:ascii="Arial" w:hAnsi="Arial" w:cs="Arial"/>
          <w:lang w:val="en-US"/>
        </w:rPr>
        <w:t>852</w:t>
      </w:r>
      <w:r w:rsidR="00AB249C">
        <w:rPr>
          <w:rFonts w:ascii="Arial" w:hAnsi="Arial" w:cs="Arial"/>
          <w:lang w:val="en-US"/>
        </w:rPr>
        <w:t>,</w:t>
      </w:r>
      <w:r w:rsidR="00AB249C" w:rsidRPr="002B1656">
        <w:rPr>
          <w:rFonts w:ascii="Arial" w:hAnsi="Arial" w:cs="Arial"/>
          <w:lang w:val="en-US"/>
        </w:rPr>
        <w:t>205</w:t>
      </w:r>
      <w:r w:rsidR="00AB249C">
        <w:rPr>
          <w:rFonts w:ascii="Arial" w:hAnsi="Arial" w:cs="Arial"/>
          <w:lang w:val="en-US"/>
        </w:rPr>
        <w:t>.</w:t>
      </w:r>
      <w:r w:rsidR="00AB249C" w:rsidRPr="002B1656">
        <w:rPr>
          <w:rFonts w:ascii="Arial" w:hAnsi="Arial" w:cs="Arial"/>
          <w:lang w:val="en-US"/>
        </w:rPr>
        <w:t xml:space="preserve">42 </w:t>
      </w:r>
      <w:r w:rsidRPr="002101ED">
        <w:rPr>
          <w:rFonts w:ascii="Arial" w:hAnsi="Arial" w:cs="Arial"/>
          <w:lang w:val="en-US"/>
        </w:rPr>
        <w:t>(the “</w:t>
      </w:r>
      <w:r w:rsidRPr="002101ED">
        <w:rPr>
          <w:rFonts w:ascii="Arial" w:hAnsi="Arial" w:cs="Arial"/>
          <w:b/>
          <w:bCs/>
          <w:lang w:val="en-US"/>
        </w:rPr>
        <w:t>Issuer</w:t>
      </w:r>
      <w:r w:rsidRPr="002101ED">
        <w:rPr>
          <w:rFonts w:ascii="Arial" w:hAnsi="Arial" w:cs="Arial"/>
          <w:lang w:val="en-US"/>
        </w:rPr>
        <w:t>” or the “</w:t>
      </w:r>
      <w:r w:rsidRPr="002101ED">
        <w:rPr>
          <w:rFonts w:ascii="Arial" w:hAnsi="Arial" w:cs="Arial"/>
          <w:b/>
          <w:bCs/>
          <w:lang w:val="en-US"/>
        </w:rPr>
        <w:t>Company”</w:t>
      </w:r>
      <w:r w:rsidRPr="002101ED">
        <w:rPr>
          <w:rFonts w:ascii="Arial" w:hAnsi="Arial" w:cs="Arial"/>
          <w:lang w:val="en-US"/>
        </w:rPr>
        <w:t>),</w:t>
      </w:r>
      <w:r w:rsidRPr="002101ED">
        <w:rPr>
          <w:rFonts w:ascii="Arial" w:hAnsi="Arial" w:cs="Arial"/>
          <w:color w:val="000000"/>
          <w:lang w:val="en-US"/>
        </w:rPr>
        <w:t xml:space="preserve"> </w:t>
      </w:r>
      <w:r w:rsidR="00DB0829" w:rsidRPr="002101ED">
        <w:rPr>
          <w:rFonts w:ascii="Arial" w:hAnsi="Arial" w:cs="Arial"/>
          <w:color w:val="000000"/>
          <w:lang w:val="en-US"/>
        </w:rPr>
        <w:t>for the purposes of the considered</w:t>
      </w:r>
      <w:r w:rsidRPr="002101ED">
        <w:rPr>
          <w:rFonts w:ascii="Arial" w:hAnsi="Arial" w:cs="Arial"/>
          <w:color w:val="000000"/>
          <w:lang w:val="en-US"/>
        </w:rPr>
        <w:t xml:space="preserve"> </w:t>
      </w:r>
      <w:r w:rsidR="00DB0829" w:rsidRPr="002101ED">
        <w:rPr>
          <w:rFonts w:ascii="Arial" w:hAnsi="Arial" w:cs="Arial"/>
          <w:color w:val="000000"/>
          <w:lang w:val="en-US"/>
        </w:rPr>
        <w:t xml:space="preserve">issue </w:t>
      </w:r>
      <w:r w:rsidRPr="002101ED">
        <w:rPr>
          <w:rFonts w:ascii="Arial" w:hAnsi="Arial" w:cs="Arial"/>
          <w:color w:val="000000"/>
          <w:lang w:val="en-US"/>
        </w:rPr>
        <w:t xml:space="preserve">and public offering of not less than one and not more than </w:t>
      </w:r>
      <w:r w:rsidR="00AB249C" w:rsidRPr="002B1656">
        <w:rPr>
          <w:rFonts w:ascii="Arial" w:hAnsi="Arial" w:cs="Arial"/>
          <w:color w:val="000000"/>
          <w:lang w:val="en-US"/>
        </w:rPr>
        <w:t>4</w:t>
      </w:r>
      <w:r w:rsidR="00AB249C">
        <w:rPr>
          <w:rFonts w:ascii="Arial" w:hAnsi="Arial" w:cs="Arial"/>
          <w:color w:val="000000"/>
          <w:lang w:val="en-US"/>
        </w:rPr>
        <w:t>,</w:t>
      </w:r>
      <w:r w:rsidR="00AB249C" w:rsidRPr="002B1656">
        <w:rPr>
          <w:rFonts w:ascii="Arial" w:hAnsi="Arial" w:cs="Arial"/>
          <w:color w:val="000000"/>
          <w:lang w:val="en-US"/>
        </w:rPr>
        <w:t>112</w:t>
      </w:r>
      <w:r w:rsidR="00AB249C">
        <w:rPr>
          <w:rFonts w:ascii="Arial" w:hAnsi="Arial" w:cs="Arial"/>
          <w:color w:val="000000"/>
          <w:lang w:val="en-US"/>
        </w:rPr>
        <w:t>,</w:t>
      </w:r>
      <w:r w:rsidR="00AB249C" w:rsidRPr="002B1656">
        <w:rPr>
          <w:rFonts w:ascii="Arial" w:hAnsi="Arial" w:cs="Arial"/>
          <w:color w:val="000000"/>
          <w:lang w:val="en-US"/>
        </w:rPr>
        <w:t xml:space="preserve">081 </w:t>
      </w:r>
      <w:r w:rsidRPr="002101ED">
        <w:rPr>
          <w:rFonts w:ascii="Arial" w:hAnsi="Arial" w:cs="Arial"/>
          <w:color w:val="000000"/>
          <w:lang w:val="en-US"/>
        </w:rPr>
        <w:t xml:space="preserve">Series </w:t>
      </w:r>
      <w:r w:rsidR="00AB249C">
        <w:rPr>
          <w:rFonts w:ascii="Arial" w:hAnsi="Arial" w:cs="Arial"/>
          <w:color w:val="000000"/>
          <w:lang w:val="en-US"/>
        </w:rPr>
        <w:t>I</w:t>
      </w:r>
      <w:r w:rsidRPr="002101ED">
        <w:rPr>
          <w:rFonts w:ascii="Arial" w:hAnsi="Arial" w:cs="Arial"/>
          <w:color w:val="000000"/>
          <w:lang w:val="en-US"/>
        </w:rPr>
        <w:t xml:space="preserve"> ordinary bearer shares with the nominal value of PLN 0.02 each (the “</w:t>
      </w:r>
      <w:r w:rsidRPr="002101ED">
        <w:rPr>
          <w:rFonts w:ascii="Arial" w:hAnsi="Arial" w:cs="Arial"/>
          <w:b/>
          <w:bCs/>
          <w:color w:val="000000"/>
          <w:lang w:val="en-US"/>
        </w:rPr>
        <w:t xml:space="preserve">Series </w:t>
      </w:r>
      <w:r w:rsidR="00C50393">
        <w:rPr>
          <w:rFonts w:ascii="Arial" w:hAnsi="Arial" w:cs="Arial"/>
          <w:b/>
          <w:bCs/>
          <w:color w:val="000000"/>
          <w:lang w:val="en-US"/>
        </w:rPr>
        <w:t>I</w:t>
      </w:r>
      <w:r w:rsidRPr="002101ED">
        <w:rPr>
          <w:rFonts w:ascii="Arial" w:hAnsi="Arial" w:cs="Arial"/>
          <w:b/>
          <w:bCs/>
          <w:color w:val="000000"/>
          <w:lang w:val="en-US"/>
        </w:rPr>
        <w:t xml:space="preserve"> Shares</w:t>
      </w:r>
      <w:r w:rsidRPr="002101ED">
        <w:rPr>
          <w:rFonts w:ascii="Arial" w:hAnsi="Arial" w:cs="Arial"/>
          <w:color w:val="000000"/>
          <w:lang w:val="en-US"/>
        </w:rPr>
        <w:t>” or the “</w:t>
      </w:r>
      <w:r w:rsidRPr="002101ED">
        <w:rPr>
          <w:rFonts w:ascii="Arial" w:hAnsi="Arial" w:cs="Arial"/>
          <w:b/>
          <w:bCs/>
          <w:color w:val="000000"/>
          <w:lang w:val="en-US"/>
        </w:rPr>
        <w:t>Offer Shares</w:t>
      </w:r>
      <w:r w:rsidRPr="002101ED">
        <w:rPr>
          <w:rFonts w:ascii="Arial" w:hAnsi="Arial" w:cs="Arial"/>
          <w:color w:val="000000"/>
          <w:lang w:val="en-US"/>
        </w:rPr>
        <w:t>”) and the introduction to trading on the regulated market operated by the Warsaw Stock Exchange (the “</w:t>
      </w:r>
      <w:r w:rsidRPr="002101ED">
        <w:rPr>
          <w:rFonts w:ascii="Arial" w:hAnsi="Arial" w:cs="Arial"/>
          <w:b/>
          <w:bCs/>
          <w:color w:val="000000"/>
          <w:lang w:val="en-US"/>
        </w:rPr>
        <w:t>WSE</w:t>
      </w:r>
      <w:r w:rsidRPr="002101ED">
        <w:rPr>
          <w:rFonts w:ascii="Arial" w:hAnsi="Arial" w:cs="Arial"/>
          <w:color w:val="000000"/>
          <w:lang w:val="en-US"/>
        </w:rPr>
        <w:t>”) of the Offer Shares.</w:t>
      </w:r>
    </w:p>
    <w:p w14:paraId="1E9A6942" w14:textId="77777777" w:rsidR="00905389" w:rsidRPr="002101ED" w:rsidRDefault="00905389" w:rsidP="00905389">
      <w:pPr>
        <w:autoSpaceDE w:val="0"/>
        <w:autoSpaceDN w:val="0"/>
        <w:adjustRightInd w:val="0"/>
        <w:spacing w:after="120" w:line="240" w:lineRule="auto"/>
        <w:jc w:val="both"/>
        <w:rPr>
          <w:rFonts w:ascii="Arial" w:hAnsi="Arial" w:cs="Arial"/>
          <w:b/>
          <w:bCs/>
          <w:color w:val="000000"/>
          <w:lang w:val="en-US"/>
        </w:rPr>
      </w:pPr>
      <w:r w:rsidRPr="002101ED">
        <w:rPr>
          <w:rFonts w:ascii="Arial" w:hAnsi="Arial" w:cs="Arial"/>
          <w:b/>
          <w:bCs/>
          <w:color w:val="000000"/>
          <w:lang w:val="en-US"/>
        </w:rPr>
        <w:t xml:space="preserve">These </w:t>
      </w:r>
      <w:r w:rsidR="00E7191B" w:rsidRPr="002101ED">
        <w:rPr>
          <w:rFonts w:ascii="Arial" w:hAnsi="Arial" w:cs="Arial"/>
          <w:b/>
          <w:bCs/>
          <w:color w:val="000000"/>
          <w:lang w:val="en-US"/>
        </w:rPr>
        <w:t xml:space="preserve">Book Building and </w:t>
      </w:r>
      <w:r w:rsidRPr="002101ED">
        <w:rPr>
          <w:rFonts w:ascii="Arial" w:hAnsi="Arial" w:cs="Arial"/>
          <w:b/>
          <w:bCs/>
          <w:color w:val="000000"/>
          <w:lang w:val="en-US"/>
        </w:rPr>
        <w:t xml:space="preserve">Subscription Rules are for information purposes only, and the Company only makes them available to provide the most relevant information on the terms and conditions of </w:t>
      </w:r>
      <w:r w:rsidR="00B63F69" w:rsidRPr="002101ED">
        <w:rPr>
          <w:rFonts w:ascii="Arial" w:hAnsi="Arial" w:cs="Arial"/>
          <w:b/>
          <w:bCs/>
          <w:color w:val="000000"/>
          <w:lang w:val="en-US"/>
        </w:rPr>
        <w:t xml:space="preserve">book building and </w:t>
      </w:r>
      <w:r w:rsidRPr="002101ED">
        <w:rPr>
          <w:rFonts w:ascii="Arial" w:hAnsi="Arial" w:cs="Arial"/>
          <w:b/>
          <w:bCs/>
          <w:color w:val="000000"/>
          <w:lang w:val="en-US"/>
        </w:rPr>
        <w:t>subscription for the Offer Shares, and actions to be taken by or on behalf of the Company in connection with the subscription for the Offer Shares</w:t>
      </w:r>
      <w:r w:rsidR="00B63F69" w:rsidRPr="002101ED">
        <w:rPr>
          <w:rFonts w:ascii="Arial" w:hAnsi="Arial" w:cs="Arial"/>
          <w:b/>
          <w:bCs/>
          <w:color w:val="000000"/>
          <w:lang w:val="en-US"/>
        </w:rPr>
        <w:t xml:space="preserve"> upon the Management Board’s resolution on the issue of Series </w:t>
      </w:r>
      <w:r w:rsidR="00C50393">
        <w:rPr>
          <w:rFonts w:ascii="Arial" w:hAnsi="Arial" w:cs="Arial"/>
          <w:b/>
          <w:bCs/>
          <w:color w:val="000000"/>
          <w:lang w:val="en-US"/>
        </w:rPr>
        <w:t>I</w:t>
      </w:r>
      <w:r w:rsidR="00B63F69" w:rsidRPr="002101ED">
        <w:rPr>
          <w:rFonts w:ascii="Arial" w:hAnsi="Arial" w:cs="Arial"/>
          <w:b/>
          <w:bCs/>
          <w:color w:val="000000"/>
          <w:lang w:val="en-US"/>
        </w:rPr>
        <w:t xml:space="preserve"> Shares</w:t>
      </w:r>
      <w:r w:rsidRPr="002101ED">
        <w:rPr>
          <w:rFonts w:ascii="Arial" w:hAnsi="Arial" w:cs="Arial"/>
          <w:b/>
          <w:bCs/>
          <w:color w:val="000000"/>
          <w:lang w:val="en-US"/>
        </w:rPr>
        <w:t>.</w:t>
      </w:r>
      <w:r w:rsidR="0089259F" w:rsidRPr="002101ED">
        <w:rPr>
          <w:rFonts w:ascii="Arial" w:hAnsi="Arial" w:cs="Arial"/>
          <w:b/>
          <w:bCs/>
          <w:color w:val="000000"/>
          <w:lang w:val="en-US"/>
        </w:rPr>
        <w:t xml:space="preserve"> </w:t>
      </w:r>
      <w:r w:rsidRPr="002101ED">
        <w:rPr>
          <w:rFonts w:ascii="Arial" w:hAnsi="Arial" w:cs="Arial"/>
          <w:b/>
          <w:bCs/>
          <w:color w:val="000000"/>
          <w:lang w:val="en-US"/>
        </w:rPr>
        <w:t xml:space="preserve">These </w:t>
      </w:r>
      <w:r w:rsidR="00B63F69" w:rsidRPr="002101ED">
        <w:rPr>
          <w:rFonts w:ascii="Arial" w:hAnsi="Arial" w:cs="Arial"/>
          <w:b/>
          <w:bCs/>
          <w:color w:val="000000"/>
          <w:lang w:val="en-US"/>
        </w:rPr>
        <w:t>Book</w:t>
      </w:r>
      <w:r w:rsidR="00BC1946" w:rsidRPr="002101ED">
        <w:rPr>
          <w:rFonts w:ascii="Arial" w:hAnsi="Arial" w:cs="Arial"/>
          <w:b/>
          <w:bCs/>
          <w:color w:val="000000"/>
          <w:lang w:val="en-US"/>
        </w:rPr>
        <w:t xml:space="preserve"> B</w:t>
      </w:r>
      <w:r w:rsidR="00B63F69" w:rsidRPr="002101ED">
        <w:rPr>
          <w:rFonts w:ascii="Arial" w:hAnsi="Arial" w:cs="Arial"/>
          <w:b/>
          <w:bCs/>
          <w:color w:val="000000"/>
          <w:lang w:val="en-US"/>
        </w:rPr>
        <w:t xml:space="preserve">uilding and </w:t>
      </w:r>
      <w:r w:rsidRPr="002101ED">
        <w:rPr>
          <w:rFonts w:ascii="Arial" w:hAnsi="Arial" w:cs="Arial"/>
          <w:b/>
          <w:bCs/>
          <w:color w:val="000000"/>
          <w:lang w:val="en-US"/>
        </w:rPr>
        <w:t xml:space="preserve">Subscription Rules are not intended in any way, directly or indirectly, to promote subscription for the Offer Shares and they do not constitute promotional materials prepared or published by the Company or any investment firm to promote the Offer Shares or to encourage, directly or indirectly, their subscription or acquisition. The Company has not published, and does not intend to publish after the date of these </w:t>
      </w:r>
      <w:r w:rsidR="00BC1946" w:rsidRPr="002101ED">
        <w:rPr>
          <w:rFonts w:ascii="Arial" w:hAnsi="Arial" w:cs="Arial"/>
          <w:b/>
          <w:bCs/>
          <w:color w:val="000000"/>
          <w:lang w:val="en-US"/>
        </w:rPr>
        <w:t xml:space="preserve">Book Building and </w:t>
      </w:r>
      <w:r w:rsidRPr="002101ED">
        <w:rPr>
          <w:rFonts w:ascii="Arial" w:hAnsi="Arial" w:cs="Arial"/>
          <w:b/>
          <w:bCs/>
          <w:color w:val="000000"/>
          <w:lang w:val="en-US"/>
        </w:rPr>
        <w:t>Subscription Rules, any materials intended to promote the Offer Shares or their subscription.</w:t>
      </w:r>
      <w:r w:rsidR="0089259F" w:rsidRPr="002101ED">
        <w:rPr>
          <w:rFonts w:ascii="Arial" w:hAnsi="Arial" w:cs="Arial"/>
          <w:b/>
          <w:bCs/>
          <w:color w:val="000000"/>
          <w:lang w:val="en-US"/>
        </w:rPr>
        <w:t xml:space="preserve"> </w:t>
      </w:r>
      <w:r w:rsidRPr="002101ED">
        <w:rPr>
          <w:rFonts w:ascii="Arial" w:hAnsi="Arial" w:cs="Arial"/>
          <w:b/>
          <w:bCs/>
          <w:color w:val="000000"/>
          <w:lang w:val="en-US"/>
        </w:rPr>
        <w:t xml:space="preserve">These </w:t>
      </w:r>
      <w:r w:rsidR="00BC1946" w:rsidRPr="002101ED">
        <w:rPr>
          <w:rFonts w:ascii="Arial" w:hAnsi="Arial" w:cs="Arial"/>
          <w:b/>
          <w:bCs/>
          <w:color w:val="000000"/>
          <w:lang w:val="en-US"/>
        </w:rPr>
        <w:t xml:space="preserve">Book Building and </w:t>
      </w:r>
      <w:r w:rsidRPr="002101ED">
        <w:rPr>
          <w:rFonts w:ascii="Arial" w:hAnsi="Arial" w:cs="Arial"/>
          <w:b/>
          <w:bCs/>
          <w:color w:val="000000"/>
          <w:lang w:val="en-US"/>
        </w:rPr>
        <w:t xml:space="preserve">Subscription Rules do not constitute a prospectus, information memorandum or other information or offering document required by law in connection with a public offering of securities, or an application for their admission or seeking their introduction to trading on a regulated market. These </w:t>
      </w:r>
      <w:r w:rsidR="00D20F9D" w:rsidRPr="002101ED">
        <w:rPr>
          <w:rFonts w:ascii="Arial" w:hAnsi="Arial" w:cs="Arial"/>
          <w:b/>
          <w:bCs/>
          <w:color w:val="000000"/>
          <w:lang w:val="en-US"/>
        </w:rPr>
        <w:t xml:space="preserve">Book Building and </w:t>
      </w:r>
      <w:r w:rsidRPr="002101ED">
        <w:rPr>
          <w:rFonts w:ascii="Arial" w:hAnsi="Arial" w:cs="Arial"/>
          <w:b/>
          <w:bCs/>
          <w:color w:val="000000"/>
          <w:lang w:val="en-US"/>
        </w:rPr>
        <w:t>Subscription Rules are not subject to approval by the Polish Financial Supervisory Authority or any other public administration body.</w:t>
      </w:r>
    </w:p>
    <w:p w14:paraId="24C4C5AC" w14:textId="77777777" w:rsidR="0074208B"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These </w:t>
      </w:r>
      <w:r w:rsidR="00BC1946" w:rsidRPr="002101ED">
        <w:rPr>
          <w:rFonts w:ascii="Arial" w:hAnsi="Arial" w:cs="Arial"/>
          <w:color w:val="000000"/>
          <w:lang w:val="en-US"/>
        </w:rPr>
        <w:t xml:space="preserve">Book Building and </w:t>
      </w:r>
      <w:r w:rsidRPr="002101ED">
        <w:rPr>
          <w:rFonts w:ascii="Arial" w:hAnsi="Arial" w:cs="Arial"/>
          <w:color w:val="000000"/>
          <w:lang w:val="en-US"/>
        </w:rPr>
        <w:t xml:space="preserve">Subscription Rules set out the subscription rules </w:t>
      </w:r>
      <w:r w:rsidR="001137B4" w:rsidRPr="002101ED">
        <w:rPr>
          <w:rFonts w:ascii="Arial" w:hAnsi="Arial" w:cs="Arial"/>
          <w:color w:val="000000"/>
          <w:lang w:val="en-US"/>
        </w:rPr>
        <w:t xml:space="preserve">of </w:t>
      </w:r>
      <w:r w:rsidR="00BC1946" w:rsidRPr="002101ED">
        <w:rPr>
          <w:rFonts w:ascii="Arial" w:hAnsi="Arial" w:cs="Arial"/>
          <w:color w:val="000000"/>
          <w:lang w:val="en-US"/>
        </w:rPr>
        <w:t xml:space="preserve">conducting the book building for Offer Shares and, upon the Management Board’s resolution on the issue of Series </w:t>
      </w:r>
      <w:r w:rsidR="00AB249C">
        <w:rPr>
          <w:rFonts w:ascii="Arial" w:hAnsi="Arial" w:cs="Arial"/>
          <w:color w:val="000000"/>
          <w:lang w:val="en-US"/>
        </w:rPr>
        <w:t>I</w:t>
      </w:r>
      <w:r w:rsidR="001137B4" w:rsidRPr="002101ED">
        <w:rPr>
          <w:rFonts w:ascii="Arial" w:hAnsi="Arial" w:cs="Arial"/>
          <w:color w:val="000000"/>
          <w:lang w:val="en-US"/>
        </w:rPr>
        <w:t xml:space="preserve"> Shares</w:t>
      </w:r>
      <w:r w:rsidR="00BC1946" w:rsidRPr="002101ED">
        <w:rPr>
          <w:rFonts w:ascii="Arial" w:hAnsi="Arial" w:cs="Arial"/>
          <w:color w:val="000000"/>
          <w:lang w:val="en-US"/>
        </w:rPr>
        <w:t xml:space="preserve">, conducting offer </w:t>
      </w:r>
      <w:r w:rsidRPr="002101ED">
        <w:rPr>
          <w:rFonts w:ascii="Arial" w:hAnsi="Arial" w:cs="Arial"/>
          <w:color w:val="000000"/>
          <w:lang w:val="en-US"/>
        </w:rPr>
        <w:t>for the Offer Shares in a private placement within the meaning of Article 431 § 2 Item 1) of the Act of 15 September 2000 Commercial Companies Code (the “</w:t>
      </w:r>
      <w:r w:rsidRPr="002101ED">
        <w:rPr>
          <w:rFonts w:ascii="Arial" w:hAnsi="Arial" w:cs="Arial"/>
          <w:b/>
          <w:bCs/>
          <w:color w:val="000000"/>
          <w:lang w:val="en-US"/>
        </w:rPr>
        <w:t>Commercial Companies Code</w:t>
      </w:r>
      <w:r w:rsidRPr="002101ED">
        <w:rPr>
          <w:rFonts w:ascii="Arial" w:hAnsi="Arial" w:cs="Arial"/>
          <w:color w:val="000000"/>
          <w:lang w:val="en-US"/>
        </w:rPr>
        <w:t>”)</w:t>
      </w:r>
      <w:r w:rsidR="00BC1946" w:rsidRPr="002101ED">
        <w:rPr>
          <w:rFonts w:ascii="Arial" w:hAnsi="Arial" w:cs="Arial"/>
          <w:color w:val="000000"/>
          <w:lang w:val="en-US"/>
        </w:rPr>
        <w:t xml:space="preserve"> </w:t>
      </w:r>
      <w:r w:rsidR="004C7B45" w:rsidRPr="002101ED">
        <w:rPr>
          <w:rFonts w:ascii="Arial" w:hAnsi="Arial" w:cs="Arial"/>
          <w:color w:val="000000"/>
          <w:lang w:val="en-US"/>
        </w:rPr>
        <w:t xml:space="preserve">based on the results of the book building for the Offer Shares, </w:t>
      </w:r>
      <w:r w:rsidR="000E3EA5" w:rsidRPr="002101ED">
        <w:rPr>
          <w:rFonts w:ascii="Arial" w:hAnsi="Arial" w:cs="Arial"/>
          <w:color w:val="000000"/>
          <w:lang w:val="en-US"/>
        </w:rPr>
        <w:t xml:space="preserve">pursuant to the </w:t>
      </w:r>
      <w:r w:rsidR="002D7715" w:rsidRPr="002101ED">
        <w:rPr>
          <w:rFonts w:ascii="Arial" w:hAnsi="Arial" w:cs="Arial"/>
          <w:color w:val="000000"/>
          <w:lang w:val="en-US"/>
        </w:rPr>
        <w:t>authorization</w:t>
      </w:r>
      <w:r w:rsidR="000E3EA5" w:rsidRPr="002101ED">
        <w:rPr>
          <w:rFonts w:ascii="Arial" w:hAnsi="Arial" w:cs="Arial"/>
          <w:color w:val="000000"/>
          <w:lang w:val="en-US"/>
        </w:rPr>
        <w:t xml:space="preserve"> of the Company's Management Board to increase the share capital within the limits of the </w:t>
      </w:r>
      <w:r w:rsidR="002971AF" w:rsidRPr="002101ED">
        <w:rPr>
          <w:rFonts w:ascii="Arial" w:hAnsi="Arial" w:cs="Arial"/>
          <w:color w:val="000000"/>
          <w:lang w:val="en-US"/>
        </w:rPr>
        <w:t xml:space="preserve">authorized </w:t>
      </w:r>
      <w:r w:rsidR="000E3EA5" w:rsidRPr="002101ED">
        <w:rPr>
          <w:rFonts w:ascii="Arial" w:hAnsi="Arial" w:cs="Arial"/>
          <w:color w:val="000000"/>
          <w:lang w:val="en-US"/>
        </w:rPr>
        <w:t>capital referred to in § 5</w:t>
      </w:r>
      <w:r w:rsidR="000E3EA5" w:rsidRPr="002101ED">
        <w:rPr>
          <w:rFonts w:ascii="Arial" w:hAnsi="Arial" w:cs="Arial"/>
          <w:color w:val="000000"/>
          <w:vertAlign w:val="superscript"/>
          <w:lang w:val="en-US"/>
        </w:rPr>
        <w:t>1</w:t>
      </w:r>
      <w:r w:rsidR="000E3EA5" w:rsidRPr="002101ED">
        <w:rPr>
          <w:rFonts w:ascii="Arial" w:hAnsi="Arial" w:cs="Arial"/>
          <w:color w:val="000000"/>
          <w:lang w:val="en-US"/>
        </w:rPr>
        <w:t xml:space="preserve"> of the Company's Articles of Association, </w:t>
      </w:r>
      <w:r w:rsidRPr="002101ED">
        <w:rPr>
          <w:rFonts w:ascii="Arial" w:hAnsi="Arial" w:cs="Arial"/>
          <w:color w:val="000000"/>
          <w:lang w:val="en-US"/>
        </w:rPr>
        <w:t>to be carried out by way of a public offering within the meaning of Article 2(d) of Regulation (EU) 2017/1129 of the European Parliament and of the Council of 14 June 2017 on the prospectus to be published when securities are offered to the public or admitted to trading on a regulated market, and repealing Directive 2003/71/EC (the “</w:t>
      </w:r>
      <w:r w:rsidRPr="002101ED">
        <w:rPr>
          <w:rFonts w:ascii="Arial" w:hAnsi="Arial" w:cs="Arial"/>
          <w:b/>
          <w:bCs/>
          <w:color w:val="000000"/>
          <w:lang w:val="en-US"/>
        </w:rPr>
        <w:t>Prospectus Regulation</w:t>
      </w:r>
      <w:r w:rsidRPr="002101ED">
        <w:rPr>
          <w:rFonts w:ascii="Arial" w:hAnsi="Arial" w:cs="Arial"/>
          <w:color w:val="000000"/>
          <w:lang w:val="en-US"/>
        </w:rPr>
        <w:t>”), exempted from the obligation to publish a prospectus within the meaning of the relevant regulations, and from the obligation to publish any other information or offering document for the purposes of such offering, or pursuant to an exemption from the obligation to complete a registration process in another jurisdiction.</w:t>
      </w:r>
    </w:p>
    <w:p w14:paraId="2BE00FE8" w14:textId="77777777" w:rsidR="00457C9C" w:rsidRPr="002101ED" w:rsidRDefault="00905389" w:rsidP="00905389">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Series </w:t>
      </w:r>
      <w:r w:rsidR="00AB249C">
        <w:rPr>
          <w:rFonts w:ascii="Arial" w:hAnsi="Arial" w:cs="Arial"/>
          <w:color w:val="000000"/>
          <w:lang w:val="en-US"/>
        </w:rPr>
        <w:t>I</w:t>
      </w:r>
      <w:r w:rsidRPr="002101ED">
        <w:rPr>
          <w:rFonts w:ascii="Arial" w:hAnsi="Arial" w:cs="Arial"/>
          <w:color w:val="000000"/>
          <w:lang w:val="en-US"/>
        </w:rPr>
        <w:t xml:space="preserve"> Shares may only be offered and sold outside the territory of the United States of America in offshore transactions, as defined in and pursuant to the provisions of Regulation S </w:t>
      </w:r>
      <w:r w:rsidRPr="002101ED">
        <w:rPr>
          <w:rFonts w:ascii="Arial" w:hAnsi="Arial" w:cs="Arial"/>
          <w:color w:val="000000"/>
          <w:lang w:val="en-US"/>
        </w:rPr>
        <w:lastRenderedPageBreak/>
        <w:t>under the U.S. Securities Act of 1933, as amended,</w:t>
      </w:r>
      <w:r w:rsidRPr="002101ED">
        <w:rPr>
          <w:rFonts w:ascii="Arial" w:hAnsi="Arial" w:cs="Arial"/>
          <w:i/>
          <w:iCs/>
          <w:color w:val="000000"/>
          <w:lang w:val="en-US"/>
        </w:rPr>
        <w:t xml:space="preserve"> </w:t>
      </w:r>
      <w:r w:rsidRPr="002101ED">
        <w:rPr>
          <w:rFonts w:ascii="Arial" w:hAnsi="Arial" w:cs="Arial"/>
          <w:color w:val="000000"/>
          <w:lang w:val="en-US"/>
        </w:rPr>
        <w:t xml:space="preserve">or under another exception or exceptions to registration obligations in the United States of America or other jurisdictions. </w:t>
      </w:r>
    </w:p>
    <w:p w14:paraId="4DCF0881" w14:textId="16F04255" w:rsidR="00B73B31" w:rsidRPr="002101ED" w:rsidRDefault="002B1656" w:rsidP="00905389">
      <w:pPr>
        <w:autoSpaceDE w:val="0"/>
        <w:autoSpaceDN w:val="0"/>
        <w:adjustRightInd w:val="0"/>
        <w:spacing w:after="120" w:line="240" w:lineRule="auto"/>
        <w:jc w:val="both"/>
        <w:rPr>
          <w:rFonts w:ascii="Arial" w:hAnsi="Arial" w:cs="Arial"/>
          <w:color w:val="000000"/>
          <w:lang w:val="en-US"/>
        </w:rPr>
      </w:pPr>
      <w:r w:rsidRPr="002B1656">
        <w:rPr>
          <w:rFonts w:ascii="Arial" w:hAnsi="Arial" w:cs="Arial"/>
          <w:color w:val="000000"/>
          <w:lang w:val="en-US"/>
        </w:rPr>
        <w:t xml:space="preserve">The Issuer’s objective is to raise funds to pay the consideration for the assignment of rights under publishing agreements, as provided for in the investment agreement entered into on </w:t>
      </w:r>
      <w:r w:rsidR="00592195">
        <w:rPr>
          <w:rFonts w:ascii="Arial" w:hAnsi="Arial" w:cs="Arial"/>
          <w:color w:val="000000"/>
          <w:lang w:val="en-US"/>
        </w:rPr>
        <w:t>24</w:t>
      </w:r>
      <w:r w:rsidRPr="002B1656">
        <w:rPr>
          <w:rFonts w:ascii="Arial" w:hAnsi="Arial" w:cs="Arial"/>
          <w:color w:val="000000"/>
          <w:lang w:val="en-US"/>
        </w:rPr>
        <w:t xml:space="preserve"> April 2026 with Cooldown Games LLC, based in Austin, Texas, </w:t>
      </w:r>
      <w:r w:rsidR="00592195" w:rsidRPr="004065DC">
        <w:rPr>
          <w:rFonts w:ascii="Arial" w:hAnsi="Arial" w:cs="Arial"/>
          <w:color w:val="000000"/>
          <w:lang w:val="en-US"/>
        </w:rPr>
        <w:t>a video game publisher</w:t>
      </w:r>
      <w:r w:rsidR="00592195" w:rsidRPr="00FD3344">
        <w:rPr>
          <w:rFonts w:ascii="Arial" w:hAnsi="Arial" w:cs="Arial"/>
          <w:sz w:val="20"/>
          <w:szCs w:val="20"/>
          <w:lang w:val="en-US"/>
        </w:rPr>
        <w:t xml:space="preserve"> </w:t>
      </w:r>
      <w:r w:rsidR="00592195">
        <w:rPr>
          <w:rFonts w:ascii="Arial" w:hAnsi="Arial" w:cs="Arial"/>
          <w:sz w:val="20"/>
          <w:szCs w:val="20"/>
          <w:lang w:val="en-US"/>
        </w:rPr>
        <w:t>(“</w:t>
      </w:r>
      <w:r w:rsidR="00592195" w:rsidRPr="004065DC">
        <w:rPr>
          <w:rFonts w:ascii="Arial" w:hAnsi="Arial" w:cs="Arial"/>
          <w:b/>
          <w:bCs/>
          <w:sz w:val="20"/>
          <w:szCs w:val="20"/>
          <w:lang w:val="en-US"/>
        </w:rPr>
        <w:t>Cooldown Games</w:t>
      </w:r>
      <w:r w:rsidR="00592195">
        <w:rPr>
          <w:rFonts w:ascii="Arial" w:hAnsi="Arial" w:cs="Arial"/>
          <w:sz w:val="20"/>
          <w:szCs w:val="20"/>
          <w:lang w:val="en-US"/>
        </w:rPr>
        <w:t xml:space="preserve">”) </w:t>
      </w:r>
      <w:r w:rsidRPr="002B1656">
        <w:rPr>
          <w:rFonts w:ascii="Arial" w:hAnsi="Arial" w:cs="Arial"/>
          <w:color w:val="000000"/>
          <w:lang w:val="en-US"/>
        </w:rPr>
        <w:t xml:space="preserve">and to finance the production and release of the games acquired under the assignment agreements, as announced by the Issuer in Current Report No. </w:t>
      </w:r>
      <w:r w:rsidR="002D50F7">
        <w:rPr>
          <w:rFonts w:ascii="Arial" w:hAnsi="Arial" w:cs="Arial"/>
          <w:color w:val="000000"/>
          <w:lang w:val="en-US"/>
        </w:rPr>
        <w:t>5</w:t>
      </w:r>
      <w:r w:rsidRPr="002B1656">
        <w:rPr>
          <w:rFonts w:ascii="Arial" w:hAnsi="Arial" w:cs="Arial"/>
          <w:color w:val="000000"/>
          <w:lang w:val="en-US"/>
        </w:rPr>
        <w:t xml:space="preserve">/2026 dated </w:t>
      </w:r>
      <w:r w:rsidR="00592195">
        <w:rPr>
          <w:rFonts w:ascii="Arial" w:hAnsi="Arial" w:cs="Arial"/>
          <w:color w:val="000000"/>
          <w:lang w:val="en-US"/>
        </w:rPr>
        <w:t>24</w:t>
      </w:r>
      <w:r w:rsidRPr="002B1656">
        <w:rPr>
          <w:rFonts w:ascii="Arial" w:hAnsi="Arial" w:cs="Arial"/>
          <w:color w:val="000000"/>
          <w:lang w:val="en-US"/>
        </w:rPr>
        <w:t xml:space="preserve"> April 2026.</w:t>
      </w:r>
    </w:p>
    <w:p w14:paraId="1A8612CF" w14:textId="77777777" w:rsidR="006071DF" w:rsidRPr="002101ED" w:rsidRDefault="00D54036" w:rsidP="00D6020B">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If a decision is taken to proceed with the offering of the Offer Shares (the “</w:t>
      </w:r>
      <w:r w:rsidRPr="002101ED">
        <w:rPr>
          <w:rFonts w:ascii="Arial" w:hAnsi="Arial" w:cs="Arial"/>
          <w:b/>
          <w:bCs/>
          <w:color w:val="000000"/>
          <w:lang w:val="en-US"/>
        </w:rPr>
        <w:t>Offering</w:t>
      </w:r>
      <w:r w:rsidRPr="002101ED">
        <w:rPr>
          <w:rFonts w:ascii="Arial" w:hAnsi="Arial" w:cs="Arial"/>
          <w:color w:val="000000"/>
          <w:lang w:val="en-US"/>
        </w:rPr>
        <w:t>”)</w:t>
      </w:r>
      <w:r w:rsidR="00457C9C" w:rsidRPr="002101ED">
        <w:rPr>
          <w:rFonts w:ascii="Arial" w:hAnsi="Arial" w:cs="Arial"/>
          <w:color w:val="000000"/>
          <w:lang w:val="en-US"/>
        </w:rPr>
        <w:t>, the Issuer intends to seek admission of the Offer Shares to trading</w:t>
      </w:r>
      <w:r w:rsidR="0099439D">
        <w:rPr>
          <w:rFonts w:ascii="Arial" w:hAnsi="Arial" w:cs="Arial"/>
          <w:color w:val="000000"/>
          <w:lang w:val="en-US"/>
        </w:rPr>
        <w:t xml:space="preserve"> </w:t>
      </w:r>
      <w:r w:rsidR="00457C9C" w:rsidRPr="002101ED">
        <w:rPr>
          <w:rFonts w:ascii="Arial" w:hAnsi="Arial" w:cs="Arial"/>
          <w:color w:val="000000"/>
          <w:lang w:val="en-US"/>
        </w:rPr>
        <w:t xml:space="preserve">on the regulated market operated by the WSE, on which the Issuer's existing shares are listed. In particular, the Issuer intends to seek admission of the Offer Shares to trading on the regulated market operated by the WSE under an exemption from the obligation to publish a prospectus, which permits applying for admission to trading on the regulated market operated by the WSE of no more than </w:t>
      </w:r>
      <w:r w:rsidR="000E3EA5" w:rsidRPr="002101ED">
        <w:rPr>
          <w:rFonts w:ascii="Arial" w:hAnsi="Arial" w:cs="Arial"/>
          <w:color w:val="000000"/>
          <w:lang w:val="en-US"/>
        </w:rPr>
        <w:t>3</w:t>
      </w:r>
      <w:r w:rsidR="00457C9C" w:rsidRPr="002101ED">
        <w:rPr>
          <w:rFonts w:ascii="Arial" w:hAnsi="Arial" w:cs="Arial"/>
          <w:color w:val="000000"/>
          <w:lang w:val="en-US"/>
        </w:rPr>
        <w:t xml:space="preserve">0% of the Company’s shares identical to the Company shares already admitted to trading on that regulated market in a period of 12 months, i.e. Article 1 Section 5 letter a) of the Prospectus Regulation. If the Offering is successful (assuming that all Offer Shares are taken up) and the Company’s share capital increase through the issuance of the Offer Shares is registered, the Offer Shares will represent approximately </w:t>
      </w:r>
      <w:r w:rsidR="00AB249C">
        <w:rPr>
          <w:rFonts w:ascii="Arial" w:hAnsi="Arial" w:cs="Arial"/>
          <w:color w:val="000000"/>
          <w:lang w:val="en-US"/>
        </w:rPr>
        <w:t>8.8</w:t>
      </w:r>
      <w:r w:rsidR="00457C9C" w:rsidRPr="002101ED">
        <w:rPr>
          <w:rFonts w:ascii="Arial" w:hAnsi="Arial" w:cs="Arial"/>
          <w:color w:val="000000"/>
          <w:lang w:val="en-US"/>
        </w:rPr>
        <w:t xml:space="preserve">% of the Company’s share capital and approximately </w:t>
      </w:r>
      <w:r w:rsidR="00AB249C">
        <w:rPr>
          <w:rFonts w:ascii="Arial" w:hAnsi="Arial" w:cs="Arial"/>
          <w:color w:val="000000"/>
          <w:lang w:val="en-US"/>
        </w:rPr>
        <w:t>8.8</w:t>
      </w:r>
      <w:r w:rsidR="00457C9C" w:rsidRPr="002101ED">
        <w:rPr>
          <w:rFonts w:ascii="Arial" w:hAnsi="Arial" w:cs="Arial"/>
          <w:color w:val="000000"/>
          <w:lang w:val="en-US"/>
        </w:rPr>
        <w:t xml:space="preserve">% of the total number of votes at the Company's general meeting. </w:t>
      </w:r>
    </w:p>
    <w:p w14:paraId="248C4FCA" w14:textId="77777777" w:rsidR="00D9698C" w:rsidRPr="002101ED" w:rsidRDefault="00D9698C" w:rsidP="00D9698C">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In view of the obligation to apply restrictive measures imposed by Council Regulation (EU) 2022/328 of 25 February 2022 amending Regulation (EU) No 833/2014 concerning restrictive measures in view of Russia's actions </w:t>
      </w:r>
      <w:r w:rsidR="002D7715" w:rsidRPr="002101ED">
        <w:rPr>
          <w:rFonts w:ascii="Arial" w:hAnsi="Arial" w:cs="Arial"/>
          <w:color w:val="000000"/>
          <w:lang w:val="en-US"/>
        </w:rPr>
        <w:t>destabilizing</w:t>
      </w:r>
      <w:r w:rsidRPr="002101ED">
        <w:rPr>
          <w:rFonts w:ascii="Arial" w:hAnsi="Arial" w:cs="Arial"/>
          <w:color w:val="000000"/>
          <w:lang w:val="en-US"/>
        </w:rPr>
        <w:t xml:space="preserve"> the situation in Ukraine and Council Regulation (EU) 2022/398 of 9 March 2022 amending Regulation (EC) No 765/2006 concerning restrictive measures in view of the situation in Belarus and the involvement of Belarus in the Russian aggression against Ukraine, as of 13 April 2022, the Company is prohibited from offering its shares to:</w:t>
      </w:r>
    </w:p>
    <w:p w14:paraId="35DDC1E3" w14:textId="77777777" w:rsidR="00D9698C" w:rsidRPr="002101ED" w:rsidRDefault="00D9698C" w:rsidP="00C904A1">
      <w:pPr>
        <w:pStyle w:val="ListParagraph"/>
        <w:numPr>
          <w:ilvl w:val="0"/>
          <w:numId w:val="11"/>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Russian nationals or natural persons residing in Russia, or legal persons, entities or bodies established in Russia, and</w:t>
      </w:r>
    </w:p>
    <w:p w14:paraId="17640293" w14:textId="77777777" w:rsidR="00D9698C" w:rsidRPr="002101ED" w:rsidRDefault="00D9698C" w:rsidP="00C904A1">
      <w:pPr>
        <w:pStyle w:val="ListParagraph"/>
        <w:numPr>
          <w:ilvl w:val="0"/>
          <w:numId w:val="11"/>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Belarusian nationals or natural persons residing in Belarus, or legal persons, entities or bodies established in Belarus,</w:t>
      </w:r>
    </w:p>
    <w:p w14:paraId="72C38476" w14:textId="77777777" w:rsidR="00D9698C" w:rsidRPr="002101ED" w:rsidRDefault="00D9698C" w:rsidP="00D9698C">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provided that these restrictions do not apply to nationals of a Member State or natural persons holding a temporary or permanent residence permit in a Member State.</w:t>
      </w:r>
    </w:p>
    <w:p w14:paraId="51BD9282" w14:textId="77777777" w:rsidR="009159B9" w:rsidRPr="002101ED" w:rsidRDefault="009159B9" w:rsidP="009159B9">
      <w:pPr>
        <w:spacing w:after="120" w:line="240" w:lineRule="auto"/>
        <w:jc w:val="both"/>
        <w:rPr>
          <w:rFonts w:ascii="Arial" w:hAnsi="Arial" w:cs="Arial"/>
          <w:b/>
          <w:bCs/>
          <w:u w:val="single"/>
          <w:lang w:val="en-US"/>
        </w:rPr>
      </w:pPr>
      <w:r w:rsidRPr="002101ED">
        <w:rPr>
          <w:rFonts w:ascii="Arial" w:hAnsi="Arial" w:cs="Arial"/>
          <w:b/>
          <w:bCs/>
          <w:u w:val="single"/>
          <w:lang w:val="en-US"/>
        </w:rPr>
        <w:t>Legal basis of the issuance and the Offer</w:t>
      </w:r>
      <w:r w:rsidR="00BA26D3" w:rsidRPr="002101ED">
        <w:rPr>
          <w:rFonts w:ascii="Arial" w:hAnsi="Arial" w:cs="Arial"/>
          <w:b/>
          <w:bCs/>
          <w:u w:val="single"/>
          <w:lang w:val="en-US"/>
        </w:rPr>
        <w:t>ing</w:t>
      </w:r>
    </w:p>
    <w:p w14:paraId="70AA77F0" w14:textId="4589B40D" w:rsidR="000E3EA5" w:rsidRPr="002101ED" w:rsidRDefault="000E3EA5" w:rsidP="005D1B3C">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Pursuant to § 5</w:t>
      </w:r>
      <w:r w:rsidRPr="002101ED">
        <w:rPr>
          <w:rFonts w:ascii="Arial" w:hAnsi="Arial" w:cs="Arial"/>
          <w:color w:val="000000"/>
          <w:vertAlign w:val="superscript"/>
          <w:lang w:val="en-US"/>
        </w:rPr>
        <w:t>1</w:t>
      </w:r>
      <w:r w:rsidRPr="002101ED">
        <w:rPr>
          <w:rFonts w:ascii="Arial" w:hAnsi="Arial" w:cs="Arial"/>
          <w:color w:val="000000"/>
          <w:lang w:val="en-US"/>
        </w:rPr>
        <w:t xml:space="preserve">(1) of the Company's Articles of Association, the Management Board is </w:t>
      </w:r>
      <w:r w:rsidR="002D7715" w:rsidRPr="002101ED">
        <w:rPr>
          <w:rFonts w:ascii="Arial" w:hAnsi="Arial" w:cs="Arial"/>
          <w:color w:val="000000"/>
          <w:lang w:val="en-US"/>
        </w:rPr>
        <w:t>authorized</w:t>
      </w:r>
      <w:r w:rsidRPr="002101ED">
        <w:rPr>
          <w:rFonts w:ascii="Arial" w:hAnsi="Arial" w:cs="Arial"/>
          <w:color w:val="000000"/>
          <w:lang w:val="en-US"/>
        </w:rPr>
        <w:t xml:space="preserve"> to increase the Company's share capital by a total amount not exceeding PLN 215,641.62 (two hundred and fifteen thousand six hundred and forty-one zlotys and sixty-two groszy) in one or more subsequent share capital increases within the limits specified above (</w:t>
      </w:r>
      <w:r w:rsidR="002971AF" w:rsidRPr="002101ED">
        <w:rPr>
          <w:rFonts w:ascii="Arial" w:hAnsi="Arial" w:cs="Arial"/>
          <w:color w:val="000000"/>
          <w:lang w:val="en-US"/>
        </w:rPr>
        <w:t xml:space="preserve">authorized </w:t>
      </w:r>
      <w:r w:rsidRPr="002101ED">
        <w:rPr>
          <w:rFonts w:ascii="Arial" w:hAnsi="Arial" w:cs="Arial"/>
          <w:color w:val="000000"/>
          <w:lang w:val="en-US"/>
        </w:rPr>
        <w:t>capital), by issuing ordinary bearer shares with a nominal value of PLN 0.02 (two groszy) each, in a number not exceeding 10,782,081 (ten million seven hundred and eighty-two thousand and eighty-one) shares.</w:t>
      </w:r>
      <w:r w:rsidR="00495FCD" w:rsidRPr="002101ED">
        <w:rPr>
          <w:rFonts w:ascii="Arial" w:hAnsi="Arial" w:cs="Arial"/>
          <w:color w:val="000000"/>
          <w:lang w:val="en-US"/>
        </w:rPr>
        <w:t xml:space="preserve"> On </w:t>
      </w:r>
      <w:r w:rsidR="00592195">
        <w:rPr>
          <w:rFonts w:ascii="Arial" w:hAnsi="Arial" w:cs="Arial"/>
          <w:color w:val="000000"/>
          <w:lang w:val="en-US"/>
        </w:rPr>
        <w:t>24</w:t>
      </w:r>
      <w:r w:rsidR="00AB249C">
        <w:rPr>
          <w:rFonts w:ascii="Arial" w:hAnsi="Arial" w:cs="Arial"/>
          <w:color w:val="000000"/>
          <w:lang w:val="en-US"/>
        </w:rPr>
        <w:t xml:space="preserve"> </w:t>
      </w:r>
      <w:r w:rsidR="0099439D">
        <w:rPr>
          <w:rFonts w:ascii="Arial" w:hAnsi="Arial" w:cs="Arial"/>
          <w:color w:val="000000"/>
          <w:lang w:val="en-US"/>
        </w:rPr>
        <w:t xml:space="preserve">April </w:t>
      </w:r>
      <w:r w:rsidR="00495FCD" w:rsidRPr="002101ED">
        <w:rPr>
          <w:rFonts w:ascii="Arial" w:hAnsi="Arial" w:cs="Arial"/>
          <w:color w:val="000000"/>
          <w:lang w:val="en-US"/>
        </w:rPr>
        <w:t>202</w:t>
      </w:r>
      <w:r w:rsidR="00AB249C">
        <w:rPr>
          <w:rFonts w:ascii="Arial" w:hAnsi="Arial" w:cs="Arial"/>
          <w:color w:val="000000"/>
          <w:lang w:val="en-US"/>
        </w:rPr>
        <w:t>6</w:t>
      </w:r>
      <w:r w:rsidR="00495FCD" w:rsidRPr="002101ED">
        <w:rPr>
          <w:rFonts w:ascii="Arial" w:hAnsi="Arial" w:cs="Arial"/>
          <w:color w:val="000000"/>
          <w:lang w:val="en-US"/>
        </w:rPr>
        <w:t xml:space="preserve">, the Management Board adopted a resolution on (i) establishing the rules for offering, conducting the book-building process, subscription and acquisition of series </w:t>
      </w:r>
      <w:r w:rsidR="00AB249C">
        <w:rPr>
          <w:rFonts w:ascii="Arial" w:hAnsi="Arial" w:cs="Arial"/>
          <w:color w:val="000000"/>
          <w:lang w:val="en-US"/>
        </w:rPr>
        <w:t>I</w:t>
      </w:r>
      <w:r w:rsidR="00495FCD" w:rsidRPr="002101ED">
        <w:rPr>
          <w:rFonts w:ascii="Arial" w:hAnsi="Arial" w:cs="Arial"/>
          <w:color w:val="000000"/>
          <w:lang w:val="en-US"/>
        </w:rPr>
        <w:t xml:space="preserve"> shares, (ii) adopting the template of the Subscription Agreement for Series </w:t>
      </w:r>
      <w:r w:rsidR="00AB249C">
        <w:rPr>
          <w:rFonts w:ascii="Arial" w:hAnsi="Arial" w:cs="Arial"/>
          <w:color w:val="000000"/>
          <w:lang w:val="en-US"/>
        </w:rPr>
        <w:t>I</w:t>
      </w:r>
      <w:r w:rsidR="00495FCD" w:rsidRPr="002101ED">
        <w:rPr>
          <w:rFonts w:ascii="Arial" w:hAnsi="Arial" w:cs="Arial"/>
          <w:color w:val="000000"/>
          <w:lang w:val="en-US"/>
        </w:rPr>
        <w:t xml:space="preserve"> shares (Series </w:t>
      </w:r>
      <w:r w:rsidR="00AB249C">
        <w:rPr>
          <w:rFonts w:ascii="Arial" w:hAnsi="Arial" w:cs="Arial"/>
          <w:color w:val="000000"/>
          <w:lang w:val="en-US"/>
        </w:rPr>
        <w:t>I</w:t>
      </w:r>
      <w:r w:rsidR="00495FCD" w:rsidRPr="002101ED">
        <w:rPr>
          <w:rFonts w:ascii="Arial" w:hAnsi="Arial" w:cs="Arial"/>
          <w:color w:val="000000"/>
          <w:lang w:val="en-US"/>
        </w:rPr>
        <w:t xml:space="preserve"> Share Subscription Agreement), (iii) consenting to the conclusion by PCF Group S.A. of an agreement with Trigon Dom Maklerski S.A. and Trigon Investment Banking spółka z ograniczoną odpowiedzialnością &amp; Wspólnicy spółka komandytowa for the purposes of the offering and subscription of series </w:t>
      </w:r>
      <w:r w:rsidR="00AB249C">
        <w:rPr>
          <w:rFonts w:ascii="Arial" w:hAnsi="Arial" w:cs="Arial"/>
          <w:color w:val="000000"/>
          <w:lang w:val="en-US"/>
        </w:rPr>
        <w:t>I</w:t>
      </w:r>
      <w:r w:rsidR="00495FCD" w:rsidRPr="002101ED">
        <w:rPr>
          <w:rFonts w:ascii="Arial" w:hAnsi="Arial" w:cs="Arial"/>
          <w:color w:val="000000"/>
          <w:lang w:val="en-US"/>
        </w:rPr>
        <w:t xml:space="preserve"> shares, (iv) determining the Preference Date</w:t>
      </w:r>
      <w:r w:rsidR="00C53B17">
        <w:rPr>
          <w:rFonts w:ascii="Arial" w:hAnsi="Arial" w:cs="Arial"/>
          <w:color w:val="000000"/>
          <w:lang w:val="en-US"/>
        </w:rPr>
        <w:t xml:space="preserve">, and (v) </w:t>
      </w:r>
      <w:r w:rsidR="00C53B17" w:rsidRPr="00C53B17">
        <w:rPr>
          <w:rFonts w:ascii="Arial" w:hAnsi="Arial" w:cs="Arial"/>
          <w:color w:val="000000"/>
          <w:lang w:val="en-US"/>
        </w:rPr>
        <w:t xml:space="preserve">determining the minimum issue price for Series I </w:t>
      </w:r>
      <w:r w:rsidR="00C53B17" w:rsidRPr="00C53B17">
        <w:rPr>
          <w:rFonts w:ascii="Arial" w:hAnsi="Arial" w:cs="Arial"/>
          <w:color w:val="000000"/>
          <w:lang w:val="en-US"/>
        </w:rPr>
        <w:lastRenderedPageBreak/>
        <w:t>shares</w:t>
      </w:r>
      <w:r w:rsidR="002971AF" w:rsidRPr="002101ED">
        <w:rPr>
          <w:rFonts w:ascii="Arial" w:hAnsi="Arial" w:cs="Arial"/>
          <w:color w:val="000000"/>
          <w:lang w:val="en-US"/>
        </w:rPr>
        <w:t xml:space="preserve">, where it adopted </w:t>
      </w:r>
      <w:r w:rsidR="00495FCD" w:rsidRPr="002101ED">
        <w:rPr>
          <w:rFonts w:ascii="Arial" w:hAnsi="Arial" w:cs="Arial"/>
          <w:color w:val="000000"/>
          <w:lang w:val="en-US"/>
        </w:rPr>
        <w:t>these Book Building and Subscription Rules</w:t>
      </w:r>
      <w:r w:rsidR="00C53B17">
        <w:rPr>
          <w:rFonts w:ascii="Arial" w:hAnsi="Arial" w:cs="Arial"/>
          <w:color w:val="000000"/>
          <w:lang w:val="en-US"/>
        </w:rPr>
        <w:t xml:space="preserve"> (the “</w:t>
      </w:r>
      <w:r w:rsidR="00C53B17" w:rsidRPr="005836D8">
        <w:rPr>
          <w:rFonts w:ascii="Arial" w:hAnsi="Arial" w:cs="Arial"/>
          <w:b/>
          <w:bCs/>
          <w:color w:val="000000"/>
          <w:lang w:val="en-US"/>
        </w:rPr>
        <w:t>Management Board Resolution</w:t>
      </w:r>
      <w:r w:rsidR="00C53B17">
        <w:rPr>
          <w:rFonts w:ascii="Arial" w:hAnsi="Arial" w:cs="Arial"/>
          <w:color w:val="000000"/>
          <w:lang w:val="en-US"/>
        </w:rPr>
        <w:t>”)</w:t>
      </w:r>
      <w:r w:rsidR="00495FCD" w:rsidRPr="002101ED">
        <w:rPr>
          <w:rFonts w:ascii="Arial" w:hAnsi="Arial" w:cs="Arial"/>
          <w:color w:val="000000"/>
          <w:lang w:val="en-US"/>
        </w:rPr>
        <w:t>.</w:t>
      </w:r>
    </w:p>
    <w:p w14:paraId="56C835E9" w14:textId="77777777" w:rsidR="00395D05" w:rsidRPr="002101ED" w:rsidRDefault="00395D05" w:rsidP="005D1B3C">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Upon completion of the book building</w:t>
      </w:r>
      <w:r w:rsidR="009159B9" w:rsidRPr="002101ED">
        <w:rPr>
          <w:rFonts w:ascii="Arial" w:hAnsi="Arial" w:cs="Arial"/>
          <w:color w:val="000000"/>
          <w:lang w:val="en-US"/>
        </w:rPr>
        <w:t xml:space="preserve"> </w:t>
      </w:r>
      <w:r w:rsidRPr="002101ED">
        <w:rPr>
          <w:rFonts w:ascii="Arial" w:hAnsi="Arial" w:cs="Arial"/>
          <w:color w:val="000000"/>
          <w:lang w:val="en-US"/>
        </w:rPr>
        <w:t>process for the Offer Shares, the Offer</w:t>
      </w:r>
      <w:r w:rsidR="00945B71" w:rsidRPr="002101ED">
        <w:rPr>
          <w:rFonts w:ascii="Arial" w:hAnsi="Arial" w:cs="Arial"/>
          <w:color w:val="000000"/>
          <w:lang w:val="en-US"/>
        </w:rPr>
        <w:t>ing</w:t>
      </w:r>
      <w:r w:rsidRPr="002101ED">
        <w:rPr>
          <w:rFonts w:ascii="Arial" w:hAnsi="Arial" w:cs="Arial"/>
          <w:color w:val="000000"/>
          <w:lang w:val="en-US"/>
        </w:rPr>
        <w:t xml:space="preserve"> will be </w:t>
      </w:r>
      <w:r w:rsidR="009159B9" w:rsidRPr="002101ED">
        <w:rPr>
          <w:rFonts w:ascii="Arial" w:hAnsi="Arial" w:cs="Arial"/>
          <w:color w:val="000000"/>
          <w:lang w:val="en-US"/>
        </w:rPr>
        <w:t xml:space="preserve">conducted on the basis of </w:t>
      </w:r>
      <w:r w:rsidR="004145AB" w:rsidRPr="002101ED">
        <w:rPr>
          <w:rFonts w:ascii="Arial" w:hAnsi="Arial" w:cs="Arial"/>
          <w:color w:val="000000"/>
          <w:lang w:val="en-US"/>
        </w:rPr>
        <w:t>M</w:t>
      </w:r>
      <w:r w:rsidRPr="002101ED">
        <w:rPr>
          <w:rFonts w:ascii="Arial" w:hAnsi="Arial" w:cs="Arial"/>
          <w:color w:val="000000"/>
          <w:lang w:val="en-US"/>
        </w:rPr>
        <w:t xml:space="preserve">anagement </w:t>
      </w:r>
      <w:r w:rsidR="00AA1550" w:rsidRPr="002101ED">
        <w:rPr>
          <w:rFonts w:ascii="Arial" w:hAnsi="Arial" w:cs="Arial"/>
          <w:color w:val="000000"/>
          <w:lang w:val="en-US"/>
        </w:rPr>
        <w:t>B</w:t>
      </w:r>
      <w:r w:rsidRPr="002101ED">
        <w:rPr>
          <w:rFonts w:ascii="Arial" w:hAnsi="Arial" w:cs="Arial"/>
          <w:color w:val="000000"/>
          <w:lang w:val="en-US"/>
        </w:rPr>
        <w:t>oard resolution</w:t>
      </w:r>
      <w:r w:rsidR="009159B9" w:rsidRPr="002101ED">
        <w:rPr>
          <w:rFonts w:ascii="Arial" w:hAnsi="Arial" w:cs="Arial"/>
          <w:color w:val="000000"/>
          <w:lang w:val="en-US"/>
        </w:rPr>
        <w:t xml:space="preserve"> </w:t>
      </w:r>
      <w:r w:rsidR="009159B9" w:rsidRPr="002101ED">
        <w:rPr>
          <w:rFonts w:ascii="Arial" w:hAnsi="Arial" w:cs="Arial"/>
          <w:i/>
          <w:iCs/>
          <w:color w:val="000000"/>
          <w:lang w:val="en-US"/>
        </w:rPr>
        <w:t>on the increase of the Company’s share capital</w:t>
      </w:r>
      <w:r w:rsidRPr="002101ED">
        <w:rPr>
          <w:rFonts w:ascii="Arial" w:hAnsi="Arial" w:cs="Arial"/>
          <w:i/>
          <w:iCs/>
          <w:color w:val="000000"/>
          <w:lang w:val="en-US"/>
        </w:rPr>
        <w:t xml:space="preserve"> within the limits of the </w:t>
      </w:r>
      <w:r w:rsidR="002971AF" w:rsidRPr="002101ED">
        <w:rPr>
          <w:rFonts w:ascii="Arial" w:hAnsi="Arial" w:cs="Arial"/>
          <w:i/>
          <w:iCs/>
          <w:color w:val="000000"/>
          <w:lang w:val="en-US"/>
        </w:rPr>
        <w:t xml:space="preserve">authorized </w:t>
      </w:r>
      <w:r w:rsidRPr="002101ED">
        <w:rPr>
          <w:rFonts w:ascii="Arial" w:hAnsi="Arial" w:cs="Arial"/>
          <w:i/>
          <w:iCs/>
          <w:color w:val="000000"/>
          <w:lang w:val="en-US"/>
        </w:rPr>
        <w:t>capital</w:t>
      </w:r>
      <w:r w:rsidR="009159B9" w:rsidRPr="002101ED">
        <w:rPr>
          <w:rFonts w:ascii="Arial" w:hAnsi="Arial" w:cs="Arial"/>
          <w:i/>
          <w:iCs/>
          <w:color w:val="000000"/>
          <w:lang w:val="en-US"/>
        </w:rPr>
        <w:t xml:space="preserve"> through the issue of ordinary Series </w:t>
      </w:r>
      <w:r w:rsidR="00AB249C">
        <w:rPr>
          <w:rFonts w:ascii="Arial" w:hAnsi="Arial" w:cs="Arial"/>
          <w:i/>
          <w:iCs/>
          <w:color w:val="000000"/>
          <w:lang w:val="en-US"/>
        </w:rPr>
        <w:t>I</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Shares, the exclusion of all the pre-emptive rights of its current shareholders in relation to all the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the seeking of the admission and introduction of</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the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and the rights to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to trading on a regulated market</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operated by the Warsaw Stock Exchange, the dematerialization of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and</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the rights to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and the authorization to execute an agreement on the</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registration of the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and the rights to Series </w:t>
      </w:r>
      <w:r w:rsidR="00AB249C">
        <w:rPr>
          <w:rFonts w:ascii="Arial" w:hAnsi="Arial" w:cs="Arial"/>
          <w:i/>
          <w:iCs/>
          <w:color w:val="000000"/>
          <w:lang w:val="en-US"/>
        </w:rPr>
        <w:t>I</w:t>
      </w:r>
      <w:r w:rsidR="009159B9" w:rsidRPr="002101ED">
        <w:rPr>
          <w:rFonts w:ascii="Arial" w:hAnsi="Arial" w:cs="Arial"/>
          <w:i/>
          <w:iCs/>
          <w:color w:val="000000"/>
          <w:lang w:val="en-US"/>
        </w:rPr>
        <w:t xml:space="preserve"> Shares in the depository</w:t>
      </w:r>
      <w:r w:rsidR="0089259F" w:rsidRPr="002101ED">
        <w:rPr>
          <w:rFonts w:ascii="Arial" w:hAnsi="Arial" w:cs="Arial"/>
          <w:i/>
          <w:iCs/>
          <w:color w:val="000000"/>
          <w:lang w:val="en-US"/>
        </w:rPr>
        <w:t xml:space="preserve"> </w:t>
      </w:r>
      <w:r w:rsidR="009159B9" w:rsidRPr="002101ED">
        <w:rPr>
          <w:rFonts w:ascii="Arial" w:hAnsi="Arial" w:cs="Arial"/>
          <w:i/>
          <w:iCs/>
          <w:color w:val="000000"/>
          <w:lang w:val="en-US"/>
        </w:rPr>
        <w:t xml:space="preserve">of securities, and on amendments to the Articles of Association of the Company </w:t>
      </w:r>
      <w:r w:rsidR="009159B9" w:rsidRPr="002101ED">
        <w:rPr>
          <w:rFonts w:ascii="Arial" w:hAnsi="Arial" w:cs="Arial"/>
          <w:color w:val="000000"/>
          <w:lang w:val="en-US"/>
        </w:rPr>
        <w:t>(the “</w:t>
      </w:r>
      <w:r w:rsidR="009159B9" w:rsidRPr="002101ED">
        <w:rPr>
          <w:rFonts w:ascii="Arial" w:hAnsi="Arial" w:cs="Arial"/>
          <w:b/>
          <w:bCs/>
          <w:color w:val="000000"/>
          <w:lang w:val="en-US"/>
        </w:rPr>
        <w:t>Issue Resolution</w:t>
      </w:r>
      <w:r w:rsidR="009159B9" w:rsidRPr="002101ED">
        <w:rPr>
          <w:rFonts w:ascii="Arial" w:hAnsi="Arial" w:cs="Arial"/>
          <w:color w:val="000000"/>
          <w:lang w:val="en-US"/>
        </w:rPr>
        <w:t xml:space="preserve">”). The Issue Resolution constitutes the legal basis for the Company to conduct the Offering and subscriptions for the Offer Shares. </w:t>
      </w:r>
    </w:p>
    <w:p w14:paraId="59C91212" w14:textId="32EC1D8B" w:rsidR="009159B9" w:rsidRPr="002101ED" w:rsidRDefault="009159B9" w:rsidP="005D1B3C">
      <w:pPr>
        <w:autoSpaceDE w:val="0"/>
        <w:autoSpaceDN w:val="0"/>
        <w:adjustRightInd w:val="0"/>
        <w:spacing w:after="120" w:line="240" w:lineRule="auto"/>
        <w:jc w:val="both"/>
        <w:rPr>
          <w:rFonts w:ascii="Arial" w:hAnsi="Arial" w:cs="Arial"/>
          <w:lang w:val="en-US"/>
        </w:rPr>
      </w:pPr>
      <w:r w:rsidRPr="002101ED">
        <w:rPr>
          <w:rFonts w:ascii="Arial" w:hAnsi="Arial" w:cs="Arial"/>
          <w:color w:val="000000"/>
          <w:lang w:val="en-US"/>
        </w:rPr>
        <w:t xml:space="preserve">As authorized in the </w:t>
      </w:r>
      <w:r w:rsidR="00395D05" w:rsidRPr="002101ED">
        <w:rPr>
          <w:rFonts w:ascii="Arial" w:hAnsi="Arial" w:cs="Arial"/>
          <w:color w:val="000000"/>
          <w:lang w:val="en-US"/>
        </w:rPr>
        <w:t>§ 5</w:t>
      </w:r>
      <w:r w:rsidR="00395D05" w:rsidRPr="002101ED">
        <w:rPr>
          <w:rFonts w:ascii="Arial" w:hAnsi="Arial" w:cs="Arial"/>
          <w:color w:val="000000"/>
          <w:vertAlign w:val="superscript"/>
          <w:lang w:val="en-US"/>
        </w:rPr>
        <w:t>1</w:t>
      </w:r>
      <w:r w:rsidR="00395D05" w:rsidRPr="002101ED">
        <w:rPr>
          <w:rFonts w:ascii="Arial" w:hAnsi="Arial" w:cs="Arial"/>
          <w:color w:val="000000"/>
          <w:lang w:val="en-US"/>
        </w:rPr>
        <w:t xml:space="preserve">(9)(c) </w:t>
      </w:r>
      <w:r w:rsidR="002971AF" w:rsidRPr="002101ED">
        <w:rPr>
          <w:rFonts w:ascii="Arial" w:hAnsi="Arial" w:cs="Arial"/>
          <w:color w:val="000000"/>
          <w:lang w:val="en-US"/>
        </w:rPr>
        <w:t xml:space="preserve">of the </w:t>
      </w:r>
      <w:r w:rsidR="00395D05" w:rsidRPr="002101ED">
        <w:rPr>
          <w:rFonts w:ascii="Arial" w:hAnsi="Arial" w:cs="Arial"/>
          <w:color w:val="000000"/>
          <w:lang w:val="en-US"/>
        </w:rPr>
        <w:t>Articles of Association of the Company</w:t>
      </w:r>
      <w:r w:rsidRPr="002101ED">
        <w:rPr>
          <w:rFonts w:ascii="Arial" w:hAnsi="Arial" w:cs="Arial"/>
          <w:color w:val="000000"/>
          <w:lang w:val="en-US"/>
        </w:rPr>
        <w:t xml:space="preserve">, on </w:t>
      </w:r>
      <w:r w:rsidR="00592195">
        <w:rPr>
          <w:rFonts w:ascii="Arial" w:hAnsi="Arial" w:cs="Arial"/>
          <w:color w:val="000000"/>
          <w:lang w:val="en-US"/>
        </w:rPr>
        <w:t>24</w:t>
      </w:r>
      <w:r w:rsidR="0099439D" w:rsidRPr="002101ED">
        <w:rPr>
          <w:rFonts w:ascii="Arial" w:hAnsi="Arial" w:cs="Arial"/>
          <w:color w:val="000000"/>
          <w:lang w:val="en-US"/>
        </w:rPr>
        <w:t xml:space="preserve"> </w:t>
      </w:r>
      <w:r w:rsidR="00395D05" w:rsidRPr="002101ED">
        <w:rPr>
          <w:rFonts w:ascii="Arial" w:hAnsi="Arial" w:cs="Arial"/>
          <w:color w:val="000000"/>
          <w:lang w:val="en-US"/>
        </w:rPr>
        <w:t>A</w:t>
      </w:r>
      <w:r w:rsidR="0099439D">
        <w:rPr>
          <w:rFonts w:ascii="Arial" w:hAnsi="Arial" w:cs="Arial"/>
          <w:color w:val="000000"/>
          <w:lang w:val="en-US"/>
        </w:rPr>
        <w:t>pril</w:t>
      </w:r>
      <w:r w:rsidR="00395D05" w:rsidRPr="002101ED">
        <w:rPr>
          <w:rFonts w:ascii="Arial" w:hAnsi="Arial" w:cs="Arial"/>
          <w:color w:val="000000"/>
          <w:lang w:val="en-US"/>
        </w:rPr>
        <w:t xml:space="preserve"> </w:t>
      </w:r>
      <w:r w:rsidRPr="002101ED">
        <w:rPr>
          <w:rFonts w:ascii="Arial" w:hAnsi="Arial" w:cs="Arial"/>
          <w:color w:val="000000"/>
          <w:lang w:val="en-US"/>
        </w:rPr>
        <w:t>202</w:t>
      </w:r>
      <w:r w:rsidR="0099439D">
        <w:rPr>
          <w:rFonts w:ascii="Arial" w:hAnsi="Arial" w:cs="Arial"/>
          <w:color w:val="000000"/>
          <w:lang w:val="en-US"/>
        </w:rPr>
        <w:t>6</w:t>
      </w:r>
      <w:r w:rsidRPr="002101ED">
        <w:rPr>
          <w:rFonts w:ascii="Arial" w:hAnsi="Arial" w:cs="Arial"/>
          <w:color w:val="000000"/>
          <w:lang w:val="en-US"/>
        </w:rPr>
        <w:t>, the Management Board of the Company (the “</w:t>
      </w:r>
      <w:r w:rsidRPr="002101ED">
        <w:rPr>
          <w:rFonts w:ascii="Arial" w:hAnsi="Arial" w:cs="Arial"/>
          <w:b/>
          <w:bCs/>
          <w:color w:val="000000"/>
          <w:lang w:val="en-US"/>
        </w:rPr>
        <w:t>Management Board</w:t>
      </w:r>
      <w:r w:rsidRPr="002101ED">
        <w:rPr>
          <w:rFonts w:ascii="Arial" w:hAnsi="Arial" w:cs="Arial"/>
          <w:color w:val="000000"/>
          <w:lang w:val="en-US"/>
        </w:rPr>
        <w:t xml:space="preserve">”) adopted these </w:t>
      </w:r>
      <w:r w:rsidR="00395D05" w:rsidRPr="002101ED">
        <w:rPr>
          <w:rFonts w:ascii="Arial" w:hAnsi="Arial" w:cs="Arial"/>
          <w:color w:val="000000"/>
          <w:lang w:val="en-US"/>
        </w:rPr>
        <w:t xml:space="preserve">Book Building and </w:t>
      </w:r>
      <w:r w:rsidRPr="002101ED">
        <w:rPr>
          <w:rFonts w:ascii="Arial" w:hAnsi="Arial" w:cs="Arial"/>
          <w:color w:val="000000"/>
          <w:lang w:val="en-US"/>
        </w:rPr>
        <w:t>Subscription Rules</w:t>
      </w:r>
      <w:r w:rsidRPr="002101ED">
        <w:rPr>
          <w:rFonts w:ascii="Arial" w:hAnsi="Arial" w:cs="Arial"/>
          <w:lang w:val="en-US"/>
        </w:rPr>
        <w:t>.</w:t>
      </w:r>
    </w:p>
    <w:p w14:paraId="11C721FF" w14:textId="77777777" w:rsidR="00BC372B" w:rsidRPr="002101ED" w:rsidRDefault="00181D4C" w:rsidP="000868D7">
      <w:pPr>
        <w:spacing w:after="120" w:line="240" w:lineRule="auto"/>
        <w:jc w:val="both"/>
        <w:rPr>
          <w:rFonts w:ascii="Arial" w:hAnsi="Arial" w:cs="Arial"/>
          <w:b/>
          <w:bCs/>
          <w:u w:val="single"/>
          <w:lang w:val="en-US"/>
        </w:rPr>
      </w:pPr>
      <w:r w:rsidRPr="002101ED">
        <w:rPr>
          <w:rFonts w:ascii="Arial" w:hAnsi="Arial" w:cs="Arial"/>
          <w:b/>
          <w:bCs/>
          <w:u w:val="single"/>
          <w:lang w:val="en-US"/>
        </w:rPr>
        <w:t>Book Building rules and t</w:t>
      </w:r>
      <w:r w:rsidR="009E1D43" w:rsidRPr="002101ED">
        <w:rPr>
          <w:rFonts w:ascii="Arial" w:hAnsi="Arial" w:cs="Arial"/>
          <w:b/>
          <w:bCs/>
          <w:u w:val="single"/>
          <w:lang w:val="en-US"/>
        </w:rPr>
        <w:t xml:space="preserve">he </w:t>
      </w:r>
      <w:r w:rsidRPr="002101ED">
        <w:rPr>
          <w:rFonts w:ascii="Arial" w:hAnsi="Arial" w:cs="Arial"/>
          <w:b/>
          <w:bCs/>
          <w:u w:val="single"/>
          <w:lang w:val="en-US"/>
        </w:rPr>
        <w:t xml:space="preserve">Offer Shares </w:t>
      </w:r>
      <w:r w:rsidR="009E1D43" w:rsidRPr="002101ED">
        <w:rPr>
          <w:rFonts w:ascii="Arial" w:hAnsi="Arial" w:cs="Arial"/>
          <w:b/>
          <w:bCs/>
          <w:u w:val="single"/>
          <w:lang w:val="en-US"/>
        </w:rPr>
        <w:t xml:space="preserve">Offering </w:t>
      </w:r>
    </w:p>
    <w:p w14:paraId="1F6FE4DE" w14:textId="77777777" w:rsidR="006D3C03" w:rsidRPr="002101ED" w:rsidRDefault="00405BD7" w:rsidP="006D3C03">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Pursuant to the Management Board's </w:t>
      </w:r>
      <w:r w:rsidR="002D7715" w:rsidRPr="002101ED">
        <w:rPr>
          <w:rFonts w:ascii="Arial" w:hAnsi="Arial" w:cs="Arial"/>
          <w:color w:val="000000"/>
          <w:lang w:val="en-US"/>
        </w:rPr>
        <w:t>authorization</w:t>
      </w:r>
      <w:r w:rsidRPr="002101ED">
        <w:rPr>
          <w:rFonts w:ascii="Arial" w:hAnsi="Arial" w:cs="Arial"/>
          <w:color w:val="000000"/>
          <w:lang w:val="en-US"/>
        </w:rPr>
        <w:t xml:space="preserve"> to increase the Company's share capital within the limits of the </w:t>
      </w:r>
      <w:r w:rsidR="002971AF" w:rsidRPr="002101ED">
        <w:rPr>
          <w:rFonts w:ascii="Arial" w:hAnsi="Arial" w:cs="Arial"/>
          <w:color w:val="000000"/>
          <w:lang w:val="en-US"/>
        </w:rPr>
        <w:t xml:space="preserve">authorized </w:t>
      </w:r>
      <w:r w:rsidRPr="002101ED">
        <w:rPr>
          <w:rFonts w:ascii="Arial" w:hAnsi="Arial" w:cs="Arial"/>
          <w:color w:val="000000"/>
          <w:lang w:val="en-US"/>
        </w:rPr>
        <w:t>capital specified in § 5</w:t>
      </w:r>
      <w:r w:rsidR="0072048A" w:rsidRPr="002101ED">
        <w:rPr>
          <w:rFonts w:ascii="Arial" w:hAnsi="Arial" w:cs="Arial"/>
          <w:color w:val="000000"/>
          <w:vertAlign w:val="superscript"/>
          <w:lang w:val="en-US"/>
        </w:rPr>
        <w:t>1</w:t>
      </w:r>
      <w:r w:rsidRPr="002101ED">
        <w:rPr>
          <w:rFonts w:ascii="Arial" w:hAnsi="Arial" w:cs="Arial"/>
          <w:color w:val="000000"/>
          <w:lang w:val="en-US"/>
        </w:rPr>
        <w:t>(7) of the Company's Articles of Association</w:t>
      </w:r>
      <w:r w:rsidR="006D3C03" w:rsidRPr="002101ED">
        <w:rPr>
          <w:rFonts w:ascii="Arial" w:hAnsi="Arial" w:cs="Arial"/>
          <w:color w:val="000000"/>
          <w:lang w:val="en-US"/>
        </w:rPr>
        <w:t>,</w:t>
      </w:r>
      <w:r w:rsidRPr="002101ED">
        <w:rPr>
          <w:rFonts w:ascii="Arial" w:hAnsi="Arial" w:cs="Arial"/>
          <w:color w:val="000000"/>
          <w:lang w:val="en-US"/>
        </w:rPr>
        <w:t xml:space="preserve"> in the interest of the Company and with the consent of the Supervisory Board of the Company,</w:t>
      </w:r>
      <w:r w:rsidR="006D3C03" w:rsidRPr="002101ED">
        <w:rPr>
          <w:rFonts w:ascii="Arial" w:hAnsi="Arial" w:cs="Arial"/>
          <w:color w:val="000000"/>
          <w:lang w:val="en-US"/>
        </w:rPr>
        <w:t xml:space="preserve"> the Offer Shares </w:t>
      </w:r>
      <w:r w:rsidRPr="002101ED">
        <w:rPr>
          <w:rFonts w:ascii="Arial" w:hAnsi="Arial" w:cs="Arial"/>
          <w:color w:val="000000"/>
          <w:lang w:val="en-US"/>
        </w:rPr>
        <w:t xml:space="preserve">may </w:t>
      </w:r>
      <w:r w:rsidR="006D3C03" w:rsidRPr="002101ED">
        <w:rPr>
          <w:rFonts w:ascii="Arial" w:hAnsi="Arial" w:cs="Arial"/>
          <w:color w:val="000000"/>
          <w:lang w:val="en-US"/>
        </w:rPr>
        <w:t>be issued with the exclusion of the pre-emptive rights of the Company’s existing shareholders.</w:t>
      </w:r>
      <w:r w:rsidRPr="002101ED">
        <w:rPr>
          <w:rFonts w:ascii="Arial" w:hAnsi="Arial" w:cs="Arial"/>
          <w:lang w:val="en-US"/>
        </w:rPr>
        <w:t xml:space="preserve"> </w:t>
      </w:r>
      <w:r w:rsidRPr="002101ED">
        <w:rPr>
          <w:rFonts w:ascii="Arial" w:hAnsi="Arial" w:cs="Arial"/>
          <w:color w:val="000000"/>
          <w:lang w:val="en-US"/>
        </w:rPr>
        <w:t xml:space="preserve">The Management Board's resolution on the issue of Series </w:t>
      </w:r>
      <w:r w:rsidR="00AB249C">
        <w:rPr>
          <w:rFonts w:ascii="Arial" w:hAnsi="Arial" w:cs="Arial"/>
          <w:color w:val="000000"/>
          <w:lang w:val="en-US"/>
        </w:rPr>
        <w:t>I</w:t>
      </w:r>
      <w:r w:rsidRPr="002101ED">
        <w:rPr>
          <w:rFonts w:ascii="Arial" w:hAnsi="Arial" w:cs="Arial"/>
          <w:color w:val="000000"/>
          <w:lang w:val="en-US"/>
        </w:rPr>
        <w:t xml:space="preserve"> Shares and the terms and conditions of the issue of Series </w:t>
      </w:r>
      <w:r w:rsidR="00AB249C">
        <w:rPr>
          <w:rFonts w:ascii="Arial" w:hAnsi="Arial" w:cs="Arial"/>
          <w:color w:val="000000"/>
          <w:lang w:val="en-US"/>
        </w:rPr>
        <w:t>I</w:t>
      </w:r>
      <w:r w:rsidRPr="002101ED">
        <w:rPr>
          <w:rFonts w:ascii="Arial" w:hAnsi="Arial" w:cs="Arial"/>
          <w:color w:val="000000"/>
          <w:lang w:val="en-US"/>
        </w:rPr>
        <w:t xml:space="preserve"> Shares will be based on the book building results for Series </w:t>
      </w:r>
      <w:r w:rsidR="00AB249C">
        <w:rPr>
          <w:rFonts w:ascii="Arial" w:hAnsi="Arial" w:cs="Arial"/>
          <w:color w:val="000000"/>
          <w:lang w:val="en-US"/>
        </w:rPr>
        <w:t>I</w:t>
      </w:r>
      <w:r w:rsidRPr="002101ED">
        <w:rPr>
          <w:rFonts w:ascii="Arial" w:hAnsi="Arial" w:cs="Arial"/>
          <w:color w:val="000000"/>
          <w:lang w:val="en-US"/>
        </w:rPr>
        <w:t xml:space="preserve"> Shares.</w:t>
      </w:r>
    </w:p>
    <w:p w14:paraId="22ABD917" w14:textId="77777777" w:rsidR="00405BD7" w:rsidRPr="002101ED" w:rsidRDefault="00405BD7" w:rsidP="006D3C03">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w:t>
      </w:r>
      <w:r w:rsidR="00214D4C" w:rsidRPr="002101ED">
        <w:rPr>
          <w:rFonts w:ascii="Arial" w:hAnsi="Arial" w:cs="Arial"/>
          <w:color w:val="000000"/>
          <w:lang w:val="en-US"/>
        </w:rPr>
        <w:t>Offering</w:t>
      </w:r>
      <w:r w:rsidRPr="002101ED">
        <w:rPr>
          <w:rFonts w:ascii="Arial" w:hAnsi="Arial" w:cs="Arial"/>
          <w:color w:val="000000"/>
          <w:lang w:val="en-US"/>
        </w:rPr>
        <w:t xml:space="preserve"> may only be addressed to investors who meet all of the following requirements:</w:t>
      </w:r>
    </w:p>
    <w:p w14:paraId="35B402ED" w14:textId="77777777" w:rsidR="00405BD7" w:rsidRPr="002101ED" w:rsidRDefault="002971AF" w:rsidP="00405BD7">
      <w:pPr>
        <w:pStyle w:val="ListParagraph"/>
        <w:numPr>
          <w:ilvl w:val="0"/>
          <w:numId w:val="14"/>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t</w:t>
      </w:r>
      <w:r w:rsidR="00DD3E2E" w:rsidRPr="002101ED">
        <w:rPr>
          <w:rFonts w:ascii="Arial" w:hAnsi="Arial" w:cs="Arial"/>
          <w:color w:val="000000"/>
          <w:sz w:val="22"/>
          <w:szCs w:val="22"/>
          <w:lang w:val="en-US"/>
        </w:rPr>
        <w:t xml:space="preserve">hey concluded a </w:t>
      </w:r>
      <w:r w:rsidRPr="002101ED">
        <w:rPr>
          <w:rFonts w:ascii="Arial" w:hAnsi="Arial" w:cs="Arial"/>
          <w:color w:val="000000"/>
          <w:sz w:val="22"/>
          <w:szCs w:val="22"/>
          <w:lang w:val="en-US"/>
        </w:rPr>
        <w:t xml:space="preserve">remaining in force </w:t>
      </w:r>
      <w:r w:rsidR="00DD3E2E" w:rsidRPr="002101ED">
        <w:rPr>
          <w:rFonts w:ascii="Arial" w:hAnsi="Arial" w:cs="Arial"/>
          <w:color w:val="000000"/>
          <w:sz w:val="22"/>
          <w:szCs w:val="22"/>
          <w:lang w:val="en-US"/>
        </w:rPr>
        <w:t>agreement with Trigon Dom Maklerski S.A. with its registered office in Krakow (“</w:t>
      </w:r>
      <w:r w:rsidR="00DD3E2E" w:rsidRPr="002101ED">
        <w:rPr>
          <w:rFonts w:ascii="Arial" w:hAnsi="Arial" w:cs="Arial"/>
          <w:b/>
          <w:bCs/>
          <w:color w:val="000000"/>
          <w:sz w:val="22"/>
          <w:szCs w:val="22"/>
          <w:lang w:val="en-US"/>
        </w:rPr>
        <w:t>Trigon DM</w:t>
      </w:r>
      <w:r w:rsidR="00DD3E2E" w:rsidRPr="002101ED">
        <w:rPr>
          <w:rFonts w:ascii="Arial" w:hAnsi="Arial" w:cs="Arial"/>
          <w:color w:val="000000"/>
          <w:sz w:val="22"/>
          <w:szCs w:val="22"/>
          <w:lang w:val="en-US"/>
        </w:rPr>
        <w:t xml:space="preserve">”) for providing brokerage services for accepting and </w:t>
      </w:r>
      <w:r w:rsidR="006F0F55" w:rsidRPr="002101ED">
        <w:rPr>
          <w:rFonts w:ascii="Arial" w:hAnsi="Arial" w:cs="Arial"/>
          <w:color w:val="000000"/>
          <w:sz w:val="22"/>
          <w:szCs w:val="22"/>
          <w:lang w:val="en-US"/>
        </w:rPr>
        <w:t xml:space="preserve">transmitting </w:t>
      </w:r>
      <w:r w:rsidR="00DD3E2E" w:rsidRPr="002101ED">
        <w:rPr>
          <w:rFonts w:ascii="Arial" w:hAnsi="Arial" w:cs="Arial"/>
          <w:color w:val="000000"/>
          <w:sz w:val="22"/>
          <w:szCs w:val="22"/>
          <w:lang w:val="en-US"/>
        </w:rPr>
        <w:t>orders (“</w:t>
      </w:r>
      <w:r w:rsidR="00DD3E2E" w:rsidRPr="002101ED">
        <w:rPr>
          <w:rFonts w:ascii="Arial" w:hAnsi="Arial" w:cs="Arial"/>
          <w:b/>
          <w:bCs/>
          <w:color w:val="000000"/>
          <w:sz w:val="22"/>
          <w:szCs w:val="22"/>
          <w:lang w:val="en-US"/>
        </w:rPr>
        <w:t>Brokerage Agreement</w:t>
      </w:r>
      <w:r w:rsidR="00DD3E2E" w:rsidRPr="002101ED">
        <w:rPr>
          <w:rFonts w:ascii="Arial" w:hAnsi="Arial" w:cs="Arial"/>
          <w:color w:val="000000"/>
          <w:sz w:val="22"/>
          <w:szCs w:val="22"/>
          <w:lang w:val="en-US"/>
        </w:rPr>
        <w:t>”);</w:t>
      </w:r>
    </w:p>
    <w:p w14:paraId="55E10115" w14:textId="77777777" w:rsidR="00DD3E2E" w:rsidRPr="002101ED" w:rsidRDefault="002971AF" w:rsidP="00405BD7">
      <w:pPr>
        <w:pStyle w:val="ListParagraph"/>
        <w:numPr>
          <w:ilvl w:val="0"/>
          <w:numId w:val="14"/>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t</w:t>
      </w:r>
      <w:r w:rsidR="00DD3E2E" w:rsidRPr="002101ED">
        <w:rPr>
          <w:rFonts w:ascii="Arial" w:hAnsi="Arial" w:cs="Arial"/>
          <w:color w:val="000000"/>
          <w:sz w:val="22"/>
          <w:szCs w:val="22"/>
          <w:lang w:val="en-US"/>
        </w:rPr>
        <w:t xml:space="preserve">hey </w:t>
      </w:r>
      <w:r w:rsidR="006D3C03" w:rsidRPr="002101ED">
        <w:rPr>
          <w:rFonts w:ascii="Arial" w:hAnsi="Arial" w:cs="Arial"/>
          <w:color w:val="000000"/>
          <w:sz w:val="22"/>
          <w:szCs w:val="22"/>
          <w:lang w:val="en-US"/>
        </w:rPr>
        <w:t>receive</w:t>
      </w:r>
      <w:r w:rsidR="00DD3E2E" w:rsidRPr="002101ED">
        <w:rPr>
          <w:rFonts w:ascii="Arial" w:hAnsi="Arial" w:cs="Arial"/>
          <w:color w:val="000000"/>
          <w:sz w:val="22"/>
          <w:szCs w:val="22"/>
          <w:lang w:val="en-US"/>
        </w:rPr>
        <w:t>d</w:t>
      </w:r>
      <w:r w:rsidR="006D3C03" w:rsidRPr="002101ED">
        <w:rPr>
          <w:rFonts w:ascii="Arial" w:hAnsi="Arial" w:cs="Arial"/>
          <w:color w:val="000000"/>
          <w:sz w:val="22"/>
          <w:szCs w:val="22"/>
          <w:lang w:val="en-US"/>
        </w:rPr>
        <w:t xml:space="preserve"> invitations from Trigon </w:t>
      </w:r>
      <w:r w:rsidR="00DD3E2E" w:rsidRPr="002101ED">
        <w:rPr>
          <w:rFonts w:ascii="Arial" w:hAnsi="Arial" w:cs="Arial"/>
          <w:color w:val="000000"/>
          <w:sz w:val="22"/>
          <w:szCs w:val="22"/>
          <w:lang w:val="en-US"/>
        </w:rPr>
        <w:t>DM</w:t>
      </w:r>
      <w:r w:rsidR="006D3C03" w:rsidRPr="002101ED">
        <w:rPr>
          <w:rFonts w:ascii="Arial" w:hAnsi="Arial" w:cs="Arial"/>
          <w:color w:val="000000"/>
          <w:sz w:val="22"/>
          <w:szCs w:val="22"/>
          <w:lang w:val="en-US"/>
        </w:rPr>
        <w:t xml:space="preserve"> </w:t>
      </w:r>
      <w:r w:rsidR="00DD3E2E" w:rsidRPr="002101ED">
        <w:rPr>
          <w:rFonts w:ascii="Arial" w:hAnsi="Arial" w:cs="Arial"/>
          <w:color w:val="000000"/>
          <w:sz w:val="22"/>
          <w:szCs w:val="22"/>
          <w:lang w:val="en-US"/>
        </w:rPr>
        <w:t>as</w:t>
      </w:r>
      <w:r w:rsidRPr="002101ED">
        <w:rPr>
          <w:rFonts w:ascii="Arial" w:hAnsi="Arial" w:cs="Arial"/>
          <w:color w:val="000000"/>
          <w:sz w:val="22"/>
          <w:szCs w:val="22"/>
          <w:lang w:val="en-US"/>
        </w:rPr>
        <w:t xml:space="preserve"> the</w:t>
      </w:r>
      <w:r w:rsidR="00DD3E2E" w:rsidRPr="002101ED">
        <w:rPr>
          <w:rFonts w:ascii="Arial" w:hAnsi="Arial" w:cs="Arial"/>
          <w:color w:val="000000"/>
          <w:sz w:val="22"/>
          <w:szCs w:val="22"/>
          <w:lang w:val="en-US"/>
        </w:rPr>
        <w:t xml:space="preserve"> investment firm </w:t>
      </w:r>
      <w:r w:rsidRPr="002101ED">
        <w:rPr>
          <w:rFonts w:ascii="Arial" w:hAnsi="Arial" w:cs="Arial"/>
          <w:color w:val="000000"/>
          <w:sz w:val="22"/>
          <w:szCs w:val="22"/>
          <w:lang w:val="en-US"/>
        </w:rPr>
        <w:t xml:space="preserve">intermediating in </w:t>
      </w:r>
      <w:r w:rsidR="00DD3E2E" w:rsidRPr="002101ED">
        <w:rPr>
          <w:rFonts w:ascii="Arial" w:hAnsi="Arial" w:cs="Arial"/>
          <w:color w:val="000000"/>
          <w:sz w:val="22"/>
          <w:szCs w:val="22"/>
          <w:lang w:val="en-US"/>
        </w:rPr>
        <w:t xml:space="preserve">the Offering </w:t>
      </w:r>
      <w:r w:rsidR="006D3C03" w:rsidRPr="002101ED">
        <w:rPr>
          <w:rFonts w:ascii="Arial" w:hAnsi="Arial" w:cs="Arial"/>
          <w:color w:val="000000"/>
          <w:sz w:val="22"/>
          <w:szCs w:val="22"/>
          <w:lang w:val="en-US"/>
        </w:rPr>
        <w:t xml:space="preserve">to participate in the book building process for Series </w:t>
      </w:r>
      <w:r w:rsidR="00AB249C">
        <w:rPr>
          <w:rFonts w:ascii="Arial" w:hAnsi="Arial" w:cs="Arial"/>
          <w:color w:val="000000"/>
          <w:sz w:val="22"/>
          <w:szCs w:val="22"/>
          <w:lang w:val="en-US"/>
        </w:rPr>
        <w:t>I</w:t>
      </w:r>
      <w:r w:rsidR="006D3C03" w:rsidRPr="002101ED">
        <w:rPr>
          <w:rFonts w:ascii="Arial" w:hAnsi="Arial" w:cs="Arial"/>
          <w:color w:val="000000"/>
          <w:sz w:val="22"/>
          <w:szCs w:val="22"/>
          <w:lang w:val="en-US"/>
        </w:rPr>
        <w:t xml:space="preserve"> Shares (the “</w:t>
      </w:r>
      <w:r w:rsidR="006D3C03" w:rsidRPr="002101ED">
        <w:rPr>
          <w:rFonts w:ascii="Arial" w:hAnsi="Arial" w:cs="Arial"/>
          <w:b/>
          <w:bCs/>
          <w:color w:val="000000"/>
          <w:sz w:val="22"/>
          <w:szCs w:val="22"/>
          <w:lang w:val="en-US"/>
        </w:rPr>
        <w:t>Book Building</w:t>
      </w:r>
      <w:r w:rsidR="006D3C03" w:rsidRPr="002101ED">
        <w:rPr>
          <w:rFonts w:ascii="Arial" w:hAnsi="Arial" w:cs="Arial"/>
          <w:color w:val="000000"/>
          <w:sz w:val="22"/>
          <w:szCs w:val="22"/>
          <w:lang w:val="en-US"/>
        </w:rPr>
        <w:t xml:space="preserve">”), </w:t>
      </w:r>
      <w:r w:rsidR="00DD3E2E" w:rsidRPr="002101ED">
        <w:rPr>
          <w:rFonts w:ascii="Arial" w:hAnsi="Arial" w:cs="Arial"/>
          <w:color w:val="000000"/>
          <w:sz w:val="22"/>
          <w:szCs w:val="22"/>
          <w:lang w:val="en-US"/>
        </w:rPr>
        <w:t xml:space="preserve">or notify Trigon DM, in the manner specified in the Brokerage Agreement or by email to MO@trigon.pl, </w:t>
      </w:r>
      <w:r w:rsidRPr="002101ED">
        <w:rPr>
          <w:rFonts w:ascii="Arial" w:hAnsi="Arial" w:cs="Arial"/>
          <w:color w:val="000000"/>
          <w:sz w:val="22"/>
          <w:szCs w:val="22"/>
          <w:lang w:val="en-US"/>
        </w:rPr>
        <w:t xml:space="preserve">of </w:t>
      </w:r>
      <w:r w:rsidR="00DD3E2E" w:rsidRPr="002101ED">
        <w:rPr>
          <w:rFonts w:ascii="Arial" w:hAnsi="Arial" w:cs="Arial"/>
          <w:color w:val="000000"/>
          <w:sz w:val="22"/>
          <w:szCs w:val="22"/>
          <w:lang w:val="en-US"/>
        </w:rPr>
        <w:t>their interest in participating in the Book Building, and meet the technical requirements specified by Trigon DM; and</w:t>
      </w:r>
    </w:p>
    <w:p w14:paraId="33F36B4E" w14:textId="77777777" w:rsidR="001C0B0D" w:rsidRPr="002101ED" w:rsidRDefault="002971AF" w:rsidP="00405BD7">
      <w:pPr>
        <w:pStyle w:val="ListParagraph"/>
        <w:numPr>
          <w:ilvl w:val="0"/>
          <w:numId w:val="14"/>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 xml:space="preserve">they </w:t>
      </w:r>
      <w:r w:rsidR="006D3C03" w:rsidRPr="002101ED">
        <w:rPr>
          <w:rFonts w:ascii="Arial" w:hAnsi="Arial" w:cs="Arial"/>
          <w:color w:val="000000"/>
          <w:sz w:val="22"/>
          <w:szCs w:val="22"/>
          <w:lang w:val="en-US"/>
        </w:rPr>
        <w:t>(i) are qualified investors (the “</w:t>
      </w:r>
      <w:r w:rsidR="006D3C03" w:rsidRPr="002101ED">
        <w:rPr>
          <w:rFonts w:ascii="Arial" w:hAnsi="Arial" w:cs="Arial"/>
          <w:b/>
          <w:bCs/>
          <w:color w:val="000000"/>
          <w:sz w:val="22"/>
          <w:szCs w:val="22"/>
          <w:lang w:val="en-US"/>
        </w:rPr>
        <w:t>Qualified Investors</w:t>
      </w:r>
      <w:r w:rsidR="006D3C03" w:rsidRPr="002101ED">
        <w:rPr>
          <w:rFonts w:ascii="Arial" w:hAnsi="Arial" w:cs="Arial"/>
          <w:color w:val="000000"/>
          <w:sz w:val="22"/>
          <w:szCs w:val="22"/>
          <w:lang w:val="en-US"/>
        </w:rPr>
        <w:t xml:space="preserve">”) within the meaning of Article 1 Section 4 letter a) of the Prospectus Regulation, or (ii) </w:t>
      </w:r>
      <w:r w:rsidR="00444E50" w:rsidRPr="00444E50">
        <w:rPr>
          <w:rFonts w:ascii="Arial" w:hAnsi="Arial" w:cs="Arial"/>
          <w:color w:val="000000"/>
          <w:sz w:val="22"/>
          <w:szCs w:val="22"/>
          <w:lang w:val="en-US"/>
        </w:rPr>
        <w:t>subscribe for securities</w:t>
      </w:r>
      <w:r w:rsidR="00444E50">
        <w:rPr>
          <w:rFonts w:ascii="Arial" w:hAnsi="Arial" w:cs="Arial"/>
          <w:color w:val="000000"/>
          <w:sz w:val="22"/>
          <w:szCs w:val="22"/>
          <w:lang w:val="en-US"/>
        </w:rPr>
        <w:t xml:space="preserve"> </w:t>
      </w:r>
      <w:r w:rsidR="006D3C03" w:rsidRPr="002101ED">
        <w:rPr>
          <w:rFonts w:ascii="Arial" w:hAnsi="Arial" w:cs="Arial"/>
          <w:color w:val="000000"/>
          <w:sz w:val="22"/>
          <w:szCs w:val="22"/>
          <w:lang w:val="en-US"/>
        </w:rPr>
        <w:t>with the aggregate value at least equivalent to EUR 100,000 (one hundred thousand euro) per investor, as referred to in Article 1 Section 4 letter d) of the Prospectus Regulation</w:t>
      </w:r>
      <w:r w:rsidR="001C0B0D" w:rsidRPr="002101ED">
        <w:rPr>
          <w:rFonts w:ascii="Arial" w:hAnsi="Arial" w:cs="Arial"/>
          <w:color w:val="000000"/>
          <w:sz w:val="22"/>
          <w:szCs w:val="22"/>
          <w:lang w:val="en-US"/>
        </w:rPr>
        <w:t xml:space="preserve">; </w:t>
      </w:r>
      <w:r w:rsidR="00604325" w:rsidRPr="002101ED">
        <w:rPr>
          <w:rFonts w:ascii="Arial" w:hAnsi="Arial" w:cs="Arial"/>
          <w:color w:val="000000"/>
          <w:sz w:val="22"/>
          <w:szCs w:val="22"/>
          <w:lang w:val="en-US"/>
        </w:rPr>
        <w:t xml:space="preserve">or </w:t>
      </w:r>
      <w:r w:rsidR="001C0B0D" w:rsidRPr="002101ED">
        <w:rPr>
          <w:rFonts w:ascii="Arial" w:hAnsi="Arial" w:cs="Arial"/>
          <w:color w:val="000000"/>
          <w:sz w:val="22"/>
          <w:szCs w:val="22"/>
          <w:lang w:val="en-US"/>
        </w:rPr>
        <w:t xml:space="preserve">(iii) </w:t>
      </w:r>
      <w:r w:rsidR="00604325" w:rsidRPr="002101ED">
        <w:rPr>
          <w:rFonts w:ascii="Arial" w:hAnsi="Arial" w:cs="Arial"/>
          <w:color w:val="000000"/>
          <w:sz w:val="22"/>
          <w:szCs w:val="22"/>
          <w:lang w:val="en-US"/>
        </w:rPr>
        <w:t>meet other conditions allowing the Company to conduct the Offering exempt from the obligation to publish a prospectus within the meaning of applicable law, or the obligation to publish another information document or offering document for the purposes of such offering, or on the basis of an exemption from the obligation to register in another jurisdiction (the “</w:t>
      </w:r>
      <w:r w:rsidR="00604325" w:rsidRPr="002101ED">
        <w:rPr>
          <w:rFonts w:ascii="Arial" w:hAnsi="Arial" w:cs="Arial"/>
          <w:b/>
          <w:bCs/>
          <w:color w:val="000000"/>
          <w:sz w:val="22"/>
          <w:szCs w:val="22"/>
          <w:lang w:val="en-US"/>
        </w:rPr>
        <w:t>Investor</w:t>
      </w:r>
      <w:r w:rsidR="00604325" w:rsidRPr="002101ED">
        <w:rPr>
          <w:rFonts w:ascii="Arial" w:hAnsi="Arial" w:cs="Arial"/>
          <w:color w:val="000000"/>
          <w:sz w:val="22"/>
          <w:szCs w:val="22"/>
          <w:lang w:val="en-US"/>
        </w:rPr>
        <w:t>”); and</w:t>
      </w:r>
    </w:p>
    <w:p w14:paraId="1C685FA9" w14:textId="05589840" w:rsidR="001C0B0D" w:rsidRPr="002101ED" w:rsidRDefault="002971AF" w:rsidP="00405BD7">
      <w:pPr>
        <w:pStyle w:val="ListParagraph"/>
        <w:numPr>
          <w:ilvl w:val="0"/>
          <w:numId w:val="14"/>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t</w:t>
      </w:r>
      <w:r w:rsidR="001C0B0D" w:rsidRPr="002101ED">
        <w:rPr>
          <w:rFonts w:ascii="Arial" w:hAnsi="Arial" w:cs="Arial"/>
          <w:color w:val="000000"/>
          <w:sz w:val="22"/>
          <w:szCs w:val="22"/>
          <w:lang w:val="en-US"/>
        </w:rPr>
        <w:t>hey submit a declaration of interest in acquiring the Offer Shares (the “</w:t>
      </w:r>
      <w:r w:rsidR="001C0B0D" w:rsidRPr="002101ED">
        <w:rPr>
          <w:rFonts w:ascii="Arial" w:hAnsi="Arial" w:cs="Arial"/>
          <w:b/>
          <w:bCs/>
          <w:color w:val="000000"/>
          <w:sz w:val="22"/>
          <w:szCs w:val="22"/>
          <w:lang w:val="en-US"/>
        </w:rPr>
        <w:t>Declaration</w:t>
      </w:r>
      <w:r w:rsidR="001C0B0D" w:rsidRPr="002101ED">
        <w:rPr>
          <w:rFonts w:ascii="Arial" w:hAnsi="Arial" w:cs="Arial"/>
          <w:color w:val="000000"/>
          <w:sz w:val="22"/>
          <w:szCs w:val="22"/>
          <w:lang w:val="en-US"/>
        </w:rPr>
        <w:t xml:space="preserve">”) during the Book Building at a price not lower than </w:t>
      </w:r>
      <w:r w:rsidR="00945B71" w:rsidRPr="002101ED">
        <w:rPr>
          <w:rFonts w:ascii="Arial" w:hAnsi="Arial" w:cs="Arial"/>
          <w:color w:val="000000"/>
          <w:sz w:val="22"/>
          <w:szCs w:val="22"/>
          <w:lang w:val="en-US"/>
        </w:rPr>
        <w:t xml:space="preserve">their issue price determined by the Management Board </w:t>
      </w:r>
      <w:r w:rsidR="00C53B17" w:rsidRPr="00C53B17">
        <w:rPr>
          <w:rFonts w:ascii="Arial" w:hAnsi="Arial" w:cs="Arial"/>
          <w:color w:val="000000"/>
          <w:sz w:val="22"/>
          <w:szCs w:val="22"/>
          <w:lang w:val="en-US"/>
        </w:rPr>
        <w:t>(</w:t>
      </w:r>
      <w:r w:rsidR="00C53B17">
        <w:rPr>
          <w:rFonts w:ascii="Arial" w:hAnsi="Arial" w:cs="Arial"/>
          <w:color w:val="000000"/>
          <w:sz w:val="22"/>
          <w:szCs w:val="22"/>
          <w:lang w:val="en-US"/>
        </w:rPr>
        <w:t>whereas i</w:t>
      </w:r>
      <w:r w:rsidR="00C53B17" w:rsidRPr="00C53B17">
        <w:rPr>
          <w:rFonts w:ascii="Arial" w:hAnsi="Arial" w:cs="Arial"/>
          <w:color w:val="000000"/>
          <w:sz w:val="22"/>
          <w:szCs w:val="22"/>
          <w:lang w:val="en-US"/>
        </w:rPr>
        <w:t xml:space="preserve">n </w:t>
      </w:r>
      <w:r w:rsidR="00C53B17">
        <w:rPr>
          <w:rFonts w:ascii="Arial" w:hAnsi="Arial" w:cs="Arial"/>
          <w:color w:val="000000"/>
          <w:sz w:val="22"/>
          <w:szCs w:val="22"/>
          <w:lang w:val="en-US"/>
        </w:rPr>
        <w:t xml:space="preserve">the </w:t>
      </w:r>
      <w:r w:rsidR="00C53B17" w:rsidRPr="00C53B17">
        <w:rPr>
          <w:rFonts w:ascii="Arial" w:hAnsi="Arial" w:cs="Arial"/>
          <w:color w:val="000000"/>
          <w:sz w:val="22"/>
          <w:szCs w:val="22"/>
          <w:lang w:val="en-US"/>
        </w:rPr>
        <w:t xml:space="preserve">Management Board </w:t>
      </w:r>
      <w:r w:rsidR="00C53B17">
        <w:rPr>
          <w:rFonts w:ascii="Arial" w:hAnsi="Arial" w:cs="Arial"/>
          <w:color w:val="000000"/>
          <w:sz w:val="22"/>
          <w:szCs w:val="22"/>
          <w:lang w:val="en-US"/>
        </w:rPr>
        <w:t xml:space="preserve">Resolution the Management Board </w:t>
      </w:r>
      <w:r w:rsidR="00C53B17" w:rsidRPr="00C53B17">
        <w:rPr>
          <w:rFonts w:ascii="Arial" w:hAnsi="Arial" w:cs="Arial"/>
          <w:color w:val="000000"/>
          <w:sz w:val="22"/>
          <w:szCs w:val="22"/>
          <w:lang w:val="en-US"/>
        </w:rPr>
        <w:t xml:space="preserve">set the minimum issue price for Series I Shares at PLN 4.00 per Series I Share) </w:t>
      </w:r>
      <w:r w:rsidR="00945B71" w:rsidRPr="002101ED">
        <w:rPr>
          <w:rFonts w:ascii="Arial" w:hAnsi="Arial" w:cs="Arial"/>
          <w:color w:val="000000"/>
          <w:sz w:val="22"/>
          <w:szCs w:val="22"/>
          <w:lang w:val="en-US"/>
        </w:rPr>
        <w:t>(the “</w:t>
      </w:r>
      <w:r w:rsidR="00945B71" w:rsidRPr="002101ED">
        <w:rPr>
          <w:rFonts w:ascii="Arial" w:hAnsi="Arial" w:cs="Arial"/>
          <w:b/>
          <w:bCs/>
          <w:color w:val="000000"/>
          <w:sz w:val="22"/>
          <w:szCs w:val="22"/>
          <w:lang w:val="en-US"/>
        </w:rPr>
        <w:t>Issue Price</w:t>
      </w:r>
      <w:r w:rsidR="00945B71" w:rsidRPr="002101ED">
        <w:rPr>
          <w:rFonts w:ascii="Arial" w:hAnsi="Arial" w:cs="Arial"/>
          <w:color w:val="000000"/>
          <w:sz w:val="22"/>
          <w:szCs w:val="22"/>
          <w:lang w:val="en-US"/>
        </w:rPr>
        <w:t>”).</w:t>
      </w:r>
    </w:p>
    <w:p w14:paraId="6B2AA571" w14:textId="77777777" w:rsidR="00945B71" w:rsidRPr="002101ED" w:rsidRDefault="00945B71" w:rsidP="001C0B0D">
      <w:pPr>
        <w:autoSpaceDE w:val="0"/>
        <w:autoSpaceDN w:val="0"/>
        <w:adjustRightInd w:val="0"/>
        <w:spacing w:after="120"/>
        <w:jc w:val="both"/>
        <w:rPr>
          <w:rFonts w:ascii="Arial" w:hAnsi="Arial" w:cs="Arial"/>
          <w:color w:val="000000"/>
          <w:lang w:val="en-US"/>
        </w:rPr>
      </w:pPr>
      <w:r w:rsidRPr="002101ED">
        <w:rPr>
          <w:rFonts w:ascii="Arial" w:hAnsi="Arial" w:cs="Arial"/>
          <w:color w:val="000000"/>
          <w:lang w:val="en-US"/>
        </w:rPr>
        <w:lastRenderedPageBreak/>
        <w:t>Investors who do not meet all of the requirements specified in the above paragraph will not be eligible to participate in the Offering.</w:t>
      </w:r>
    </w:p>
    <w:p w14:paraId="5E19D217" w14:textId="77777777" w:rsidR="00945B71" w:rsidRPr="002101ED" w:rsidRDefault="00214D4C" w:rsidP="001C0B0D">
      <w:pPr>
        <w:autoSpaceDE w:val="0"/>
        <w:autoSpaceDN w:val="0"/>
        <w:adjustRightInd w:val="0"/>
        <w:spacing w:after="120"/>
        <w:jc w:val="both"/>
        <w:rPr>
          <w:rFonts w:ascii="Arial" w:hAnsi="Arial" w:cs="Arial"/>
          <w:b/>
          <w:bCs/>
          <w:color w:val="000000"/>
          <w:lang w:val="en-US"/>
        </w:rPr>
      </w:pPr>
      <w:r w:rsidRPr="002101ED">
        <w:rPr>
          <w:rFonts w:ascii="Arial" w:hAnsi="Arial" w:cs="Arial"/>
          <w:b/>
          <w:bCs/>
          <w:color w:val="000000"/>
          <w:lang w:val="en-US"/>
        </w:rPr>
        <w:t>Eligible Investors</w:t>
      </w:r>
    </w:p>
    <w:p w14:paraId="1F9DA7E1" w14:textId="6426E4BC" w:rsidR="00322B0C" w:rsidRPr="002101ED" w:rsidRDefault="00214D4C" w:rsidP="00C35E14">
      <w:pPr>
        <w:autoSpaceDE w:val="0"/>
        <w:autoSpaceDN w:val="0"/>
        <w:adjustRightInd w:val="0"/>
        <w:spacing w:after="120"/>
        <w:jc w:val="both"/>
        <w:rPr>
          <w:rFonts w:ascii="Arial" w:hAnsi="Arial" w:cs="Arial"/>
          <w:color w:val="000000"/>
          <w:lang w:val="en-US"/>
        </w:rPr>
      </w:pPr>
      <w:r w:rsidRPr="002101ED">
        <w:rPr>
          <w:rFonts w:ascii="Arial" w:hAnsi="Arial" w:cs="Arial"/>
          <w:color w:val="000000"/>
          <w:lang w:val="en-US"/>
        </w:rPr>
        <w:t xml:space="preserve">Investors, </w:t>
      </w:r>
      <w:r w:rsidR="006D3C03" w:rsidRPr="002101ED">
        <w:rPr>
          <w:rFonts w:ascii="Arial" w:hAnsi="Arial" w:cs="Arial"/>
          <w:color w:val="000000"/>
          <w:lang w:val="en-US"/>
        </w:rPr>
        <w:t>who</w:t>
      </w:r>
      <w:r w:rsidRPr="002101ED">
        <w:rPr>
          <w:rFonts w:ascii="Arial" w:hAnsi="Arial" w:cs="Arial"/>
          <w:color w:val="000000"/>
          <w:lang w:val="en-US"/>
        </w:rPr>
        <w:t xml:space="preserve"> </w:t>
      </w:r>
      <w:r w:rsidR="006D3C03" w:rsidRPr="002101ED">
        <w:rPr>
          <w:rFonts w:ascii="Arial" w:hAnsi="Arial" w:cs="Arial"/>
          <w:color w:val="000000"/>
          <w:lang w:val="en-US"/>
        </w:rPr>
        <w:t xml:space="preserve">were shareholders of the Company as of the end of the day </w:t>
      </w:r>
      <w:r w:rsidRPr="002101ED">
        <w:rPr>
          <w:rFonts w:ascii="Arial" w:hAnsi="Arial" w:cs="Arial"/>
          <w:color w:val="000000"/>
          <w:lang w:val="en-US"/>
        </w:rPr>
        <w:t>indicated by Management Board on the basis of an authorization in § 5</w:t>
      </w:r>
      <w:r w:rsidRPr="002101ED">
        <w:rPr>
          <w:rFonts w:ascii="Arial" w:hAnsi="Arial" w:cs="Arial"/>
          <w:color w:val="000000"/>
          <w:vertAlign w:val="superscript"/>
          <w:lang w:val="en-US"/>
        </w:rPr>
        <w:t>1</w:t>
      </w:r>
      <w:r w:rsidRPr="002101ED">
        <w:rPr>
          <w:rFonts w:ascii="Arial" w:hAnsi="Arial" w:cs="Arial"/>
          <w:color w:val="000000"/>
          <w:lang w:val="en-US"/>
        </w:rPr>
        <w:t>(9)(c) of the Company's Articles of Association, i.e</w:t>
      </w:r>
      <w:r w:rsidRPr="00DC5C07">
        <w:rPr>
          <w:rFonts w:ascii="Arial" w:hAnsi="Arial" w:cs="Arial"/>
          <w:color w:val="000000"/>
          <w:lang w:val="en-US"/>
        </w:rPr>
        <w:t xml:space="preserve">. </w:t>
      </w:r>
      <w:r w:rsidR="00592195">
        <w:rPr>
          <w:rFonts w:ascii="Arial" w:hAnsi="Arial" w:cs="Arial"/>
          <w:color w:val="000000"/>
          <w:lang w:val="en-US"/>
        </w:rPr>
        <w:t>23</w:t>
      </w:r>
      <w:r w:rsidR="0099439D" w:rsidRPr="00DC5C07">
        <w:rPr>
          <w:rFonts w:ascii="Arial" w:hAnsi="Arial" w:cs="Arial"/>
          <w:color w:val="000000"/>
          <w:lang w:val="en-US"/>
        </w:rPr>
        <w:t xml:space="preserve"> </w:t>
      </w:r>
      <w:r w:rsidR="0099439D" w:rsidRPr="002B1656">
        <w:rPr>
          <w:rFonts w:ascii="Arial" w:hAnsi="Arial" w:cs="Arial"/>
          <w:color w:val="000000"/>
          <w:lang w:val="en-US"/>
        </w:rPr>
        <w:t xml:space="preserve">April </w:t>
      </w:r>
      <w:r w:rsidRPr="00DC5C07">
        <w:rPr>
          <w:rFonts w:ascii="Arial" w:hAnsi="Arial" w:cs="Arial"/>
          <w:color w:val="000000"/>
          <w:lang w:val="en-US"/>
        </w:rPr>
        <w:t>202</w:t>
      </w:r>
      <w:r w:rsidR="0099439D" w:rsidRPr="002B1656">
        <w:rPr>
          <w:rFonts w:ascii="Arial" w:hAnsi="Arial" w:cs="Arial"/>
          <w:color w:val="000000"/>
          <w:lang w:val="en-US"/>
        </w:rPr>
        <w:t>6</w:t>
      </w:r>
      <w:r w:rsidRPr="002101ED">
        <w:rPr>
          <w:rFonts w:ascii="Arial" w:hAnsi="Arial" w:cs="Arial"/>
          <w:color w:val="000000"/>
          <w:lang w:val="en-US"/>
        </w:rPr>
        <w:t xml:space="preserve"> </w:t>
      </w:r>
      <w:r w:rsidR="006D3C03" w:rsidRPr="002101ED">
        <w:rPr>
          <w:rFonts w:ascii="Arial" w:hAnsi="Arial" w:cs="Arial"/>
          <w:color w:val="000000"/>
          <w:lang w:val="en-US"/>
        </w:rPr>
        <w:t>(the “</w:t>
      </w:r>
      <w:r w:rsidR="006D3C03" w:rsidRPr="002101ED">
        <w:rPr>
          <w:rFonts w:ascii="Arial" w:hAnsi="Arial" w:cs="Arial"/>
          <w:b/>
          <w:bCs/>
          <w:color w:val="000000"/>
          <w:lang w:val="en-US"/>
        </w:rPr>
        <w:t>Preference Date</w:t>
      </w:r>
      <w:r w:rsidR="006D3C03" w:rsidRPr="002101ED">
        <w:rPr>
          <w:rFonts w:ascii="Arial" w:hAnsi="Arial" w:cs="Arial"/>
          <w:color w:val="000000"/>
          <w:lang w:val="en-US"/>
        </w:rPr>
        <w:t xml:space="preserve">”) </w:t>
      </w:r>
      <w:r w:rsidR="008046A7" w:rsidRPr="002101ED">
        <w:rPr>
          <w:rFonts w:ascii="Arial" w:hAnsi="Arial" w:cs="Arial"/>
          <w:color w:val="000000"/>
          <w:lang w:val="en-US"/>
        </w:rPr>
        <w:t>holding, as at the end of the Preference Da</w:t>
      </w:r>
      <w:r w:rsidR="00444E50">
        <w:rPr>
          <w:rFonts w:ascii="Arial" w:hAnsi="Arial" w:cs="Arial"/>
          <w:color w:val="000000"/>
          <w:lang w:val="en-US"/>
        </w:rPr>
        <w:t>te</w:t>
      </w:r>
      <w:r w:rsidR="008046A7" w:rsidRPr="002101ED">
        <w:rPr>
          <w:rFonts w:ascii="Arial" w:hAnsi="Arial" w:cs="Arial"/>
          <w:color w:val="000000"/>
          <w:lang w:val="en-US"/>
        </w:rPr>
        <w:t xml:space="preserve">, shares in the Company with a total nominal value of not less than 0.25% (twenty-five hundredths of a percent) of the Company's share capital (this applies to both individual shareholders and groups of shareholders whose assets are managed by a single institution) (collectively </w:t>
      </w:r>
      <w:r w:rsidR="00C94901" w:rsidRPr="002101ED">
        <w:rPr>
          <w:rFonts w:ascii="Arial" w:hAnsi="Arial" w:cs="Arial"/>
          <w:color w:val="000000"/>
          <w:lang w:val="en-US"/>
        </w:rPr>
        <w:t>the</w:t>
      </w:r>
      <w:r w:rsidR="008046A7" w:rsidRPr="002101ED">
        <w:rPr>
          <w:rFonts w:ascii="Arial" w:hAnsi="Arial" w:cs="Arial"/>
          <w:color w:val="000000"/>
          <w:lang w:val="en-US"/>
        </w:rPr>
        <w:t xml:space="preserve"> </w:t>
      </w:r>
      <w:r w:rsidR="00C94901" w:rsidRPr="002101ED">
        <w:rPr>
          <w:rFonts w:ascii="Arial" w:hAnsi="Arial" w:cs="Arial"/>
          <w:color w:val="000000"/>
          <w:lang w:val="en-US"/>
        </w:rPr>
        <w:t>“</w:t>
      </w:r>
      <w:r w:rsidR="008046A7" w:rsidRPr="002101ED">
        <w:rPr>
          <w:rFonts w:ascii="Arial" w:hAnsi="Arial" w:cs="Arial"/>
          <w:b/>
          <w:bCs/>
          <w:color w:val="000000"/>
          <w:lang w:val="en-US"/>
        </w:rPr>
        <w:t>Eligible Investors</w:t>
      </w:r>
      <w:r w:rsidR="00C94901" w:rsidRPr="002101ED">
        <w:rPr>
          <w:rFonts w:ascii="Arial" w:hAnsi="Arial" w:cs="Arial"/>
          <w:color w:val="000000"/>
          <w:lang w:val="en-US"/>
        </w:rPr>
        <w:t>”</w:t>
      </w:r>
      <w:r w:rsidR="008046A7" w:rsidRPr="002101ED">
        <w:rPr>
          <w:rFonts w:ascii="Arial" w:hAnsi="Arial" w:cs="Arial"/>
          <w:color w:val="000000"/>
          <w:lang w:val="en-US"/>
        </w:rPr>
        <w:t xml:space="preserve">), who submit a Declaration </w:t>
      </w:r>
      <w:r w:rsidR="00C94901" w:rsidRPr="002101ED">
        <w:rPr>
          <w:rFonts w:ascii="Arial" w:hAnsi="Arial" w:cs="Arial"/>
          <w:color w:val="000000"/>
          <w:lang w:val="en-US"/>
        </w:rPr>
        <w:t>during</w:t>
      </w:r>
      <w:r w:rsidR="008046A7" w:rsidRPr="002101ED">
        <w:rPr>
          <w:rFonts w:ascii="Arial" w:hAnsi="Arial" w:cs="Arial"/>
          <w:color w:val="000000"/>
          <w:lang w:val="en-US"/>
        </w:rPr>
        <w:t xml:space="preserve"> the Book Building at a price not lower than the Issue Price and </w:t>
      </w:r>
      <w:r w:rsidR="00C94901" w:rsidRPr="002101ED">
        <w:rPr>
          <w:rFonts w:ascii="Arial" w:hAnsi="Arial" w:cs="Arial"/>
          <w:color w:val="000000"/>
          <w:lang w:val="en-US"/>
        </w:rPr>
        <w:t>provide</w:t>
      </w:r>
      <w:r w:rsidR="008046A7" w:rsidRPr="002101ED">
        <w:rPr>
          <w:rFonts w:ascii="Arial" w:hAnsi="Arial" w:cs="Arial"/>
          <w:color w:val="000000"/>
          <w:lang w:val="en-US"/>
        </w:rPr>
        <w:t xml:space="preserve"> information </w:t>
      </w:r>
      <w:r w:rsidR="00C94901" w:rsidRPr="002101ED">
        <w:rPr>
          <w:rFonts w:ascii="Arial" w:hAnsi="Arial" w:cs="Arial"/>
          <w:color w:val="000000"/>
          <w:lang w:val="en-US"/>
        </w:rPr>
        <w:t>during</w:t>
      </w:r>
      <w:r w:rsidR="008046A7" w:rsidRPr="002101ED">
        <w:rPr>
          <w:rFonts w:ascii="Arial" w:hAnsi="Arial" w:cs="Arial"/>
          <w:color w:val="000000"/>
          <w:lang w:val="en-US"/>
        </w:rPr>
        <w:t xml:space="preserve"> the Book Building on the number of </w:t>
      </w:r>
      <w:r w:rsidR="00D20F9D" w:rsidRPr="002101ED">
        <w:rPr>
          <w:rFonts w:ascii="Arial" w:hAnsi="Arial" w:cs="Arial"/>
          <w:color w:val="000000"/>
          <w:lang w:val="en-US"/>
        </w:rPr>
        <w:t xml:space="preserve">Company’s </w:t>
      </w:r>
      <w:r w:rsidR="008046A7" w:rsidRPr="002101ED">
        <w:rPr>
          <w:rFonts w:ascii="Arial" w:hAnsi="Arial" w:cs="Arial"/>
          <w:color w:val="000000"/>
          <w:lang w:val="en-US"/>
        </w:rPr>
        <w:t>shares held at the end of the day on the Preference Date</w:t>
      </w:r>
      <w:r w:rsidR="006D3C03" w:rsidRPr="002101ED">
        <w:rPr>
          <w:rFonts w:ascii="Arial" w:hAnsi="Arial" w:cs="Arial"/>
          <w:color w:val="000000"/>
          <w:lang w:val="en-US"/>
        </w:rPr>
        <w:t xml:space="preserve">, by submitting a certificate or certificates confirming their ownership of Company shares and their number, issued by the investment </w:t>
      </w:r>
      <w:r w:rsidR="00444E50">
        <w:rPr>
          <w:rFonts w:ascii="Arial" w:hAnsi="Arial" w:cs="Arial"/>
          <w:color w:val="000000"/>
          <w:lang w:val="en-US"/>
        </w:rPr>
        <w:t>firm</w:t>
      </w:r>
      <w:r w:rsidR="00444E50" w:rsidRPr="002101ED">
        <w:rPr>
          <w:rFonts w:ascii="Arial" w:hAnsi="Arial" w:cs="Arial"/>
          <w:color w:val="000000"/>
          <w:lang w:val="en-US"/>
        </w:rPr>
        <w:t xml:space="preserve"> </w:t>
      </w:r>
      <w:r w:rsidR="006D3C03" w:rsidRPr="002101ED">
        <w:rPr>
          <w:rFonts w:ascii="Arial" w:hAnsi="Arial" w:cs="Arial"/>
          <w:color w:val="000000"/>
          <w:lang w:val="en-US"/>
        </w:rPr>
        <w:t>maintaining the securities account for the relevant party</w:t>
      </w:r>
      <w:r w:rsidR="00322B0C" w:rsidRPr="002101ED">
        <w:rPr>
          <w:rFonts w:ascii="Arial" w:hAnsi="Arial" w:cs="Arial"/>
          <w:color w:val="000000"/>
          <w:lang w:val="en-US"/>
        </w:rPr>
        <w:t xml:space="preserve">, </w:t>
      </w:r>
      <w:r w:rsidR="006F0F55" w:rsidRPr="002101ED">
        <w:rPr>
          <w:rFonts w:ascii="Arial" w:hAnsi="Arial" w:cs="Arial"/>
          <w:color w:val="000000"/>
          <w:lang w:val="en-US"/>
        </w:rPr>
        <w:t>will enjoy a priority to take up</w:t>
      </w:r>
      <w:r w:rsidR="00C94901" w:rsidRPr="002101ED">
        <w:rPr>
          <w:rFonts w:ascii="Arial" w:hAnsi="Arial" w:cs="Arial"/>
          <w:color w:val="000000"/>
          <w:lang w:val="en-US"/>
        </w:rPr>
        <w:t xml:space="preserve"> </w:t>
      </w:r>
      <w:r w:rsidR="00322B0C" w:rsidRPr="002101ED">
        <w:rPr>
          <w:rFonts w:ascii="Arial" w:hAnsi="Arial" w:cs="Arial"/>
          <w:color w:val="000000"/>
          <w:lang w:val="en-US"/>
        </w:rPr>
        <w:t xml:space="preserve">Series </w:t>
      </w:r>
      <w:r w:rsidR="00BC6EA1">
        <w:rPr>
          <w:rFonts w:ascii="Arial" w:hAnsi="Arial" w:cs="Arial"/>
          <w:color w:val="000000"/>
          <w:lang w:val="en-US"/>
        </w:rPr>
        <w:t>I</w:t>
      </w:r>
      <w:r w:rsidR="00322B0C" w:rsidRPr="002101ED">
        <w:rPr>
          <w:rFonts w:ascii="Arial" w:hAnsi="Arial" w:cs="Arial"/>
          <w:color w:val="000000"/>
          <w:lang w:val="en-US"/>
        </w:rPr>
        <w:t xml:space="preserve"> Shares in a number not less than the number of Series </w:t>
      </w:r>
      <w:r w:rsidR="00BC6EA1">
        <w:rPr>
          <w:rFonts w:ascii="Arial" w:hAnsi="Arial" w:cs="Arial"/>
          <w:color w:val="000000"/>
          <w:lang w:val="en-US"/>
        </w:rPr>
        <w:t>I</w:t>
      </w:r>
      <w:r w:rsidR="00322B0C" w:rsidRPr="002101ED">
        <w:rPr>
          <w:rFonts w:ascii="Arial" w:hAnsi="Arial" w:cs="Arial"/>
          <w:color w:val="000000"/>
          <w:lang w:val="en-US"/>
        </w:rPr>
        <w:t xml:space="preserve"> Shares which, after the Series </w:t>
      </w:r>
      <w:r w:rsidR="00BC6EA1">
        <w:rPr>
          <w:rFonts w:ascii="Arial" w:hAnsi="Arial" w:cs="Arial"/>
          <w:color w:val="000000"/>
          <w:lang w:val="en-US"/>
        </w:rPr>
        <w:t>I</w:t>
      </w:r>
      <w:r w:rsidR="00322B0C" w:rsidRPr="002101ED">
        <w:rPr>
          <w:rFonts w:ascii="Arial" w:hAnsi="Arial" w:cs="Arial"/>
          <w:color w:val="000000"/>
          <w:lang w:val="en-US"/>
        </w:rPr>
        <w:t xml:space="preserve"> Shares have been issued, will enable such Eligible Investor to maintain its share in the total number of votes at the Company’s General Meeting at the level held by such Eligible Investor at the end of day on the Preference Date, provided that if the number of Series </w:t>
      </w:r>
      <w:r w:rsidR="00BC6EA1">
        <w:rPr>
          <w:rFonts w:ascii="Arial" w:hAnsi="Arial" w:cs="Arial"/>
          <w:color w:val="000000"/>
          <w:lang w:val="en-US"/>
        </w:rPr>
        <w:t>I</w:t>
      </w:r>
      <w:r w:rsidR="00322B0C" w:rsidRPr="002101ED">
        <w:rPr>
          <w:rFonts w:ascii="Arial" w:hAnsi="Arial" w:cs="Arial"/>
          <w:color w:val="000000"/>
          <w:lang w:val="en-US"/>
        </w:rPr>
        <w:t xml:space="preserve"> Shares so determined is not an integer, it will be rounded down to the nearest integer (the “</w:t>
      </w:r>
      <w:r w:rsidR="00322B0C" w:rsidRPr="002101ED">
        <w:rPr>
          <w:rFonts w:ascii="Arial" w:hAnsi="Arial" w:cs="Arial"/>
          <w:b/>
          <w:bCs/>
          <w:color w:val="000000"/>
          <w:lang w:val="en-US"/>
        </w:rPr>
        <w:t>Preference Right</w:t>
      </w:r>
      <w:r w:rsidR="00322B0C" w:rsidRPr="002101ED">
        <w:rPr>
          <w:rFonts w:ascii="Arial" w:hAnsi="Arial" w:cs="Arial"/>
          <w:color w:val="000000"/>
          <w:lang w:val="en-US"/>
        </w:rPr>
        <w:t xml:space="preserve">”). </w:t>
      </w:r>
    </w:p>
    <w:p w14:paraId="7E3E2F50" w14:textId="77777777" w:rsidR="00BD39E5" w:rsidRPr="002101ED" w:rsidRDefault="00322B0C"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selection of </w:t>
      </w:r>
      <w:r w:rsidR="002971AF" w:rsidRPr="002101ED">
        <w:rPr>
          <w:rFonts w:ascii="Arial" w:hAnsi="Arial" w:cs="Arial"/>
          <w:color w:val="000000"/>
          <w:lang w:val="en-US"/>
        </w:rPr>
        <w:t>I</w:t>
      </w:r>
      <w:r w:rsidRPr="002101ED">
        <w:rPr>
          <w:rFonts w:ascii="Arial" w:hAnsi="Arial" w:cs="Arial"/>
          <w:color w:val="000000"/>
          <w:lang w:val="en-US"/>
        </w:rPr>
        <w:t xml:space="preserve">nvestors, including Eligible Investors, who will receive offers to subscribe for Series </w:t>
      </w:r>
      <w:r w:rsidR="00BC6EA1">
        <w:rPr>
          <w:rFonts w:ascii="Arial" w:hAnsi="Arial" w:cs="Arial"/>
          <w:color w:val="000000"/>
          <w:lang w:val="en-US"/>
        </w:rPr>
        <w:t>I</w:t>
      </w:r>
      <w:r w:rsidRPr="002101ED">
        <w:rPr>
          <w:rFonts w:ascii="Arial" w:hAnsi="Arial" w:cs="Arial"/>
          <w:color w:val="000000"/>
          <w:lang w:val="en-US"/>
        </w:rPr>
        <w:t xml:space="preserve"> Shares, will </w:t>
      </w:r>
      <w:r w:rsidR="007A7FC9" w:rsidRPr="002101ED">
        <w:rPr>
          <w:rFonts w:ascii="Arial" w:hAnsi="Arial" w:cs="Arial"/>
          <w:color w:val="000000"/>
          <w:lang w:val="en-US"/>
        </w:rPr>
        <w:t xml:space="preserve">be conducted by the Company and </w:t>
      </w:r>
      <w:r w:rsidRPr="002101ED">
        <w:rPr>
          <w:rFonts w:ascii="Arial" w:hAnsi="Arial" w:cs="Arial"/>
          <w:color w:val="000000"/>
          <w:lang w:val="en-US"/>
        </w:rPr>
        <w:t xml:space="preserve">be based on Book Building, so as to maximize the proceeds from the Series </w:t>
      </w:r>
      <w:r w:rsidR="00BC6EA1">
        <w:rPr>
          <w:rFonts w:ascii="Arial" w:hAnsi="Arial" w:cs="Arial"/>
          <w:color w:val="000000"/>
          <w:lang w:val="en-US"/>
        </w:rPr>
        <w:t>I</w:t>
      </w:r>
      <w:r w:rsidRPr="002101ED">
        <w:rPr>
          <w:rFonts w:ascii="Arial" w:hAnsi="Arial" w:cs="Arial"/>
          <w:color w:val="000000"/>
          <w:lang w:val="en-US"/>
        </w:rPr>
        <w:t xml:space="preserve"> Shares issuance. If an Eligible Investor submits a Declaration in a number </w:t>
      </w:r>
      <w:r w:rsidR="00444E50">
        <w:rPr>
          <w:rFonts w:ascii="Arial" w:hAnsi="Arial" w:cs="Arial"/>
          <w:color w:val="000000"/>
          <w:lang w:val="en-US"/>
        </w:rPr>
        <w:t xml:space="preserve">equal to or </w:t>
      </w:r>
      <w:r w:rsidRPr="002101ED">
        <w:rPr>
          <w:rFonts w:ascii="Arial" w:hAnsi="Arial" w:cs="Arial"/>
          <w:color w:val="000000"/>
          <w:lang w:val="en-US"/>
        </w:rPr>
        <w:t>not exceeding the number determined based on its Preference Right, the offer to acquire Offer Shares made to such Eligible Investor will provide for the number set out in its Declaration (</w:t>
      </w:r>
      <w:r w:rsidR="004E60CF" w:rsidRPr="002101ED">
        <w:rPr>
          <w:rFonts w:ascii="Arial" w:hAnsi="Arial" w:cs="Arial"/>
          <w:color w:val="000000"/>
          <w:lang w:val="en-US"/>
        </w:rPr>
        <w:t>subject to the requirements referred to in the paragraph below</w:t>
      </w:r>
      <w:r w:rsidRPr="002101ED">
        <w:rPr>
          <w:rFonts w:ascii="Arial" w:hAnsi="Arial" w:cs="Arial"/>
          <w:color w:val="000000"/>
          <w:lang w:val="en-US"/>
        </w:rPr>
        <w:t>).</w:t>
      </w:r>
    </w:p>
    <w:p w14:paraId="32AA0254" w14:textId="77777777" w:rsidR="00BD39E5" w:rsidRPr="002101ED" w:rsidRDefault="00BD39E5" w:rsidP="00BD39E5">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Other than Qualified Investors, only the </w:t>
      </w:r>
      <w:r w:rsidR="004E60CF" w:rsidRPr="002101ED">
        <w:rPr>
          <w:rFonts w:ascii="Arial" w:hAnsi="Arial" w:cs="Arial"/>
          <w:color w:val="000000"/>
          <w:lang w:val="en-US"/>
        </w:rPr>
        <w:t>I</w:t>
      </w:r>
      <w:r w:rsidRPr="002101ED">
        <w:rPr>
          <w:rFonts w:ascii="Arial" w:hAnsi="Arial" w:cs="Arial"/>
          <w:color w:val="000000"/>
          <w:lang w:val="en-US"/>
        </w:rPr>
        <w:t>nvestors to whom Offer Shares with the minimum value of EUR 100,000 have been pre-allocated can be invited to execute a subscription agreement for the Offer Shares</w:t>
      </w:r>
      <w:r w:rsidR="00604325" w:rsidRPr="002101ED">
        <w:rPr>
          <w:rFonts w:ascii="Arial" w:eastAsia="Times New Roman" w:hAnsi="Arial" w:cs="Arial"/>
          <w:lang w:val="en-US" w:eastAsia="pl-PL"/>
        </w:rPr>
        <w:t xml:space="preserve"> </w:t>
      </w:r>
      <w:r w:rsidR="00604325" w:rsidRPr="002101ED">
        <w:rPr>
          <w:rFonts w:ascii="Arial" w:hAnsi="Arial" w:cs="Arial"/>
          <w:color w:val="000000"/>
          <w:lang w:val="en-US"/>
        </w:rPr>
        <w:t>or</w:t>
      </w:r>
      <w:r w:rsidR="00085200" w:rsidRPr="002101ED">
        <w:rPr>
          <w:rFonts w:ascii="Arial" w:hAnsi="Arial" w:cs="Arial"/>
          <w:color w:val="000000"/>
          <w:lang w:val="en-US"/>
        </w:rPr>
        <w:t xml:space="preserve"> the </w:t>
      </w:r>
      <w:r w:rsidR="00604325" w:rsidRPr="002101ED">
        <w:rPr>
          <w:rFonts w:ascii="Arial" w:hAnsi="Arial" w:cs="Arial"/>
          <w:color w:val="000000"/>
          <w:lang w:val="en-US"/>
        </w:rPr>
        <w:t>Investors who meet other requirements allowing the Company to conduct an Offer</w:t>
      </w:r>
      <w:r w:rsidR="00085200" w:rsidRPr="002101ED">
        <w:rPr>
          <w:rFonts w:ascii="Arial" w:hAnsi="Arial" w:cs="Arial"/>
          <w:color w:val="000000"/>
          <w:lang w:val="en-US"/>
        </w:rPr>
        <w:t>ing</w:t>
      </w:r>
      <w:r w:rsidR="00604325" w:rsidRPr="002101ED">
        <w:rPr>
          <w:rFonts w:ascii="Arial" w:hAnsi="Arial" w:cs="Arial"/>
          <w:color w:val="000000"/>
          <w:lang w:val="en-US"/>
        </w:rPr>
        <w:t xml:space="preserve"> exempt from the obligation to publish a prospectus within the meaning of applicable law, or the obligation to publish another information document or offering document for the purposes of such an offering, or on the basis of an exemption from the obligation to register in another jurisdiction.</w:t>
      </w:r>
    </w:p>
    <w:p w14:paraId="3F282A81" w14:textId="77777777" w:rsidR="00F86CA9" w:rsidRPr="002101ED" w:rsidRDefault="00F86CA9" w:rsidP="00F86CA9">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Management Board will be entitled to offer Series </w:t>
      </w:r>
      <w:r w:rsidR="00BC6EA1">
        <w:rPr>
          <w:rFonts w:ascii="Arial" w:hAnsi="Arial" w:cs="Arial"/>
          <w:color w:val="000000"/>
          <w:lang w:val="en-US"/>
        </w:rPr>
        <w:t>I</w:t>
      </w:r>
      <w:r w:rsidRPr="002101ED">
        <w:rPr>
          <w:rFonts w:ascii="Arial" w:hAnsi="Arial" w:cs="Arial"/>
          <w:color w:val="000000"/>
          <w:lang w:val="en-US"/>
        </w:rPr>
        <w:t xml:space="preserve"> Shares which have not been allocated to the Eligible Investors in accordance with the rules in the paragraphs above to other entities entitled to participate in the Offering on the terms and conditions set out in the</w:t>
      </w:r>
      <w:r w:rsidR="007A7FC9" w:rsidRPr="002101ED">
        <w:rPr>
          <w:rFonts w:ascii="Arial" w:hAnsi="Arial" w:cs="Arial"/>
          <w:color w:val="000000"/>
          <w:lang w:val="en-US"/>
        </w:rPr>
        <w:t>se Book Building and Subscription Rules</w:t>
      </w:r>
      <w:r w:rsidRPr="002101ED">
        <w:rPr>
          <w:rFonts w:ascii="Arial" w:hAnsi="Arial" w:cs="Arial"/>
          <w:color w:val="000000"/>
          <w:lang w:val="en-US"/>
        </w:rPr>
        <w:t>.</w:t>
      </w:r>
    </w:p>
    <w:p w14:paraId="02F3767A" w14:textId="77777777" w:rsidR="00E01EFC" w:rsidRPr="002101ED" w:rsidRDefault="00E01EFC"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Potential </w:t>
      </w:r>
      <w:r w:rsidR="0072048A" w:rsidRPr="002101ED">
        <w:rPr>
          <w:rFonts w:ascii="Arial" w:hAnsi="Arial" w:cs="Arial"/>
          <w:color w:val="000000"/>
          <w:lang w:val="en-US"/>
        </w:rPr>
        <w:t>I</w:t>
      </w:r>
      <w:r w:rsidRPr="002101ED">
        <w:rPr>
          <w:rFonts w:ascii="Arial" w:hAnsi="Arial" w:cs="Arial"/>
          <w:color w:val="000000"/>
          <w:lang w:val="en-US"/>
        </w:rPr>
        <w:t xml:space="preserve">nvestors are encouraged to contact </w:t>
      </w:r>
      <w:r w:rsidR="007A7FC9" w:rsidRPr="002101ED">
        <w:rPr>
          <w:rFonts w:ascii="Arial" w:hAnsi="Arial" w:cs="Arial"/>
          <w:color w:val="000000"/>
          <w:lang w:val="en-US"/>
        </w:rPr>
        <w:t>Trigon DM</w:t>
      </w:r>
      <w:r w:rsidRPr="002101ED">
        <w:rPr>
          <w:rFonts w:ascii="Arial" w:hAnsi="Arial" w:cs="Arial"/>
          <w:color w:val="000000"/>
          <w:lang w:val="en-US"/>
        </w:rPr>
        <w:t xml:space="preserve"> for information on the detailed rules of participation in the Offering, in particular concerning (i) the relevant rules and documents required to submit a Declaration and execute a </w:t>
      </w:r>
      <w:r w:rsidRPr="002101ED">
        <w:rPr>
          <w:rFonts w:ascii="Arial" w:hAnsi="Arial" w:cs="Arial"/>
          <w:lang w:val="en-US"/>
        </w:rPr>
        <w:t>Subscription Agreement (as defined below)</w:t>
      </w:r>
      <w:r w:rsidRPr="002101ED">
        <w:rPr>
          <w:rFonts w:ascii="Arial" w:hAnsi="Arial" w:cs="Arial"/>
          <w:color w:val="000000"/>
          <w:lang w:val="en-US"/>
        </w:rPr>
        <w:t xml:space="preserve">, acting personally, through a statutory representative, proxies or other persons acting on behalf of </w:t>
      </w:r>
      <w:r w:rsidR="0072048A" w:rsidRPr="002101ED">
        <w:rPr>
          <w:rFonts w:ascii="Arial" w:hAnsi="Arial" w:cs="Arial"/>
          <w:color w:val="000000"/>
          <w:lang w:val="en-US"/>
        </w:rPr>
        <w:t>the I</w:t>
      </w:r>
      <w:r w:rsidRPr="002101ED">
        <w:rPr>
          <w:rFonts w:ascii="Arial" w:hAnsi="Arial" w:cs="Arial"/>
          <w:color w:val="000000"/>
          <w:lang w:val="en-US"/>
        </w:rPr>
        <w:t xml:space="preserve">nvestor; and (ii) the options for submitting a Declaration in a form other than in writing. </w:t>
      </w:r>
    </w:p>
    <w:p w14:paraId="5114D11B" w14:textId="77777777" w:rsidR="009E1D43" w:rsidRPr="002101ED" w:rsidRDefault="00247990">
      <w:pPr>
        <w:spacing w:after="120" w:line="240" w:lineRule="auto"/>
        <w:jc w:val="both"/>
        <w:rPr>
          <w:rFonts w:ascii="Arial" w:hAnsi="Arial" w:cs="Arial"/>
          <w:b/>
          <w:bCs/>
          <w:u w:val="single"/>
          <w:lang w:val="en-US"/>
        </w:rPr>
      </w:pPr>
      <w:r w:rsidRPr="002101ED">
        <w:rPr>
          <w:rFonts w:ascii="Arial" w:hAnsi="Arial" w:cs="Arial"/>
          <w:b/>
          <w:bCs/>
          <w:u w:val="single"/>
          <w:lang w:val="en-US"/>
        </w:rPr>
        <w:t>Selected information on the Offer Shares</w:t>
      </w:r>
    </w:p>
    <w:p w14:paraId="26A6C7CA" w14:textId="77777777" w:rsidR="00A5581A" w:rsidRPr="002101ED" w:rsidRDefault="00085200"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lastRenderedPageBreak/>
        <w:t>Subject to</w:t>
      </w:r>
      <w:r w:rsidR="00604325" w:rsidRPr="002101ED">
        <w:rPr>
          <w:rFonts w:ascii="Arial" w:hAnsi="Arial" w:cs="Arial"/>
          <w:color w:val="000000"/>
          <w:lang w:val="en-US"/>
        </w:rPr>
        <w:t xml:space="preserve"> the results of the Book Building, the Issuer anticipates that if a decision is made to proceed with the Offer, t</w:t>
      </w:r>
      <w:r w:rsidR="009E1D43" w:rsidRPr="002101ED">
        <w:rPr>
          <w:rFonts w:ascii="Arial" w:hAnsi="Arial" w:cs="Arial"/>
          <w:color w:val="000000"/>
          <w:lang w:val="en-US"/>
        </w:rPr>
        <w:t xml:space="preserve">he Issuer will offer not less than 1 and not more than </w:t>
      </w:r>
      <w:r w:rsidR="00BC6EA1" w:rsidRPr="002B1656">
        <w:rPr>
          <w:rFonts w:ascii="Arial" w:hAnsi="Arial" w:cs="Arial"/>
          <w:color w:val="000000"/>
          <w:lang w:val="en-US"/>
        </w:rPr>
        <w:t>4</w:t>
      </w:r>
      <w:r w:rsidR="00BC6EA1">
        <w:rPr>
          <w:rFonts w:ascii="Arial" w:hAnsi="Arial" w:cs="Arial"/>
          <w:color w:val="000000"/>
          <w:lang w:val="en-US"/>
        </w:rPr>
        <w:t>,</w:t>
      </w:r>
      <w:r w:rsidR="00BC6EA1" w:rsidRPr="002B1656">
        <w:rPr>
          <w:rFonts w:ascii="Arial" w:hAnsi="Arial" w:cs="Arial"/>
          <w:color w:val="000000"/>
          <w:lang w:val="en-US"/>
        </w:rPr>
        <w:t>112</w:t>
      </w:r>
      <w:r w:rsidR="00BC6EA1">
        <w:rPr>
          <w:rFonts w:ascii="Arial" w:hAnsi="Arial" w:cs="Arial"/>
          <w:color w:val="000000"/>
          <w:lang w:val="en-US"/>
        </w:rPr>
        <w:t>,</w:t>
      </w:r>
      <w:r w:rsidR="00BC6EA1" w:rsidRPr="002B1656">
        <w:rPr>
          <w:rFonts w:ascii="Arial" w:hAnsi="Arial" w:cs="Arial"/>
          <w:color w:val="000000"/>
          <w:lang w:val="en-US"/>
        </w:rPr>
        <w:t xml:space="preserve">081 </w:t>
      </w:r>
      <w:r w:rsidR="009E1D43" w:rsidRPr="002101ED">
        <w:rPr>
          <w:rFonts w:ascii="Arial" w:hAnsi="Arial" w:cs="Arial"/>
          <w:color w:val="000000"/>
          <w:lang w:val="en-US"/>
        </w:rPr>
        <w:t>Offer Shares</w:t>
      </w:r>
      <w:r w:rsidR="009E1D43" w:rsidRPr="002101ED">
        <w:rPr>
          <w:rFonts w:ascii="Arial" w:hAnsi="Arial" w:cs="Arial"/>
          <w:lang w:val="en-US"/>
        </w:rPr>
        <w:t>.</w:t>
      </w:r>
    </w:p>
    <w:p w14:paraId="674B45BB" w14:textId="77777777" w:rsidR="002E592B"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The Offer Shares may be taken up only for cash contributions.</w:t>
      </w:r>
    </w:p>
    <w:p w14:paraId="4DBEFD5C" w14:textId="55384C08" w:rsidR="009E1D43" w:rsidRPr="002101ED" w:rsidRDefault="00B84201"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Issuer will offer all Series </w:t>
      </w:r>
      <w:r w:rsidR="00BC6EA1">
        <w:rPr>
          <w:rFonts w:ascii="Arial" w:hAnsi="Arial" w:cs="Arial"/>
          <w:color w:val="000000"/>
          <w:lang w:val="en-US"/>
        </w:rPr>
        <w:t>I</w:t>
      </w:r>
      <w:r w:rsidRPr="002101ED">
        <w:rPr>
          <w:rFonts w:ascii="Arial" w:hAnsi="Arial" w:cs="Arial"/>
          <w:color w:val="000000"/>
          <w:lang w:val="en-US"/>
        </w:rPr>
        <w:t xml:space="preserve"> Shares through </w:t>
      </w:r>
      <w:r w:rsidR="007A7FC9" w:rsidRPr="002101ED">
        <w:rPr>
          <w:rFonts w:ascii="Arial" w:hAnsi="Arial" w:cs="Arial"/>
          <w:color w:val="000000"/>
          <w:lang w:val="en-US"/>
        </w:rPr>
        <w:t>Trigon DM</w:t>
      </w:r>
      <w:r w:rsidRPr="002101ED">
        <w:rPr>
          <w:rFonts w:ascii="Arial" w:hAnsi="Arial" w:cs="Arial"/>
          <w:color w:val="000000"/>
          <w:lang w:val="en-US"/>
        </w:rPr>
        <w:t xml:space="preserve">. The </w:t>
      </w:r>
      <w:r w:rsidR="00E97087" w:rsidRPr="002101ED">
        <w:rPr>
          <w:rFonts w:ascii="Arial" w:hAnsi="Arial" w:cs="Arial"/>
          <w:color w:val="000000"/>
          <w:lang w:val="en-US"/>
        </w:rPr>
        <w:t xml:space="preserve">Issue Price </w:t>
      </w:r>
      <w:r w:rsidRPr="002101ED">
        <w:rPr>
          <w:rFonts w:ascii="Arial" w:hAnsi="Arial" w:cs="Arial"/>
          <w:color w:val="000000"/>
          <w:lang w:val="en-US"/>
        </w:rPr>
        <w:t xml:space="preserve">will be determined </w:t>
      </w:r>
      <w:r w:rsidR="00C53B17">
        <w:rPr>
          <w:rFonts w:ascii="Arial" w:hAnsi="Arial" w:cs="Arial"/>
          <w:color w:val="000000"/>
          <w:lang w:val="en-US"/>
        </w:rPr>
        <w:t xml:space="preserve">by the Management Baord at no less than PLN 4.00 per Series I Share </w:t>
      </w:r>
      <w:r w:rsidRPr="002101ED">
        <w:rPr>
          <w:rFonts w:ascii="Arial" w:hAnsi="Arial" w:cs="Arial"/>
          <w:color w:val="000000"/>
          <w:lang w:val="en-US"/>
        </w:rPr>
        <w:t>based on the results of the Book Building.</w:t>
      </w:r>
    </w:p>
    <w:p w14:paraId="330A97E0" w14:textId="77777777" w:rsidR="009E1D43"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Series </w:t>
      </w:r>
      <w:r w:rsidR="00BC6EA1">
        <w:rPr>
          <w:rFonts w:ascii="Arial" w:hAnsi="Arial" w:cs="Arial"/>
          <w:color w:val="000000"/>
          <w:lang w:val="en-US"/>
        </w:rPr>
        <w:t>I</w:t>
      </w:r>
      <w:r w:rsidRPr="002101ED">
        <w:rPr>
          <w:rFonts w:ascii="Arial" w:hAnsi="Arial" w:cs="Arial"/>
          <w:color w:val="000000"/>
          <w:lang w:val="en-US"/>
        </w:rPr>
        <w:t xml:space="preserve"> Shares will participate in dividends on the following terms:</w:t>
      </w:r>
    </w:p>
    <w:p w14:paraId="387143F8" w14:textId="77777777" w:rsidR="002E592B" w:rsidRPr="002101ED" w:rsidRDefault="002E592B" w:rsidP="004E60CF">
      <w:pPr>
        <w:pStyle w:val="ListParagraph"/>
        <w:numPr>
          <w:ilvl w:val="0"/>
          <w:numId w:val="2"/>
        </w:numPr>
        <w:spacing w:after="120"/>
        <w:jc w:val="both"/>
        <w:rPr>
          <w:rFonts w:ascii="Arial" w:hAnsi="Arial" w:cs="Arial"/>
          <w:color w:val="000000"/>
          <w:sz w:val="22"/>
          <w:szCs w:val="22"/>
          <w:lang w:val="en-US"/>
        </w:rPr>
      </w:pPr>
      <w:r w:rsidRPr="002101ED">
        <w:rPr>
          <w:rFonts w:ascii="Arial" w:hAnsi="Arial" w:cs="Arial"/>
          <w:color w:val="000000"/>
          <w:sz w:val="22"/>
          <w:szCs w:val="22"/>
          <w:lang w:val="en-US"/>
        </w:rPr>
        <w:t xml:space="preserve">The </w:t>
      </w:r>
      <w:r w:rsidR="007A7FC9" w:rsidRPr="002101ED">
        <w:rPr>
          <w:rFonts w:ascii="Arial" w:hAnsi="Arial" w:cs="Arial"/>
          <w:color w:val="000000"/>
          <w:sz w:val="22"/>
          <w:szCs w:val="22"/>
          <w:lang w:val="en-US"/>
        </w:rPr>
        <w:t xml:space="preserve">Offer </w:t>
      </w:r>
      <w:r w:rsidRPr="002101ED">
        <w:rPr>
          <w:rFonts w:ascii="Arial" w:hAnsi="Arial" w:cs="Arial"/>
          <w:color w:val="000000"/>
          <w:sz w:val="22"/>
          <w:szCs w:val="22"/>
          <w:lang w:val="en-US"/>
        </w:rPr>
        <w:t xml:space="preserve">Shares </w:t>
      </w:r>
      <w:r w:rsidR="004E60CF" w:rsidRPr="002101ED">
        <w:rPr>
          <w:rFonts w:ascii="Arial" w:hAnsi="Arial" w:cs="Arial"/>
          <w:color w:val="000000"/>
          <w:sz w:val="22"/>
          <w:szCs w:val="22"/>
          <w:lang w:val="en-US"/>
        </w:rPr>
        <w:t>recorded for the first time on the securities account on or before the dividend record date established in the General Meeting’s resolution on the distribution of profit, will participate in the dividend starting with the profit earned for the preceding fiscal year, i.e., from 1 January of the fiscal year immediately preceding the year in which such shares were recorded first time on the securities account</w:t>
      </w:r>
      <w:r w:rsidR="00F34814" w:rsidRPr="002101ED">
        <w:rPr>
          <w:rFonts w:ascii="Arial" w:hAnsi="Arial" w:cs="Arial"/>
          <w:color w:val="000000"/>
          <w:sz w:val="22"/>
          <w:szCs w:val="22"/>
          <w:lang w:val="en-US"/>
        </w:rPr>
        <w:t>;</w:t>
      </w:r>
    </w:p>
    <w:p w14:paraId="6C494188" w14:textId="77777777" w:rsidR="002E592B" w:rsidRPr="002101ED" w:rsidRDefault="002E592B" w:rsidP="004E60CF">
      <w:pPr>
        <w:pStyle w:val="ListParagraph"/>
        <w:numPr>
          <w:ilvl w:val="0"/>
          <w:numId w:val="2"/>
        </w:numPr>
        <w:spacing w:after="120"/>
        <w:jc w:val="both"/>
        <w:rPr>
          <w:rFonts w:ascii="Arial" w:hAnsi="Arial" w:cs="Arial"/>
          <w:color w:val="000000"/>
          <w:sz w:val="22"/>
          <w:szCs w:val="22"/>
          <w:lang w:val="en-US"/>
        </w:rPr>
      </w:pPr>
      <w:r w:rsidRPr="002101ED">
        <w:rPr>
          <w:rFonts w:ascii="Arial" w:hAnsi="Arial" w:cs="Arial"/>
          <w:color w:val="000000"/>
          <w:sz w:val="22"/>
          <w:szCs w:val="22"/>
          <w:lang w:val="en-US"/>
        </w:rPr>
        <w:t xml:space="preserve">The </w:t>
      </w:r>
      <w:r w:rsidR="00D20F9D" w:rsidRPr="002101ED">
        <w:rPr>
          <w:rFonts w:ascii="Arial" w:hAnsi="Arial" w:cs="Arial"/>
          <w:color w:val="000000"/>
          <w:sz w:val="22"/>
          <w:szCs w:val="22"/>
          <w:lang w:val="en-US"/>
        </w:rPr>
        <w:t>Offer</w:t>
      </w:r>
      <w:r w:rsidRPr="002101ED">
        <w:rPr>
          <w:rFonts w:ascii="Arial" w:hAnsi="Arial" w:cs="Arial"/>
          <w:color w:val="000000"/>
          <w:sz w:val="22"/>
          <w:szCs w:val="22"/>
          <w:lang w:val="en-US"/>
        </w:rPr>
        <w:t xml:space="preserve"> Shares </w:t>
      </w:r>
      <w:r w:rsidR="004E60CF" w:rsidRPr="002101ED">
        <w:rPr>
          <w:rFonts w:ascii="Arial" w:hAnsi="Arial" w:cs="Arial"/>
          <w:color w:val="000000"/>
          <w:sz w:val="22"/>
          <w:szCs w:val="22"/>
          <w:lang w:val="en-US"/>
        </w:rPr>
        <w:t>recorded for the first time on the securities account on a day falling after the dividend record date established in the General Meeting’s resolution on the distribution of profit, will participate in the dividend starting with the profit earned for the fiscal year in which such shares were recorded first time on the securities account, i.e. from 1 January of that fiscal year</w:t>
      </w:r>
      <w:r w:rsidR="00F34814" w:rsidRPr="002101ED">
        <w:rPr>
          <w:rFonts w:ascii="Arial" w:hAnsi="Arial" w:cs="Arial"/>
          <w:color w:val="000000"/>
          <w:sz w:val="22"/>
          <w:szCs w:val="22"/>
          <w:lang w:val="en-US"/>
        </w:rPr>
        <w:t>.</w:t>
      </w:r>
    </w:p>
    <w:p w14:paraId="5163E056" w14:textId="77777777" w:rsidR="002E592B" w:rsidRPr="002101ED" w:rsidRDefault="002E592B"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Series </w:t>
      </w:r>
      <w:r w:rsidR="00BC6EA1">
        <w:rPr>
          <w:rFonts w:ascii="Arial" w:hAnsi="Arial" w:cs="Arial"/>
          <w:color w:val="000000"/>
          <w:lang w:val="en-US"/>
        </w:rPr>
        <w:t>I</w:t>
      </w:r>
      <w:r w:rsidRPr="002101ED">
        <w:rPr>
          <w:rFonts w:ascii="Arial" w:hAnsi="Arial" w:cs="Arial"/>
          <w:color w:val="000000"/>
          <w:lang w:val="en-US"/>
        </w:rPr>
        <w:t xml:space="preserve"> Shares will be dematerialized, within the meaning of relevant regulations, in particular the Act of 29 July 2005 on Trading in Financial Instruments (the “</w:t>
      </w:r>
      <w:r w:rsidRPr="002101ED">
        <w:rPr>
          <w:rFonts w:ascii="Arial" w:hAnsi="Arial" w:cs="Arial"/>
          <w:b/>
          <w:bCs/>
          <w:color w:val="000000"/>
          <w:lang w:val="en-US"/>
        </w:rPr>
        <w:t>Trading Act</w:t>
      </w:r>
      <w:r w:rsidRPr="002101ED">
        <w:rPr>
          <w:rFonts w:ascii="Arial" w:hAnsi="Arial" w:cs="Arial"/>
          <w:color w:val="000000"/>
          <w:lang w:val="en-US"/>
        </w:rPr>
        <w:t>”), and will be registered in the securities depository maintained by Krajowy Depozyt Papierów Wartościowych S.A. (the National Depository for Securities – “</w:t>
      </w:r>
      <w:r w:rsidRPr="002101ED">
        <w:rPr>
          <w:rFonts w:ascii="Arial" w:hAnsi="Arial" w:cs="Arial"/>
          <w:b/>
          <w:bCs/>
          <w:color w:val="000000"/>
          <w:lang w:val="en-US"/>
        </w:rPr>
        <w:t>NDS</w:t>
      </w:r>
      <w:r w:rsidRPr="002101ED">
        <w:rPr>
          <w:rFonts w:ascii="Arial" w:hAnsi="Arial" w:cs="Arial"/>
          <w:color w:val="000000"/>
          <w:lang w:val="en-US"/>
        </w:rPr>
        <w:t xml:space="preserve">”), therefore the </w:t>
      </w:r>
      <w:r w:rsidR="004E60CF" w:rsidRPr="002101ED">
        <w:rPr>
          <w:rFonts w:ascii="Arial" w:hAnsi="Arial" w:cs="Arial"/>
          <w:color w:val="000000"/>
          <w:lang w:val="en-US"/>
        </w:rPr>
        <w:t>I</w:t>
      </w:r>
      <w:r w:rsidRPr="002101ED">
        <w:rPr>
          <w:rFonts w:ascii="Arial" w:hAnsi="Arial" w:cs="Arial"/>
          <w:color w:val="000000"/>
          <w:lang w:val="en-US"/>
        </w:rPr>
        <w:t>nvestors interested in acquiring the Offer Shares should have securities accounts.</w:t>
      </w:r>
    </w:p>
    <w:p w14:paraId="7FA22CAA" w14:textId="77777777" w:rsidR="00B509A8" w:rsidRPr="002101ED" w:rsidRDefault="00B509A8" w:rsidP="000868D7">
      <w:pPr>
        <w:keepNext/>
        <w:spacing w:after="120" w:line="240" w:lineRule="auto"/>
        <w:jc w:val="both"/>
        <w:rPr>
          <w:rFonts w:ascii="Arial" w:hAnsi="Arial" w:cs="Arial"/>
          <w:b/>
          <w:bCs/>
          <w:u w:val="single"/>
          <w:lang w:val="en-US"/>
        </w:rPr>
      </w:pPr>
      <w:r w:rsidRPr="002101ED">
        <w:rPr>
          <w:rFonts w:ascii="Arial" w:hAnsi="Arial" w:cs="Arial"/>
          <w:b/>
          <w:bCs/>
          <w:color w:val="000000"/>
          <w:u w:val="single"/>
          <w:lang w:val="en-US"/>
        </w:rPr>
        <w:t>Book Building</w:t>
      </w:r>
      <w:r w:rsidRPr="002101ED">
        <w:rPr>
          <w:rFonts w:ascii="Arial" w:hAnsi="Arial" w:cs="Arial"/>
          <w:b/>
          <w:bCs/>
          <w:u w:val="single"/>
          <w:lang w:val="en-US"/>
        </w:rPr>
        <w:t xml:space="preserve"> </w:t>
      </w:r>
    </w:p>
    <w:p w14:paraId="0B986568" w14:textId="02171FE6" w:rsidR="003170E4" w:rsidRPr="002101ED" w:rsidRDefault="00B509A8" w:rsidP="006D3C03">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Offering will be </w:t>
      </w:r>
      <w:r w:rsidR="00F34814" w:rsidRPr="002101ED">
        <w:rPr>
          <w:rFonts w:ascii="Arial" w:hAnsi="Arial" w:cs="Arial"/>
          <w:color w:val="000000"/>
          <w:lang w:val="en-US"/>
        </w:rPr>
        <w:t xml:space="preserve">conducted upon completion of and </w:t>
      </w:r>
      <w:r w:rsidRPr="002101ED">
        <w:rPr>
          <w:rFonts w:ascii="Arial" w:hAnsi="Arial" w:cs="Arial"/>
          <w:color w:val="000000"/>
          <w:lang w:val="en-US"/>
        </w:rPr>
        <w:t>based on the results of the Book Building. The Book Building for the Offer Shares will commence immediately after the publication of these</w:t>
      </w:r>
      <w:r w:rsidR="00D20F9D" w:rsidRPr="002101ED">
        <w:rPr>
          <w:rFonts w:ascii="Arial" w:hAnsi="Arial" w:cs="Arial"/>
          <w:color w:val="000000"/>
          <w:lang w:val="en-US"/>
        </w:rPr>
        <w:t xml:space="preserve"> Book Building</w:t>
      </w:r>
      <w:r w:rsidR="00C35E14" w:rsidRPr="002101ED">
        <w:rPr>
          <w:rFonts w:ascii="Arial" w:hAnsi="Arial" w:cs="Arial"/>
          <w:color w:val="000000"/>
          <w:lang w:val="en-US"/>
        </w:rPr>
        <w:t xml:space="preserve"> and</w:t>
      </w:r>
      <w:r w:rsidRPr="002101ED">
        <w:rPr>
          <w:rFonts w:ascii="Arial" w:hAnsi="Arial" w:cs="Arial"/>
          <w:color w:val="000000"/>
          <w:lang w:val="en-US"/>
        </w:rPr>
        <w:t xml:space="preserve"> Subscription Rules and will be carried out according to the rules described below. The Book Building is scheduled to commence on </w:t>
      </w:r>
      <w:r w:rsidR="00592195">
        <w:rPr>
          <w:rFonts w:ascii="Arial" w:hAnsi="Arial" w:cs="Arial"/>
          <w:color w:val="000000"/>
          <w:lang w:val="en-US"/>
        </w:rPr>
        <w:t>24</w:t>
      </w:r>
      <w:r w:rsidR="00BC6EA1">
        <w:rPr>
          <w:rFonts w:ascii="Arial" w:hAnsi="Arial" w:cs="Arial"/>
          <w:color w:val="000000"/>
          <w:lang w:val="en-US"/>
        </w:rPr>
        <w:t xml:space="preserve"> </w:t>
      </w:r>
      <w:r w:rsidR="0099439D">
        <w:rPr>
          <w:rFonts w:ascii="Arial" w:hAnsi="Arial" w:cs="Arial"/>
          <w:color w:val="000000"/>
          <w:lang w:val="en-US"/>
        </w:rPr>
        <w:t xml:space="preserve">April </w:t>
      </w:r>
      <w:r w:rsidR="00F34814" w:rsidRPr="002101ED">
        <w:rPr>
          <w:rFonts w:ascii="Arial" w:hAnsi="Arial" w:cs="Arial"/>
          <w:color w:val="000000"/>
          <w:lang w:val="en-US"/>
        </w:rPr>
        <w:t>202</w:t>
      </w:r>
      <w:r w:rsidR="00BC6EA1">
        <w:rPr>
          <w:rFonts w:ascii="Arial" w:hAnsi="Arial" w:cs="Arial"/>
          <w:color w:val="000000"/>
          <w:lang w:val="en-US"/>
        </w:rPr>
        <w:t>6</w:t>
      </w:r>
      <w:r w:rsidRPr="002101ED">
        <w:rPr>
          <w:rFonts w:ascii="Arial" w:hAnsi="Arial" w:cs="Arial"/>
          <w:color w:val="000000"/>
          <w:lang w:val="en-US"/>
        </w:rPr>
        <w:t xml:space="preserve"> and end at </w:t>
      </w:r>
      <w:r w:rsidRPr="0099439D">
        <w:rPr>
          <w:rFonts w:ascii="Arial" w:hAnsi="Arial" w:cs="Arial"/>
          <w:color w:val="000000"/>
          <w:lang w:val="en-US"/>
        </w:rPr>
        <w:t>1</w:t>
      </w:r>
      <w:r w:rsidR="00F34814" w:rsidRPr="0099439D">
        <w:rPr>
          <w:rFonts w:ascii="Arial" w:hAnsi="Arial" w:cs="Arial"/>
          <w:color w:val="000000"/>
          <w:lang w:val="en-US"/>
        </w:rPr>
        <w:t>6</w:t>
      </w:r>
      <w:r w:rsidRPr="0099439D">
        <w:rPr>
          <w:rFonts w:ascii="Arial" w:hAnsi="Arial" w:cs="Arial"/>
          <w:color w:val="000000"/>
          <w:lang w:val="en-US"/>
        </w:rPr>
        <w:t>:00</w:t>
      </w:r>
      <w:r w:rsidR="00F34814" w:rsidRPr="002101ED">
        <w:rPr>
          <w:rFonts w:ascii="Arial" w:hAnsi="Arial" w:cs="Arial"/>
          <w:color w:val="000000"/>
          <w:lang w:val="en-US"/>
        </w:rPr>
        <w:t xml:space="preserve"> CEST</w:t>
      </w:r>
      <w:r w:rsidRPr="002101ED">
        <w:rPr>
          <w:rFonts w:ascii="Arial" w:hAnsi="Arial" w:cs="Arial"/>
          <w:color w:val="000000"/>
          <w:lang w:val="en-US"/>
        </w:rPr>
        <w:t xml:space="preserve"> on </w:t>
      </w:r>
      <w:r w:rsidR="00592195">
        <w:rPr>
          <w:rFonts w:ascii="Arial" w:hAnsi="Arial" w:cs="Arial"/>
          <w:color w:val="000000"/>
          <w:lang w:val="en-US"/>
        </w:rPr>
        <w:t>28</w:t>
      </w:r>
      <w:r w:rsidR="00592195" w:rsidRPr="002101ED">
        <w:rPr>
          <w:rFonts w:ascii="Arial" w:hAnsi="Arial" w:cs="Arial"/>
          <w:color w:val="000000"/>
          <w:lang w:val="en-US"/>
        </w:rPr>
        <w:t xml:space="preserve"> </w:t>
      </w:r>
      <w:r w:rsidR="0099439D">
        <w:rPr>
          <w:rFonts w:ascii="Arial" w:hAnsi="Arial" w:cs="Arial"/>
          <w:color w:val="000000"/>
          <w:lang w:val="en-US"/>
        </w:rPr>
        <w:t xml:space="preserve">April </w:t>
      </w:r>
      <w:r w:rsidRPr="002101ED">
        <w:rPr>
          <w:rFonts w:ascii="Arial" w:hAnsi="Arial" w:cs="Arial"/>
          <w:color w:val="000000"/>
          <w:lang w:val="en-US"/>
        </w:rPr>
        <w:t>202</w:t>
      </w:r>
      <w:r w:rsidR="00BC6EA1">
        <w:rPr>
          <w:rFonts w:ascii="Arial" w:hAnsi="Arial" w:cs="Arial"/>
          <w:color w:val="000000"/>
          <w:lang w:val="en-US"/>
        </w:rPr>
        <w:t>6</w:t>
      </w:r>
      <w:r w:rsidRPr="002101ED">
        <w:rPr>
          <w:rFonts w:ascii="Arial" w:hAnsi="Arial" w:cs="Arial"/>
          <w:color w:val="000000"/>
          <w:lang w:val="en-US"/>
        </w:rPr>
        <w:t xml:space="preserve">. </w:t>
      </w:r>
    </w:p>
    <w:p w14:paraId="7076ECC4" w14:textId="77777777" w:rsidR="006D3C03" w:rsidRPr="002101ED" w:rsidRDefault="006D3C03" w:rsidP="006D3C03">
      <w:pPr>
        <w:autoSpaceDE w:val="0"/>
        <w:autoSpaceDN w:val="0"/>
        <w:adjustRightInd w:val="0"/>
        <w:spacing w:after="120" w:line="240" w:lineRule="auto"/>
        <w:jc w:val="both"/>
        <w:rPr>
          <w:rFonts w:ascii="Arial" w:hAnsi="Arial" w:cs="Arial"/>
          <w:b/>
          <w:bCs/>
          <w:color w:val="000000"/>
          <w:lang w:val="en-US"/>
        </w:rPr>
      </w:pPr>
      <w:r w:rsidRPr="002101ED">
        <w:rPr>
          <w:rFonts w:ascii="Arial" w:hAnsi="Arial" w:cs="Arial"/>
          <w:b/>
          <w:bCs/>
          <w:color w:val="000000"/>
          <w:lang w:val="en-US"/>
        </w:rPr>
        <w:t xml:space="preserve">In order to participate in the Book Building for the Offer Shares, each Investor should execute an agreement for the acceptance and transmission of orders with </w:t>
      </w:r>
      <w:r w:rsidR="00F34814" w:rsidRPr="002101ED">
        <w:rPr>
          <w:rFonts w:ascii="Arial" w:hAnsi="Arial" w:cs="Arial"/>
          <w:b/>
          <w:bCs/>
          <w:color w:val="000000"/>
          <w:lang w:val="en-US"/>
        </w:rPr>
        <w:t>Trigon DM</w:t>
      </w:r>
      <w:r w:rsidRPr="002101ED">
        <w:rPr>
          <w:rFonts w:ascii="Arial" w:hAnsi="Arial" w:cs="Arial"/>
          <w:b/>
          <w:bCs/>
          <w:color w:val="000000"/>
          <w:lang w:val="en-US"/>
        </w:rPr>
        <w:t>, unless it already has such an agreement in place.</w:t>
      </w:r>
    </w:p>
    <w:p w14:paraId="1D661EEE" w14:textId="77777777" w:rsidR="00B157BC" w:rsidRPr="002101ED" w:rsidRDefault="00B157BC"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An </w:t>
      </w:r>
      <w:r w:rsidR="004E60CF" w:rsidRPr="002101ED">
        <w:rPr>
          <w:rFonts w:ascii="Arial" w:hAnsi="Arial" w:cs="Arial"/>
          <w:color w:val="000000"/>
          <w:lang w:val="en-US"/>
        </w:rPr>
        <w:t>I</w:t>
      </w:r>
      <w:r w:rsidRPr="002101ED">
        <w:rPr>
          <w:rFonts w:ascii="Arial" w:hAnsi="Arial" w:cs="Arial"/>
          <w:color w:val="000000"/>
          <w:lang w:val="en-US"/>
        </w:rPr>
        <w:t>nvestor who is a party to the Brokerage Agreement and intends to participate in the Offering should:</w:t>
      </w:r>
    </w:p>
    <w:p w14:paraId="71BD5086" w14:textId="77777777" w:rsidR="00F34814" w:rsidRPr="002101ED" w:rsidRDefault="00B157BC" w:rsidP="00B157BC">
      <w:pPr>
        <w:pStyle w:val="ListParagraph"/>
        <w:numPr>
          <w:ilvl w:val="0"/>
          <w:numId w:val="15"/>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submit a Declaration during the Book Building at a price not lower than the Issue Price finally determined by the Management Board; and</w:t>
      </w:r>
    </w:p>
    <w:p w14:paraId="06C70A23" w14:textId="77777777" w:rsidR="00B157BC" w:rsidRPr="002101ED" w:rsidRDefault="00B157BC" w:rsidP="00C35E14">
      <w:pPr>
        <w:pStyle w:val="ListParagraph"/>
        <w:numPr>
          <w:ilvl w:val="0"/>
          <w:numId w:val="15"/>
        </w:numPr>
        <w:autoSpaceDE w:val="0"/>
        <w:autoSpaceDN w:val="0"/>
        <w:adjustRightInd w:val="0"/>
        <w:spacing w:after="120"/>
        <w:jc w:val="both"/>
        <w:rPr>
          <w:rFonts w:ascii="Arial" w:hAnsi="Arial" w:cs="Arial"/>
          <w:color w:val="000000"/>
          <w:sz w:val="22"/>
          <w:szCs w:val="22"/>
          <w:lang w:val="en-US"/>
        </w:rPr>
      </w:pPr>
      <w:r w:rsidRPr="002101ED">
        <w:rPr>
          <w:rFonts w:ascii="Arial" w:hAnsi="Arial" w:cs="Arial"/>
          <w:color w:val="000000"/>
          <w:sz w:val="22"/>
          <w:szCs w:val="22"/>
          <w:lang w:val="en-US"/>
        </w:rPr>
        <w:t xml:space="preserve">execute </w:t>
      </w:r>
      <w:r w:rsidR="00DC5C07">
        <w:rPr>
          <w:rFonts w:ascii="Arial" w:hAnsi="Arial" w:cs="Arial"/>
          <w:color w:val="000000"/>
          <w:sz w:val="22"/>
          <w:szCs w:val="22"/>
          <w:lang w:val="en-US"/>
        </w:rPr>
        <w:t>the</w:t>
      </w:r>
      <w:r w:rsidRPr="002101ED">
        <w:rPr>
          <w:rFonts w:ascii="Arial" w:hAnsi="Arial" w:cs="Arial"/>
          <w:color w:val="000000"/>
          <w:sz w:val="22"/>
          <w:szCs w:val="22"/>
          <w:lang w:val="en-US"/>
        </w:rPr>
        <w:t xml:space="preserve"> Offer Share subscription agreement, including an instruction to deposit the Offer Shares at the Issue Price (the “</w:t>
      </w:r>
      <w:r w:rsidRPr="002101ED">
        <w:rPr>
          <w:rFonts w:ascii="Arial" w:hAnsi="Arial" w:cs="Arial"/>
          <w:b/>
          <w:bCs/>
          <w:color w:val="000000"/>
          <w:sz w:val="22"/>
          <w:szCs w:val="22"/>
          <w:lang w:val="en-US"/>
        </w:rPr>
        <w:t>Subscription Agreement</w:t>
      </w:r>
      <w:r w:rsidRPr="002101ED">
        <w:rPr>
          <w:rFonts w:ascii="Arial" w:hAnsi="Arial" w:cs="Arial"/>
          <w:color w:val="000000"/>
          <w:sz w:val="22"/>
          <w:szCs w:val="22"/>
          <w:lang w:val="en-US"/>
        </w:rPr>
        <w:t>”).</w:t>
      </w:r>
    </w:p>
    <w:p w14:paraId="1CDC9218" w14:textId="77777777" w:rsidR="005C4151" w:rsidRPr="002101ED" w:rsidRDefault="00B157BC" w:rsidP="000868D7">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 xml:space="preserve">Eligible </w:t>
      </w:r>
      <w:r w:rsidR="00444E50">
        <w:rPr>
          <w:rFonts w:ascii="Arial" w:hAnsi="Arial" w:cs="Arial"/>
          <w:color w:val="000000"/>
          <w:lang w:val="en-US"/>
        </w:rPr>
        <w:t>I</w:t>
      </w:r>
      <w:r w:rsidR="00DB49C6" w:rsidRPr="002101ED">
        <w:rPr>
          <w:rFonts w:ascii="Arial" w:hAnsi="Arial" w:cs="Arial"/>
          <w:color w:val="000000"/>
          <w:lang w:val="en-US"/>
        </w:rPr>
        <w:t>nvestor who held at least 0.25% of the Company’s share capital as at the end of the Preference Da</w:t>
      </w:r>
      <w:r w:rsidR="00444E50">
        <w:rPr>
          <w:rFonts w:ascii="Arial" w:hAnsi="Arial" w:cs="Arial"/>
          <w:color w:val="000000"/>
          <w:lang w:val="en-US"/>
        </w:rPr>
        <w:t>te</w:t>
      </w:r>
      <w:r w:rsidR="00604325" w:rsidRPr="002101ED">
        <w:rPr>
          <w:rFonts w:ascii="Arial" w:hAnsi="Arial" w:cs="Arial"/>
          <w:color w:val="000000"/>
          <w:lang w:val="en-US"/>
        </w:rPr>
        <w:t xml:space="preserve"> and meets the requirements for participation in the Offer</w:t>
      </w:r>
      <w:r w:rsidR="00BE1B93" w:rsidRPr="002101ED">
        <w:rPr>
          <w:rFonts w:ascii="Arial" w:hAnsi="Arial" w:cs="Arial"/>
          <w:color w:val="000000"/>
          <w:lang w:val="en-US"/>
        </w:rPr>
        <w:t>ing</w:t>
      </w:r>
      <w:r w:rsidR="00604325" w:rsidRPr="002101ED">
        <w:rPr>
          <w:rFonts w:ascii="Arial" w:hAnsi="Arial" w:cs="Arial"/>
          <w:color w:val="000000"/>
          <w:lang w:val="en-US"/>
        </w:rPr>
        <w:t xml:space="preserve"> specified in these Book Building </w:t>
      </w:r>
      <w:r w:rsidR="00C35E14" w:rsidRPr="002101ED">
        <w:rPr>
          <w:rFonts w:ascii="Arial" w:hAnsi="Arial" w:cs="Arial"/>
          <w:color w:val="000000"/>
          <w:lang w:val="en-US"/>
        </w:rPr>
        <w:t xml:space="preserve">and Subscription </w:t>
      </w:r>
      <w:r w:rsidR="00604325" w:rsidRPr="002101ED">
        <w:rPr>
          <w:rFonts w:ascii="Arial" w:hAnsi="Arial" w:cs="Arial"/>
          <w:color w:val="000000"/>
          <w:lang w:val="en-US"/>
        </w:rPr>
        <w:t>Rules</w:t>
      </w:r>
      <w:r w:rsidR="00DB49C6" w:rsidRPr="002101ED">
        <w:rPr>
          <w:rFonts w:ascii="Arial" w:hAnsi="Arial" w:cs="Arial"/>
          <w:color w:val="000000"/>
          <w:lang w:val="en-US"/>
        </w:rPr>
        <w:t>, may exercise the Preference Right to subscribe for the Offer Shares.</w:t>
      </w:r>
    </w:p>
    <w:p w14:paraId="54DD7118" w14:textId="77777777" w:rsidR="008C57DC" w:rsidRPr="002101ED" w:rsidRDefault="00067FEF" w:rsidP="000868D7">
      <w:pPr>
        <w:pStyle w:val="Default"/>
        <w:spacing w:after="120"/>
        <w:jc w:val="both"/>
        <w:rPr>
          <w:rFonts w:ascii="Arial" w:hAnsi="Arial" w:cs="Arial"/>
          <w:bCs/>
          <w:sz w:val="22"/>
          <w:szCs w:val="22"/>
          <w:lang w:val="en-US"/>
        </w:rPr>
      </w:pPr>
      <w:r w:rsidRPr="002101ED">
        <w:rPr>
          <w:rFonts w:ascii="Arial" w:hAnsi="Arial" w:cs="Arial"/>
          <w:sz w:val="22"/>
          <w:szCs w:val="22"/>
          <w:lang w:val="en-US"/>
        </w:rPr>
        <w:t xml:space="preserve">The Preference Right will be granted with respect to Offer Shares in a number corresponding to the product of: (a) the ratio of the number of Company shares held by the Eligible Investor </w:t>
      </w:r>
      <w:r w:rsidRPr="002101ED">
        <w:rPr>
          <w:rFonts w:ascii="Arial" w:hAnsi="Arial" w:cs="Arial"/>
          <w:sz w:val="22"/>
          <w:szCs w:val="22"/>
          <w:lang w:val="en-US"/>
        </w:rPr>
        <w:lastRenderedPageBreak/>
        <w:t xml:space="preserve">to the number of all outstanding Company shares, and (b) the final number of Offer Shares determined by the Management Board. </w:t>
      </w:r>
    </w:p>
    <w:p w14:paraId="4E487F68" w14:textId="089D60B7" w:rsidR="00DB49C6" w:rsidRPr="002101ED" w:rsidRDefault="007E1825" w:rsidP="00C35E14">
      <w:pPr>
        <w:spacing w:after="120"/>
        <w:jc w:val="both"/>
        <w:rPr>
          <w:rFonts w:ascii="Arial" w:hAnsi="Arial" w:cs="Arial"/>
          <w:bCs/>
          <w:lang w:val="en-US"/>
        </w:rPr>
      </w:pPr>
      <w:r w:rsidRPr="002101ED">
        <w:rPr>
          <w:rFonts w:ascii="Arial" w:hAnsi="Arial" w:cs="Arial"/>
          <w:lang w:val="en-US"/>
        </w:rPr>
        <w:t xml:space="preserve">Eligible Investors who intend to exercise their Preference Rights </w:t>
      </w:r>
      <w:r w:rsidRPr="00121A1F">
        <w:rPr>
          <w:rFonts w:ascii="Arial" w:hAnsi="Arial" w:cs="Arial"/>
          <w:lang w:val="en-US"/>
        </w:rPr>
        <w:t xml:space="preserve">should, </w:t>
      </w:r>
      <w:r w:rsidR="00067FEF" w:rsidRPr="00121A1F">
        <w:rPr>
          <w:rFonts w:ascii="Arial" w:hAnsi="Arial" w:cs="Arial"/>
          <w:lang w:val="en-US"/>
        </w:rPr>
        <w:t xml:space="preserve">by </w:t>
      </w:r>
      <w:r w:rsidR="00592195">
        <w:rPr>
          <w:rFonts w:ascii="Arial" w:hAnsi="Arial" w:cs="Arial"/>
          <w:lang w:val="en-US"/>
        </w:rPr>
        <w:t>27</w:t>
      </w:r>
      <w:r w:rsidR="00592195" w:rsidRPr="00121A1F">
        <w:rPr>
          <w:rFonts w:ascii="Arial" w:hAnsi="Arial" w:cs="Arial"/>
          <w:lang w:val="en-US"/>
        </w:rPr>
        <w:t xml:space="preserve"> </w:t>
      </w:r>
      <w:r w:rsidR="00121A1F" w:rsidRPr="002B1656">
        <w:rPr>
          <w:rFonts w:ascii="Arial" w:hAnsi="Arial" w:cs="Arial"/>
          <w:lang w:val="en-US"/>
        </w:rPr>
        <w:t xml:space="preserve">April </w:t>
      </w:r>
      <w:r w:rsidRPr="00121A1F">
        <w:rPr>
          <w:rFonts w:ascii="Arial" w:hAnsi="Arial" w:cs="Arial"/>
          <w:lang w:val="en-US"/>
        </w:rPr>
        <w:t>202</w:t>
      </w:r>
      <w:r w:rsidR="00BC6EA1" w:rsidRPr="00121A1F">
        <w:rPr>
          <w:rFonts w:ascii="Arial" w:hAnsi="Arial" w:cs="Arial"/>
          <w:lang w:val="en-US"/>
        </w:rPr>
        <w:t>6</w:t>
      </w:r>
      <w:r w:rsidR="00067FEF" w:rsidRPr="00121A1F">
        <w:rPr>
          <w:rFonts w:ascii="Arial" w:hAnsi="Arial" w:cs="Arial"/>
          <w:lang w:val="en-US"/>
        </w:rPr>
        <w:t>,</w:t>
      </w:r>
      <w:r w:rsidR="00067FEF" w:rsidRPr="002101ED">
        <w:rPr>
          <w:rFonts w:ascii="Arial" w:hAnsi="Arial" w:cs="Arial"/>
          <w:lang w:val="en-US"/>
        </w:rPr>
        <w:t xml:space="preserve"> submit to </w:t>
      </w:r>
      <w:r w:rsidR="001E0C42" w:rsidRPr="002101ED">
        <w:rPr>
          <w:rFonts w:ascii="Arial" w:hAnsi="Arial" w:cs="Arial"/>
          <w:lang w:val="en-US"/>
        </w:rPr>
        <w:t>Trigon DM</w:t>
      </w:r>
      <w:r w:rsidR="00067FEF" w:rsidRPr="002101ED">
        <w:rPr>
          <w:rFonts w:ascii="Arial" w:hAnsi="Arial" w:cs="Arial"/>
          <w:lang w:val="en-US"/>
        </w:rPr>
        <w:t xml:space="preserve"> a document issued by the firm that maintains the Eligible Investor’s securities account (in particular, a certificate, a deposit certificate or a document issued by the holder of an omnibus account) confirming that as of the Preference Date</w:t>
      </w:r>
      <w:r w:rsidR="00925F84" w:rsidRPr="002101ED">
        <w:rPr>
          <w:rFonts w:ascii="Arial" w:hAnsi="Arial" w:cs="Arial"/>
          <w:lang w:val="en-US"/>
        </w:rPr>
        <w:t xml:space="preserve"> (i.e. </w:t>
      </w:r>
      <w:r w:rsidR="00592195">
        <w:rPr>
          <w:rFonts w:ascii="Arial" w:hAnsi="Arial" w:cs="Arial"/>
          <w:lang w:val="en-US"/>
        </w:rPr>
        <w:t>23</w:t>
      </w:r>
      <w:r w:rsidR="00592195" w:rsidRPr="002B1656">
        <w:rPr>
          <w:rFonts w:ascii="Arial" w:hAnsi="Arial" w:cs="Arial"/>
          <w:lang w:val="en-US"/>
        </w:rPr>
        <w:t xml:space="preserve"> </w:t>
      </w:r>
      <w:r w:rsidR="00121A1F" w:rsidRPr="002B1656">
        <w:rPr>
          <w:rFonts w:ascii="Arial" w:hAnsi="Arial" w:cs="Arial"/>
          <w:lang w:val="en-US"/>
        </w:rPr>
        <w:t xml:space="preserve">April </w:t>
      </w:r>
      <w:r w:rsidR="006E41F5" w:rsidRPr="00121A1F">
        <w:rPr>
          <w:rFonts w:ascii="Arial" w:hAnsi="Arial" w:cs="Arial"/>
          <w:lang w:val="en-US"/>
        </w:rPr>
        <w:t>202</w:t>
      </w:r>
      <w:r w:rsidR="00121A1F" w:rsidRPr="002B1656">
        <w:rPr>
          <w:rFonts w:ascii="Arial" w:hAnsi="Arial" w:cs="Arial"/>
          <w:lang w:val="en-US"/>
        </w:rPr>
        <w:t>6</w:t>
      </w:r>
      <w:r w:rsidR="00925F84" w:rsidRPr="002101ED">
        <w:rPr>
          <w:rFonts w:ascii="Arial" w:hAnsi="Arial" w:cs="Arial"/>
          <w:lang w:val="en-US"/>
        </w:rPr>
        <w:t>)</w:t>
      </w:r>
      <w:r w:rsidR="00067FEF" w:rsidRPr="002101ED">
        <w:rPr>
          <w:rFonts w:ascii="Arial" w:hAnsi="Arial" w:cs="Arial"/>
          <w:lang w:val="en-US"/>
        </w:rPr>
        <w:t xml:space="preserve"> the Eligible Investor was a Company’s shareholder holding at least 0.25% of its share capital, i.e. at least </w:t>
      </w:r>
      <w:r w:rsidR="00121A1F">
        <w:rPr>
          <w:rFonts w:ascii="Arial" w:hAnsi="Arial" w:cs="Arial"/>
          <w:lang w:val="en-US"/>
        </w:rPr>
        <w:t>106</w:t>
      </w:r>
      <w:r w:rsidR="006E41F5" w:rsidRPr="002101ED">
        <w:rPr>
          <w:rFonts w:ascii="Arial" w:hAnsi="Arial" w:cs="Arial"/>
          <w:lang w:val="en-US"/>
        </w:rPr>
        <w:t>,</w:t>
      </w:r>
      <w:r w:rsidR="00121A1F">
        <w:rPr>
          <w:rFonts w:ascii="Arial" w:hAnsi="Arial" w:cs="Arial"/>
          <w:lang w:val="en-US"/>
        </w:rPr>
        <w:t xml:space="preserve">525 </w:t>
      </w:r>
      <w:r w:rsidR="00067FEF" w:rsidRPr="002101ED">
        <w:rPr>
          <w:rFonts w:ascii="Arial" w:hAnsi="Arial" w:cs="Arial"/>
          <w:lang w:val="en-US"/>
        </w:rPr>
        <w:t>Company shares (the “</w:t>
      </w:r>
      <w:r w:rsidR="00067FEF" w:rsidRPr="002101ED">
        <w:rPr>
          <w:rFonts w:ascii="Arial" w:hAnsi="Arial" w:cs="Arial"/>
          <w:b/>
          <w:bCs/>
          <w:lang w:val="en-US"/>
        </w:rPr>
        <w:t>Confirmation Documents</w:t>
      </w:r>
      <w:r w:rsidR="00067FEF" w:rsidRPr="002101ED">
        <w:rPr>
          <w:rFonts w:ascii="Arial" w:hAnsi="Arial" w:cs="Arial"/>
          <w:lang w:val="en-US"/>
        </w:rPr>
        <w:t>”)</w:t>
      </w:r>
      <w:r w:rsidR="00444E50">
        <w:rPr>
          <w:rFonts w:ascii="Arial" w:hAnsi="Arial" w:cs="Arial"/>
          <w:lang w:val="en-US"/>
        </w:rPr>
        <w:t>.</w:t>
      </w:r>
    </w:p>
    <w:p w14:paraId="4E4CA2E1" w14:textId="77777777" w:rsidR="00067FEF" w:rsidRPr="002101ED" w:rsidRDefault="00F3426E" w:rsidP="000868D7">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The Eligible Investors will be excluded from the discretionary allocation conducted by the Management Board as described below, up to the number of the Offer Shares available to them under the Preference Right.</w:t>
      </w:r>
    </w:p>
    <w:p w14:paraId="6D11735E" w14:textId="77777777" w:rsidR="0094783A" w:rsidRPr="002101ED" w:rsidRDefault="0094783A" w:rsidP="000868D7">
      <w:pPr>
        <w:spacing w:after="120" w:line="240" w:lineRule="auto"/>
        <w:jc w:val="both"/>
        <w:rPr>
          <w:rFonts w:ascii="Arial" w:hAnsi="Arial" w:cs="Arial"/>
          <w:b/>
          <w:bCs/>
          <w:u w:val="single"/>
          <w:lang w:val="en-US"/>
        </w:rPr>
      </w:pPr>
      <w:r w:rsidRPr="002101ED">
        <w:rPr>
          <w:rFonts w:ascii="Arial" w:hAnsi="Arial" w:cs="Arial"/>
          <w:b/>
          <w:bCs/>
          <w:u w:val="single"/>
          <w:lang w:val="en-US"/>
        </w:rPr>
        <w:t>Issue Price; number of Offer Shares; Initial Allocation List</w:t>
      </w:r>
      <w:r w:rsidR="006E41F5" w:rsidRPr="002101ED">
        <w:rPr>
          <w:rFonts w:ascii="Arial" w:hAnsi="Arial" w:cs="Arial"/>
          <w:b/>
          <w:bCs/>
          <w:u w:val="single"/>
          <w:lang w:val="en-US"/>
        </w:rPr>
        <w:t xml:space="preserve"> and adoption of </w:t>
      </w:r>
      <w:r w:rsidR="006F0F55" w:rsidRPr="002101ED">
        <w:rPr>
          <w:rFonts w:ascii="Arial" w:hAnsi="Arial" w:cs="Arial"/>
          <w:b/>
          <w:bCs/>
          <w:u w:val="single"/>
          <w:lang w:val="en-US"/>
        </w:rPr>
        <w:t>the I</w:t>
      </w:r>
      <w:r w:rsidR="006E41F5" w:rsidRPr="002101ED">
        <w:rPr>
          <w:rFonts w:ascii="Arial" w:hAnsi="Arial" w:cs="Arial"/>
          <w:b/>
          <w:bCs/>
          <w:u w:val="single"/>
          <w:lang w:val="en-US"/>
        </w:rPr>
        <w:t xml:space="preserve">ssue </w:t>
      </w:r>
      <w:r w:rsidR="006F0F55" w:rsidRPr="002101ED">
        <w:rPr>
          <w:rFonts w:ascii="Arial" w:hAnsi="Arial" w:cs="Arial"/>
          <w:b/>
          <w:bCs/>
          <w:u w:val="single"/>
          <w:lang w:val="en-US"/>
        </w:rPr>
        <w:t>R</w:t>
      </w:r>
      <w:r w:rsidR="006E41F5" w:rsidRPr="002101ED">
        <w:rPr>
          <w:rFonts w:ascii="Arial" w:hAnsi="Arial" w:cs="Arial"/>
          <w:b/>
          <w:bCs/>
          <w:u w:val="single"/>
          <w:lang w:val="en-US"/>
        </w:rPr>
        <w:t>esolution</w:t>
      </w:r>
    </w:p>
    <w:p w14:paraId="5183D0FD" w14:textId="01B52155" w:rsidR="00F56A38" w:rsidRPr="002101ED" w:rsidRDefault="0094783A" w:rsidP="000868D7">
      <w:pPr>
        <w:spacing w:after="120" w:line="240" w:lineRule="auto"/>
        <w:jc w:val="both"/>
        <w:rPr>
          <w:rFonts w:ascii="Arial" w:hAnsi="Arial" w:cs="Arial"/>
          <w:lang w:val="en-US"/>
        </w:rPr>
      </w:pPr>
      <w:r w:rsidRPr="002101ED">
        <w:rPr>
          <w:rFonts w:ascii="Arial" w:hAnsi="Arial" w:cs="Arial"/>
          <w:lang w:val="en-US"/>
        </w:rPr>
        <w:t xml:space="preserve">Based on the Declarations submitted by </w:t>
      </w:r>
      <w:r w:rsidR="006E41F5" w:rsidRPr="002101ED">
        <w:rPr>
          <w:rFonts w:ascii="Arial" w:hAnsi="Arial" w:cs="Arial"/>
          <w:lang w:val="en-US"/>
        </w:rPr>
        <w:t>I</w:t>
      </w:r>
      <w:r w:rsidRPr="002101ED">
        <w:rPr>
          <w:rFonts w:ascii="Arial" w:hAnsi="Arial" w:cs="Arial"/>
          <w:lang w:val="en-US"/>
        </w:rPr>
        <w:t xml:space="preserve">nvestors (including Eligible Investors), on </w:t>
      </w:r>
      <w:r w:rsidR="00592195">
        <w:rPr>
          <w:rFonts w:ascii="Arial" w:hAnsi="Arial" w:cs="Arial"/>
          <w:lang w:val="en-US"/>
        </w:rPr>
        <w:t>28</w:t>
      </w:r>
      <w:r w:rsidR="00592195" w:rsidRPr="002101ED">
        <w:rPr>
          <w:rFonts w:ascii="Arial" w:hAnsi="Arial" w:cs="Arial"/>
          <w:lang w:val="en-US"/>
        </w:rPr>
        <w:t xml:space="preserve"> </w:t>
      </w:r>
      <w:r w:rsidR="00121A1F">
        <w:rPr>
          <w:rFonts w:ascii="Arial" w:hAnsi="Arial" w:cs="Arial"/>
          <w:lang w:val="en-US"/>
        </w:rPr>
        <w:t>April</w:t>
      </w:r>
      <w:r w:rsidR="006E41F5" w:rsidRPr="002101ED">
        <w:rPr>
          <w:rFonts w:ascii="Arial" w:hAnsi="Arial" w:cs="Arial"/>
          <w:lang w:val="en-US"/>
        </w:rPr>
        <w:t xml:space="preserve"> 202</w:t>
      </w:r>
      <w:r w:rsidR="00BC6EA1">
        <w:rPr>
          <w:rFonts w:ascii="Arial" w:hAnsi="Arial" w:cs="Arial"/>
          <w:lang w:val="en-US"/>
        </w:rPr>
        <w:t>6</w:t>
      </w:r>
      <w:r w:rsidRPr="002101ED">
        <w:rPr>
          <w:rFonts w:ascii="Arial" w:hAnsi="Arial" w:cs="Arial"/>
          <w:lang w:val="en-US"/>
        </w:rPr>
        <w:t xml:space="preserve">, the Company, in consultation with </w:t>
      </w:r>
      <w:r w:rsidR="006E41F5" w:rsidRPr="002101ED">
        <w:rPr>
          <w:rFonts w:ascii="Arial" w:hAnsi="Arial" w:cs="Arial"/>
          <w:lang w:val="en-US"/>
        </w:rPr>
        <w:t>Trigon DM</w:t>
      </w:r>
      <w:r w:rsidRPr="002101ED">
        <w:rPr>
          <w:rFonts w:ascii="Arial" w:hAnsi="Arial" w:cs="Arial"/>
          <w:lang w:val="en-US"/>
        </w:rPr>
        <w:t xml:space="preserve">, will determine the Issue Price </w:t>
      </w:r>
      <w:r w:rsidR="00C53B17">
        <w:rPr>
          <w:rFonts w:ascii="Arial" w:hAnsi="Arial" w:cs="Arial"/>
          <w:lang w:val="en-US"/>
        </w:rPr>
        <w:t xml:space="preserve">at no less than PLN 4.00 per Series I Share </w:t>
      </w:r>
      <w:r w:rsidRPr="002101ED">
        <w:rPr>
          <w:rFonts w:ascii="Arial" w:hAnsi="Arial" w:cs="Arial"/>
          <w:lang w:val="en-US"/>
        </w:rPr>
        <w:t xml:space="preserve">and the number of Offer Shares to be offered for subscription to </w:t>
      </w:r>
      <w:r w:rsidR="006E41F5" w:rsidRPr="002101ED">
        <w:rPr>
          <w:rFonts w:ascii="Arial" w:hAnsi="Arial" w:cs="Arial"/>
          <w:lang w:val="en-US"/>
        </w:rPr>
        <w:t>I</w:t>
      </w:r>
      <w:r w:rsidRPr="002101ED">
        <w:rPr>
          <w:rFonts w:ascii="Arial" w:hAnsi="Arial" w:cs="Arial"/>
          <w:lang w:val="en-US"/>
        </w:rPr>
        <w:t>nvestors. In addition, the Company</w:t>
      </w:r>
      <w:r w:rsidR="006E41F5" w:rsidRPr="002101ED">
        <w:rPr>
          <w:rFonts w:ascii="Arial" w:hAnsi="Arial" w:cs="Arial"/>
          <w:lang w:val="en-US"/>
        </w:rPr>
        <w:t xml:space="preserve"> </w:t>
      </w:r>
      <w:r w:rsidRPr="002101ED">
        <w:rPr>
          <w:rFonts w:ascii="Arial" w:hAnsi="Arial" w:cs="Arial"/>
          <w:lang w:val="en-US"/>
        </w:rPr>
        <w:t xml:space="preserve">will also select the </w:t>
      </w:r>
      <w:r w:rsidR="006E41F5" w:rsidRPr="002101ED">
        <w:rPr>
          <w:rFonts w:ascii="Arial" w:hAnsi="Arial" w:cs="Arial"/>
          <w:lang w:val="en-US"/>
        </w:rPr>
        <w:t>I</w:t>
      </w:r>
      <w:r w:rsidRPr="002101ED">
        <w:rPr>
          <w:rFonts w:ascii="Arial" w:hAnsi="Arial" w:cs="Arial"/>
          <w:lang w:val="en-US"/>
        </w:rPr>
        <w:t xml:space="preserve">nvestors (including Eligible Investors) to whom it will make offers to subscribe for the Offer Shares. When determining the list of such </w:t>
      </w:r>
      <w:r w:rsidR="004E60CF" w:rsidRPr="002101ED">
        <w:rPr>
          <w:rFonts w:ascii="Arial" w:hAnsi="Arial" w:cs="Arial"/>
          <w:lang w:val="en-US"/>
        </w:rPr>
        <w:t>I</w:t>
      </w:r>
      <w:r w:rsidRPr="002101ED">
        <w:rPr>
          <w:rFonts w:ascii="Arial" w:hAnsi="Arial" w:cs="Arial"/>
          <w:lang w:val="en-US"/>
        </w:rPr>
        <w:t>nvestors (the “</w:t>
      </w:r>
      <w:r w:rsidRPr="002101ED">
        <w:rPr>
          <w:rFonts w:ascii="Arial" w:hAnsi="Arial" w:cs="Arial"/>
          <w:b/>
          <w:bCs/>
          <w:lang w:val="en-US"/>
        </w:rPr>
        <w:t>Initial Allocation List</w:t>
      </w:r>
      <w:r w:rsidRPr="002101ED">
        <w:rPr>
          <w:rFonts w:ascii="Arial" w:hAnsi="Arial" w:cs="Arial"/>
          <w:lang w:val="en-US"/>
        </w:rPr>
        <w:t xml:space="preserve">”), the Company will also determine the number of the Offer Shares to be offered to each </w:t>
      </w:r>
      <w:r w:rsidR="006E41F5" w:rsidRPr="002101ED">
        <w:rPr>
          <w:rFonts w:ascii="Arial" w:hAnsi="Arial" w:cs="Arial"/>
          <w:lang w:val="en-US"/>
        </w:rPr>
        <w:t xml:space="preserve">of </w:t>
      </w:r>
      <w:r w:rsidRPr="002101ED">
        <w:rPr>
          <w:rFonts w:ascii="Arial" w:hAnsi="Arial" w:cs="Arial"/>
          <w:lang w:val="en-US"/>
        </w:rPr>
        <w:t xml:space="preserve">such </w:t>
      </w:r>
      <w:r w:rsidR="006E41F5" w:rsidRPr="002101ED">
        <w:rPr>
          <w:rFonts w:ascii="Arial" w:hAnsi="Arial" w:cs="Arial"/>
          <w:lang w:val="en-US"/>
        </w:rPr>
        <w:t>I</w:t>
      </w:r>
      <w:r w:rsidRPr="002101ED">
        <w:rPr>
          <w:rFonts w:ascii="Arial" w:hAnsi="Arial" w:cs="Arial"/>
          <w:lang w:val="en-US"/>
        </w:rPr>
        <w:t>nvestor</w:t>
      </w:r>
      <w:r w:rsidR="006E41F5" w:rsidRPr="002101ED">
        <w:rPr>
          <w:rFonts w:ascii="Arial" w:hAnsi="Arial" w:cs="Arial"/>
          <w:lang w:val="en-US"/>
        </w:rPr>
        <w:t>s. After completing the above actions, the Company's Management Board will adopt an Issue Resolution reflecting the parameters of the Issue Price and the number of Offer Shares.</w:t>
      </w:r>
    </w:p>
    <w:p w14:paraId="48F54CDB" w14:textId="77777777" w:rsidR="0077161C" w:rsidRPr="002101ED" w:rsidRDefault="00E83A43" w:rsidP="000868D7">
      <w:pPr>
        <w:spacing w:after="120" w:line="240" w:lineRule="auto"/>
        <w:jc w:val="both"/>
        <w:rPr>
          <w:rFonts w:ascii="Arial" w:hAnsi="Arial" w:cs="Arial"/>
          <w:lang w:val="en-US"/>
        </w:rPr>
      </w:pPr>
      <w:r w:rsidRPr="002101ED">
        <w:rPr>
          <w:rFonts w:ascii="Arial" w:hAnsi="Arial" w:cs="Arial"/>
          <w:lang w:val="en-US"/>
        </w:rPr>
        <w:t xml:space="preserve">The </w:t>
      </w:r>
      <w:r w:rsidR="009877FA" w:rsidRPr="002101ED">
        <w:rPr>
          <w:rFonts w:ascii="Arial" w:hAnsi="Arial" w:cs="Arial"/>
          <w:lang w:val="en-US"/>
        </w:rPr>
        <w:t>I</w:t>
      </w:r>
      <w:r w:rsidRPr="002101ED">
        <w:rPr>
          <w:rFonts w:ascii="Arial" w:hAnsi="Arial" w:cs="Arial"/>
          <w:lang w:val="en-US"/>
        </w:rPr>
        <w:t>nvestors will be selected for the purposes of the</w:t>
      </w:r>
      <w:r w:rsidR="0089259F" w:rsidRPr="002101ED">
        <w:rPr>
          <w:rFonts w:ascii="Arial" w:hAnsi="Arial" w:cs="Arial"/>
          <w:lang w:val="en-US"/>
        </w:rPr>
        <w:t xml:space="preserve"> </w:t>
      </w:r>
      <w:r w:rsidRPr="002101ED">
        <w:rPr>
          <w:rFonts w:ascii="Arial" w:hAnsi="Arial" w:cs="Arial"/>
          <w:lang w:val="en-US"/>
        </w:rPr>
        <w:t xml:space="preserve">Initial Allocation List from among the </w:t>
      </w:r>
      <w:r w:rsidR="004E60CF" w:rsidRPr="002101ED">
        <w:rPr>
          <w:rFonts w:ascii="Arial" w:hAnsi="Arial" w:cs="Arial"/>
          <w:lang w:val="en-US"/>
        </w:rPr>
        <w:t>I</w:t>
      </w:r>
      <w:r w:rsidRPr="002101ED">
        <w:rPr>
          <w:rFonts w:ascii="Arial" w:hAnsi="Arial" w:cs="Arial"/>
          <w:lang w:val="en-US"/>
        </w:rPr>
        <w:t xml:space="preserve">nvestors (including the Eligible Investors) who participated in the </w:t>
      </w:r>
      <w:r w:rsidRPr="002101ED">
        <w:rPr>
          <w:rFonts w:ascii="Arial" w:hAnsi="Arial" w:cs="Arial"/>
          <w:color w:val="000000"/>
          <w:lang w:val="en-US"/>
        </w:rPr>
        <w:t>Book Building</w:t>
      </w:r>
      <w:r w:rsidRPr="002101ED">
        <w:rPr>
          <w:rFonts w:ascii="Arial" w:hAnsi="Arial" w:cs="Arial"/>
          <w:lang w:val="en-US"/>
        </w:rPr>
        <w:t xml:space="preserve"> and who placed Declarations setting a price per Offer Share not lower than the Issue Price set by the Company on completion of the </w:t>
      </w:r>
      <w:r w:rsidRPr="002101ED">
        <w:rPr>
          <w:rFonts w:ascii="Arial" w:hAnsi="Arial" w:cs="Arial"/>
          <w:color w:val="000000"/>
          <w:lang w:val="en-US"/>
        </w:rPr>
        <w:t>Book Building</w:t>
      </w:r>
      <w:r w:rsidRPr="002101ED">
        <w:rPr>
          <w:rFonts w:ascii="Arial" w:hAnsi="Arial" w:cs="Arial"/>
          <w:lang w:val="en-US"/>
        </w:rPr>
        <w:t>.</w:t>
      </w:r>
    </w:p>
    <w:p w14:paraId="05924A53" w14:textId="77777777" w:rsidR="0094783A" w:rsidRPr="002101ED" w:rsidRDefault="00212EF3" w:rsidP="000868D7">
      <w:pPr>
        <w:spacing w:after="120" w:line="240" w:lineRule="auto"/>
        <w:jc w:val="both"/>
        <w:rPr>
          <w:rFonts w:ascii="Arial" w:hAnsi="Arial" w:cs="Arial"/>
          <w:lang w:val="en-US"/>
        </w:rPr>
      </w:pPr>
      <w:r w:rsidRPr="002101ED">
        <w:rPr>
          <w:rFonts w:ascii="Arial" w:hAnsi="Arial" w:cs="Arial"/>
          <w:lang w:val="en-US"/>
        </w:rPr>
        <w:t>Subject to the Eligible Investors’ Preference Rights, the Company will allocate the Offer Shares to the investors (including the Eligible Investors) who submitted Declarations at its sole discretion, based on, among other things, the following criteria:</w:t>
      </w:r>
    </w:p>
    <w:p w14:paraId="583A00AF" w14:textId="77777777" w:rsidR="0094783A" w:rsidRPr="002101ED" w:rsidRDefault="0094783A" w:rsidP="00C35E14">
      <w:pPr>
        <w:pStyle w:val="ListParagraph"/>
        <w:numPr>
          <w:ilvl w:val="0"/>
          <w:numId w:val="16"/>
        </w:numPr>
        <w:spacing w:after="120"/>
        <w:jc w:val="both"/>
        <w:rPr>
          <w:rFonts w:ascii="Arial" w:hAnsi="Arial" w:cs="Arial"/>
          <w:sz w:val="22"/>
          <w:szCs w:val="22"/>
          <w:lang w:val="en-US"/>
        </w:rPr>
      </w:pPr>
      <w:r w:rsidRPr="002101ED">
        <w:rPr>
          <w:rFonts w:ascii="Arial" w:hAnsi="Arial" w:cs="Arial"/>
          <w:sz w:val="22"/>
          <w:szCs w:val="22"/>
          <w:lang w:val="en-US"/>
        </w:rPr>
        <w:t xml:space="preserve">the price per Offer Share proposed by the </w:t>
      </w:r>
      <w:r w:rsidR="009877FA" w:rsidRPr="002101ED">
        <w:rPr>
          <w:rFonts w:ascii="Arial" w:hAnsi="Arial" w:cs="Arial"/>
          <w:sz w:val="22"/>
          <w:szCs w:val="22"/>
          <w:lang w:val="en-US"/>
        </w:rPr>
        <w:t>I</w:t>
      </w:r>
      <w:r w:rsidRPr="002101ED">
        <w:rPr>
          <w:rFonts w:ascii="Arial" w:hAnsi="Arial" w:cs="Arial"/>
          <w:sz w:val="22"/>
          <w:szCs w:val="22"/>
          <w:lang w:val="en-US"/>
        </w:rPr>
        <w:t>nvestor (</w:t>
      </w:r>
      <w:r w:rsidR="004E60CF" w:rsidRPr="002101ED">
        <w:rPr>
          <w:rFonts w:ascii="Arial" w:hAnsi="Arial" w:cs="Arial"/>
          <w:sz w:val="22"/>
          <w:szCs w:val="22"/>
          <w:lang w:val="en-US"/>
        </w:rPr>
        <w:t>I</w:t>
      </w:r>
      <w:r w:rsidRPr="002101ED">
        <w:rPr>
          <w:rFonts w:ascii="Arial" w:hAnsi="Arial" w:cs="Arial"/>
          <w:sz w:val="22"/>
          <w:szCs w:val="22"/>
          <w:lang w:val="en-US"/>
        </w:rPr>
        <w:t>nvestors offering the highest price per Offer Share will be preferred);</w:t>
      </w:r>
    </w:p>
    <w:p w14:paraId="44390BB2" w14:textId="77777777" w:rsidR="0094783A" w:rsidRPr="002101ED" w:rsidRDefault="000E6717" w:rsidP="00C35E14">
      <w:pPr>
        <w:pStyle w:val="ListParagraph"/>
        <w:numPr>
          <w:ilvl w:val="0"/>
          <w:numId w:val="16"/>
        </w:numPr>
        <w:spacing w:after="120"/>
        <w:jc w:val="both"/>
        <w:rPr>
          <w:rFonts w:ascii="Arial" w:hAnsi="Arial" w:cs="Arial"/>
          <w:sz w:val="22"/>
          <w:szCs w:val="22"/>
          <w:lang w:val="en-US"/>
        </w:rPr>
      </w:pPr>
      <w:r w:rsidRPr="002101ED">
        <w:rPr>
          <w:rFonts w:ascii="Arial" w:hAnsi="Arial" w:cs="Arial"/>
          <w:sz w:val="22"/>
          <w:szCs w:val="22"/>
          <w:lang w:val="en-US"/>
        </w:rPr>
        <w:t>Declaration submission date (</w:t>
      </w:r>
      <w:r w:rsidR="004E60CF" w:rsidRPr="002101ED">
        <w:rPr>
          <w:rFonts w:ascii="Arial" w:hAnsi="Arial" w:cs="Arial"/>
          <w:sz w:val="22"/>
          <w:szCs w:val="22"/>
          <w:lang w:val="en-US"/>
        </w:rPr>
        <w:t xml:space="preserve">the </w:t>
      </w:r>
      <w:r w:rsidR="009877FA" w:rsidRPr="002101ED">
        <w:rPr>
          <w:rFonts w:ascii="Arial" w:hAnsi="Arial" w:cs="Arial"/>
          <w:sz w:val="22"/>
          <w:szCs w:val="22"/>
          <w:lang w:val="en-US"/>
        </w:rPr>
        <w:t>I</w:t>
      </w:r>
      <w:r w:rsidRPr="002101ED">
        <w:rPr>
          <w:rFonts w:ascii="Arial" w:hAnsi="Arial" w:cs="Arial"/>
          <w:sz w:val="22"/>
          <w:szCs w:val="22"/>
          <w:lang w:val="en-US"/>
        </w:rPr>
        <w:t>nvestors who submitted their Declarations first will be preferred);</w:t>
      </w:r>
    </w:p>
    <w:p w14:paraId="5B828880" w14:textId="77777777" w:rsidR="0094783A" w:rsidRPr="002101ED" w:rsidRDefault="0094783A" w:rsidP="00C35E14">
      <w:pPr>
        <w:pStyle w:val="ListParagraph"/>
        <w:numPr>
          <w:ilvl w:val="0"/>
          <w:numId w:val="16"/>
        </w:numPr>
        <w:spacing w:after="120"/>
        <w:jc w:val="both"/>
        <w:rPr>
          <w:rFonts w:ascii="Arial" w:hAnsi="Arial" w:cs="Arial"/>
          <w:sz w:val="22"/>
          <w:szCs w:val="22"/>
          <w:lang w:val="en-US"/>
        </w:rPr>
      </w:pPr>
      <w:r w:rsidRPr="002101ED">
        <w:rPr>
          <w:rFonts w:ascii="Arial" w:hAnsi="Arial" w:cs="Arial"/>
          <w:sz w:val="22"/>
          <w:szCs w:val="22"/>
          <w:lang w:val="en-US"/>
        </w:rPr>
        <w:t xml:space="preserve">the number of Offer Shares indicated in the Declaration (the </w:t>
      </w:r>
      <w:r w:rsidR="004E60CF" w:rsidRPr="002101ED">
        <w:rPr>
          <w:rFonts w:ascii="Arial" w:hAnsi="Arial" w:cs="Arial"/>
          <w:sz w:val="22"/>
          <w:szCs w:val="22"/>
          <w:lang w:val="en-US"/>
        </w:rPr>
        <w:t>I</w:t>
      </w:r>
      <w:r w:rsidRPr="002101ED">
        <w:rPr>
          <w:rFonts w:ascii="Arial" w:hAnsi="Arial" w:cs="Arial"/>
          <w:sz w:val="22"/>
          <w:szCs w:val="22"/>
          <w:lang w:val="en-US"/>
        </w:rPr>
        <w:t>nvestors whose Declarations concern a greater number of Offer Shares will be preferred).</w:t>
      </w:r>
    </w:p>
    <w:p w14:paraId="39BB725D" w14:textId="77777777" w:rsidR="00D143D4" w:rsidRPr="002101ED" w:rsidRDefault="00D143D4" w:rsidP="000868D7">
      <w:pPr>
        <w:spacing w:after="120" w:line="240" w:lineRule="auto"/>
        <w:jc w:val="both"/>
        <w:rPr>
          <w:rFonts w:ascii="Arial" w:hAnsi="Arial" w:cs="Arial"/>
          <w:lang w:val="en-US"/>
        </w:rPr>
      </w:pPr>
      <w:r w:rsidRPr="002101ED">
        <w:rPr>
          <w:rFonts w:ascii="Arial" w:hAnsi="Arial" w:cs="Arial"/>
          <w:lang w:val="en-US"/>
        </w:rPr>
        <w:t>To give effect to the Preference Right, the Management Board will first allocate to each Eligible Investor Offer Shares in the number indicated in their Declaration, provided that it does not result in the Eligible Investor’s share in the Company exceeding the level existing on the Preference Da</w:t>
      </w:r>
      <w:r w:rsidR="00444E50">
        <w:rPr>
          <w:rFonts w:ascii="Arial" w:hAnsi="Arial" w:cs="Arial"/>
          <w:lang w:val="en-US"/>
        </w:rPr>
        <w:t>te</w:t>
      </w:r>
      <w:r w:rsidRPr="002101ED">
        <w:rPr>
          <w:rFonts w:ascii="Arial" w:hAnsi="Arial" w:cs="Arial"/>
          <w:lang w:val="en-US"/>
        </w:rPr>
        <w:t>. This number of Offer Shares will be verified on the basis of the Confirmation Documents.</w:t>
      </w:r>
      <w:r w:rsidR="00604325" w:rsidRPr="002101ED">
        <w:rPr>
          <w:rFonts w:ascii="Arial" w:hAnsi="Arial" w:cs="Arial"/>
          <w:lang w:val="en-US"/>
        </w:rPr>
        <w:t xml:space="preserve"> </w:t>
      </w:r>
      <w:r w:rsidR="00D06E52" w:rsidRPr="002101ED">
        <w:rPr>
          <w:rFonts w:ascii="Arial" w:hAnsi="Arial" w:cs="Arial"/>
          <w:lang w:val="en-US"/>
        </w:rPr>
        <w:t xml:space="preserve">If the number of Eligible Investors other than Qualified Investors and Investors subscribing securities with a total value of at least EUR 100,000 per investor, referred to in Article 1(4)(d) Prospectus Regulation, exceeds 149, offers to subscribe for the Offer Shares will be made only to such 149 Eligible Investors (other than Qualified Investors and Investors </w:t>
      </w:r>
      <w:r w:rsidR="004E60CF" w:rsidRPr="002101ED">
        <w:rPr>
          <w:rFonts w:ascii="Arial" w:hAnsi="Arial" w:cs="Arial"/>
          <w:lang w:val="en-US"/>
        </w:rPr>
        <w:t xml:space="preserve">subscribing for </w:t>
      </w:r>
      <w:r w:rsidR="00D06E52" w:rsidRPr="002101ED">
        <w:rPr>
          <w:rFonts w:ascii="Arial" w:hAnsi="Arial" w:cs="Arial"/>
          <w:lang w:val="en-US"/>
        </w:rPr>
        <w:t>securities with a total value of at least EUR 100,000 per investor) who are the first to meet the requirements for participation in the Offering specified in the Book Building and Subscription Rules.</w:t>
      </w:r>
    </w:p>
    <w:p w14:paraId="671F27C9" w14:textId="77777777" w:rsidR="0063059D" w:rsidRPr="002101ED" w:rsidRDefault="0063059D" w:rsidP="000868D7">
      <w:pPr>
        <w:spacing w:after="120" w:line="240" w:lineRule="auto"/>
        <w:jc w:val="both"/>
        <w:rPr>
          <w:rFonts w:ascii="Arial" w:hAnsi="Arial" w:cs="Arial"/>
          <w:lang w:val="en-US"/>
        </w:rPr>
      </w:pPr>
      <w:r w:rsidRPr="002101ED">
        <w:rPr>
          <w:rFonts w:ascii="Arial" w:hAnsi="Arial" w:cs="Arial"/>
          <w:lang w:val="en-US"/>
        </w:rPr>
        <w:lastRenderedPageBreak/>
        <w:t xml:space="preserve">The Offer Shares offered to </w:t>
      </w:r>
      <w:r w:rsidR="004E60CF" w:rsidRPr="002101ED">
        <w:rPr>
          <w:rFonts w:ascii="Arial" w:hAnsi="Arial" w:cs="Arial"/>
          <w:lang w:val="en-US"/>
        </w:rPr>
        <w:t>I</w:t>
      </w:r>
      <w:r w:rsidRPr="002101ED">
        <w:rPr>
          <w:rFonts w:ascii="Arial" w:hAnsi="Arial" w:cs="Arial"/>
          <w:lang w:val="en-US"/>
        </w:rPr>
        <w:t xml:space="preserve">nvestors (including the Eligible Investors) identified on the Initial Allocation List that are not taken up and paid for by </w:t>
      </w:r>
      <w:r w:rsidR="004E60CF" w:rsidRPr="002101ED">
        <w:rPr>
          <w:rFonts w:ascii="Arial" w:hAnsi="Arial" w:cs="Arial"/>
          <w:lang w:val="en-US"/>
        </w:rPr>
        <w:t>I</w:t>
      </w:r>
      <w:r w:rsidRPr="002101ED">
        <w:rPr>
          <w:rFonts w:ascii="Arial" w:hAnsi="Arial" w:cs="Arial"/>
          <w:lang w:val="en-US"/>
        </w:rPr>
        <w:t xml:space="preserve">nvestors, may be offered to other </w:t>
      </w:r>
      <w:r w:rsidR="004E60CF" w:rsidRPr="002101ED">
        <w:rPr>
          <w:rFonts w:ascii="Arial" w:hAnsi="Arial" w:cs="Arial"/>
          <w:lang w:val="en-US"/>
        </w:rPr>
        <w:t>I</w:t>
      </w:r>
      <w:r w:rsidRPr="002101ED">
        <w:rPr>
          <w:rFonts w:ascii="Arial" w:hAnsi="Arial" w:cs="Arial"/>
          <w:lang w:val="en-US"/>
        </w:rPr>
        <w:t xml:space="preserve">nvestors, both those who participated in the </w:t>
      </w:r>
      <w:r w:rsidRPr="002101ED">
        <w:rPr>
          <w:rFonts w:ascii="Arial" w:hAnsi="Arial" w:cs="Arial"/>
          <w:color w:val="000000"/>
          <w:lang w:val="en-US"/>
        </w:rPr>
        <w:t>Book Building</w:t>
      </w:r>
      <w:r w:rsidRPr="002101ED">
        <w:rPr>
          <w:rFonts w:ascii="Arial" w:hAnsi="Arial" w:cs="Arial"/>
          <w:lang w:val="en-US"/>
        </w:rPr>
        <w:t xml:space="preserve"> and those who did not participate in it</w:t>
      </w:r>
      <w:r w:rsidR="0089259F" w:rsidRPr="002101ED">
        <w:rPr>
          <w:rFonts w:ascii="Arial" w:hAnsi="Arial" w:cs="Arial"/>
          <w:lang w:val="en-US"/>
        </w:rPr>
        <w:t xml:space="preserve"> </w:t>
      </w:r>
      <w:r w:rsidRPr="002101ED">
        <w:rPr>
          <w:rFonts w:ascii="Arial" w:hAnsi="Arial" w:cs="Arial"/>
          <w:lang w:val="en-US"/>
        </w:rPr>
        <w:t>but are willing to take up Offer Shares at a price not lower than the Issue Price.</w:t>
      </w:r>
    </w:p>
    <w:p w14:paraId="3146273B" w14:textId="77777777" w:rsidR="0032758F" w:rsidRDefault="0032758F" w:rsidP="000868D7">
      <w:pPr>
        <w:spacing w:after="120" w:line="240" w:lineRule="auto"/>
        <w:jc w:val="both"/>
        <w:rPr>
          <w:rFonts w:ascii="Arial" w:hAnsi="Arial" w:cs="Arial"/>
          <w:color w:val="000000"/>
          <w:lang w:val="en-US"/>
        </w:rPr>
      </w:pPr>
      <w:r w:rsidRPr="002101ED">
        <w:rPr>
          <w:rFonts w:ascii="Arial" w:hAnsi="Arial" w:cs="Arial"/>
          <w:lang w:val="en-US"/>
        </w:rPr>
        <w:t>After the Company publishes a current report disclosing the Issue Price</w:t>
      </w:r>
      <w:r w:rsidR="00093365" w:rsidRPr="002101ED">
        <w:rPr>
          <w:rFonts w:ascii="Arial" w:hAnsi="Arial" w:cs="Arial"/>
          <w:lang w:val="en-US"/>
        </w:rPr>
        <w:t xml:space="preserve"> and the adoption of the Issue Resolution by the Management Board</w:t>
      </w:r>
      <w:r w:rsidRPr="002101ED">
        <w:rPr>
          <w:rFonts w:ascii="Arial" w:hAnsi="Arial" w:cs="Arial"/>
          <w:lang w:val="en-US"/>
        </w:rPr>
        <w:t xml:space="preserve">, it will distribute offers to subscribe for Offer Shares to the </w:t>
      </w:r>
      <w:r w:rsidR="00093365" w:rsidRPr="002101ED">
        <w:rPr>
          <w:rFonts w:ascii="Arial" w:hAnsi="Arial" w:cs="Arial"/>
          <w:lang w:val="en-US"/>
        </w:rPr>
        <w:t>I</w:t>
      </w:r>
      <w:r w:rsidRPr="002101ED">
        <w:rPr>
          <w:rFonts w:ascii="Arial" w:hAnsi="Arial" w:cs="Arial"/>
          <w:lang w:val="en-US"/>
        </w:rPr>
        <w:t xml:space="preserve">nvestors from the Initial Allocation List, together with </w:t>
      </w:r>
      <w:r w:rsidRPr="002101ED">
        <w:rPr>
          <w:rFonts w:ascii="Arial" w:hAnsi="Arial" w:cs="Arial"/>
          <w:color w:val="000000"/>
          <w:lang w:val="en-US"/>
        </w:rPr>
        <w:t>cop</w:t>
      </w:r>
      <w:r w:rsidR="005922F2">
        <w:rPr>
          <w:rFonts w:ascii="Arial" w:hAnsi="Arial" w:cs="Arial"/>
          <w:color w:val="000000"/>
          <w:lang w:val="en-US"/>
        </w:rPr>
        <w:t>y</w:t>
      </w:r>
      <w:r w:rsidRPr="002101ED">
        <w:rPr>
          <w:rFonts w:ascii="Arial" w:hAnsi="Arial" w:cs="Arial"/>
          <w:color w:val="000000"/>
          <w:lang w:val="en-US"/>
        </w:rPr>
        <w:t xml:space="preserve"> of the Subscription Agreement.</w:t>
      </w:r>
    </w:p>
    <w:p w14:paraId="1B9D2A43" w14:textId="4A557E21" w:rsidR="00592195" w:rsidRPr="004065DC" w:rsidRDefault="00592195" w:rsidP="000868D7">
      <w:pPr>
        <w:spacing w:after="120" w:line="240" w:lineRule="auto"/>
        <w:jc w:val="both"/>
        <w:rPr>
          <w:rFonts w:ascii="Arial" w:hAnsi="Arial" w:cs="Arial"/>
          <w:b/>
          <w:bCs/>
          <w:color w:val="000000"/>
          <w:u w:val="single"/>
          <w:lang w:val="en-US"/>
        </w:rPr>
      </w:pPr>
      <w:r w:rsidRPr="004065DC">
        <w:rPr>
          <w:rFonts w:ascii="Arial" w:hAnsi="Arial" w:cs="Arial"/>
          <w:b/>
          <w:bCs/>
          <w:color w:val="000000"/>
          <w:u w:val="single"/>
          <w:lang w:val="en-US"/>
        </w:rPr>
        <w:t>Investment Agreement with Cooldown Games</w:t>
      </w:r>
    </w:p>
    <w:p w14:paraId="62DE9AEB" w14:textId="15358FF1" w:rsidR="00592195" w:rsidRDefault="00592195" w:rsidP="000868D7">
      <w:pPr>
        <w:spacing w:after="120" w:line="240" w:lineRule="auto"/>
        <w:jc w:val="both"/>
        <w:rPr>
          <w:rFonts w:ascii="Arial" w:hAnsi="Arial" w:cs="Arial"/>
          <w:lang w:val="en-US"/>
        </w:rPr>
      </w:pPr>
      <w:r>
        <w:rPr>
          <w:rFonts w:ascii="Arial" w:hAnsi="Arial" w:cs="Arial"/>
          <w:lang w:val="en-US"/>
        </w:rPr>
        <w:t>O</w:t>
      </w:r>
      <w:r w:rsidRPr="00592195">
        <w:rPr>
          <w:rFonts w:ascii="Arial" w:hAnsi="Arial" w:cs="Arial"/>
          <w:lang w:val="en-US"/>
        </w:rPr>
        <w:t>n 2</w:t>
      </w:r>
      <w:r>
        <w:rPr>
          <w:rFonts w:ascii="Arial" w:hAnsi="Arial" w:cs="Arial"/>
          <w:lang w:val="en-US"/>
        </w:rPr>
        <w:t>4</w:t>
      </w:r>
      <w:r w:rsidRPr="00592195">
        <w:rPr>
          <w:rFonts w:ascii="Arial" w:hAnsi="Arial" w:cs="Arial"/>
          <w:lang w:val="en-US"/>
        </w:rPr>
        <w:t xml:space="preserve"> April 2026, the Company concluded an investment agreement with Cooldown Games (“</w:t>
      </w:r>
      <w:r w:rsidRPr="004065DC">
        <w:rPr>
          <w:rFonts w:ascii="Arial" w:hAnsi="Arial" w:cs="Arial"/>
          <w:b/>
          <w:bCs/>
          <w:lang w:val="en-US"/>
        </w:rPr>
        <w:t>Investment Agreement</w:t>
      </w:r>
      <w:r w:rsidRPr="00592195">
        <w:rPr>
          <w:rFonts w:ascii="Arial" w:hAnsi="Arial" w:cs="Arial"/>
          <w:lang w:val="en-US"/>
        </w:rPr>
        <w:t xml:space="preserve">”). Pursuant to the Investment Agreement, Cooldown Games will assign the rights under publishing agreements concerning, in particular, three video games concluded by Cooldown Games with external, independent developers to the Company’s subsidiary – People Can Fly Ireland – in exchange for approximately USD 1.5 million. Pursuant to the Investment Agreement Cooldown Games is obliged to reinvest the funds obtained by Cooldown Games into </w:t>
      </w:r>
      <w:r>
        <w:rPr>
          <w:rFonts w:ascii="Arial" w:hAnsi="Arial" w:cs="Arial"/>
          <w:lang w:val="en-US"/>
        </w:rPr>
        <w:t xml:space="preserve">Series I Shares </w:t>
      </w:r>
      <w:r w:rsidRPr="00592195">
        <w:rPr>
          <w:rFonts w:ascii="Arial" w:hAnsi="Arial" w:cs="Arial"/>
          <w:lang w:val="en-US"/>
        </w:rPr>
        <w:t>and to procure the investment of approximately USD</w:t>
      </w:r>
      <w:r>
        <w:rPr>
          <w:rFonts w:ascii="Arial" w:hAnsi="Arial" w:cs="Arial"/>
          <w:lang w:val="en-US"/>
        </w:rPr>
        <w:t> </w:t>
      </w:r>
      <w:r w:rsidRPr="00592195">
        <w:rPr>
          <w:rFonts w:ascii="Arial" w:hAnsi="Arial" w:cs="Arial"/>
          <w:lang w:val="en-US"/>
        </w:rPr>
        <w:t>1.5</w:t>
      </w:r>
      <w:r>
        <w:rPr>
          <w:rFonts w:ascii="Arial" w:hAnsi="Arial" w:cs="Arial"/>
          <w:lang w:val="en-US"/>
        </w:rPr>
        <w:t> </w:t>
      </w:r>
      <w:r w:rsidRPr="00592195">
        <w:rPr>
          <w:rFonts w:ascii="Arial" w:hAnsi="Arial" w:cs="Arial"/>
          <w:lang w:val="en-US"/>
        </w:rPr>
        <w:t xml:space="preserve">million in </w:t>
      </w:r>
      <w:r>
        <w:rPr>
          <w:rFonts w:ascii="Arial" w:hAnsi="Arial" w:cs="Arial"/>
          <w:lang w:val="en-US"/>
        </w:rPr>
        <w:t>Series I Shares</w:t>
      </w:r>
      <w:r w:rsidRPr="00592195">
        <w:rPr>
          <w:rFonts w:ascii="Arial" w:hAnsi="Arial" w:cs="Arial"/>
          <w:lang w:val="en-US"/>
        </w:rPr>
        <w:t xml:space="preserve"> by investors affiliated with Cooldown Games (“</w:t>
      </w:r>
      <w:r w:rsidRPr="004065DC">
        <w:rPr>
          <w:rFonts w:ascii="Arial" w:hAnsi="Arial" w:cs="Arial"/>
          <w:b/>
          <w:bCs/>
          <w:lang w:val="en-US"/>
        </w:rPr>
        <w:t>CDG Investors</w:t>
      </w:r>
      <w:r w:rsidRPr="00592195">
        <w:rPr>
          <w:rFonts w:ascii="Arial" w:hAnsi="Arial" w:cs="Arial"/>
          <w:lang w:val="en-US"/>
        </w:rPr>
        <w:t xml:space="preserve">”). The Investment Agreement stipulates that Cooldown Games and the CDG Investors will invest in total </w:t>
      </w:r>
      <w:r w:rsidR="002D50F7">
        <w:rPr>
          <w:rFonts w:ascii="Arial" w:hAnsi="Arial" w:cs="Arial"/>
          <w:lang w:val="en-US"/>
        </w:rPr>
        <w:t xml:space="preserve">approximately </w:t>
      </w:r>
      <w:r w:rsidRPr="00592195">
        <w:rPr>
          <w:rFonts w:ascii="Arial" w:hAnsi="Arial" w:cs="Arial"/>
          <w:lang w:val="en-US"/>
        </w:rPr>
        <w:t xml:space="preserve">PLN </w:t>
      </w:r>
      <w:r w:rsidR="002D50F7">
        <w:rPr>
          <w:rFonts w:ascii="Arial" w:hAnsi="Arial" w:cs="Arial"/>
          <w:lang w:val="en-US"/>
        </w:rPr>
        <w:t xml:space="preserve">10.8 million </w:t>
      </w:r>
      <w:r w:rsidRPr="00592195">
        <w:rPr>
          <w:rFonts w:ascii="Arial" w:hAnsi="Arial" w:cs="Arial"/>
          <w:lang w:val="en-US"/>
        </w:rPr>
        <w:t xml:space="preserve">in </w:t>
      </w:r>
      <w:r>
        <w:rPr>
          <w:rFonts w:ascii="Arial" w:hAnsi="Arial" w:cs="Arial"/>
          <w:lang w:val="en-US"/>
        </w:rPr>
        <w:t>Series I Shares</w:t>
      </w:r>
      <w:r w:rsidRPr="00592195">
        <w:rPr>
          <w:rFonts w:ascii="Arial" w:hAnsi="Arial" w:cs="Arial"/>
          <w:lang w:val="en-US"/>
        </w:rPr>
        <w:t>.</w:t>
      </w:r>
    </w:p>
    <w:p w14:paraId="29DC89B0" w14:textId="4CD99E72" w:rsidR="00592195" w:rsidRDefault="00222F81" w:rsidP="000868D7">
      <w:pPr>
        <w:spacing w:after="120" w:line="240" w:lineRule="auto"/>
        <w:jc w:val="both"/>
        <w:rPr>
          <w:rFonts w:ascii="Arial" w:hAnsi="Arial" w:cs="Arial"/>
          <w:lang w:val="en-US"/>
        </w:rPr>
      </w:pPr>
      <w:r w:rsidRPr="00222F81">
        <w:rPr>
          <w:rFonts w:ascii="Arial" w:hAnsi="Arial" w:cs="Arial"/>
          <w:lang w:val="en-US"/>
        </w:rPr>
        <w:t xml:space="preserve">Detailed information regarding the Investment Agreement is provided in current report No. </w:t>
      </w:r>
      <w:r w:rsidR="002D50F7">
        <w:rPr>
          <w:rFonts w:ascii="Arial" w:hAnsi="Arial" w:cs="Arial"/>
          <w:lang w:val="en-US"/>
        </w:rPr>
        <w:t>5</w:t>
      </w:r>
      <w:r w:rsidRPr="00222F81">
        <w:rPr>
          <w:rFonts w:ascii="Arial" w:hAnsi="Arial" w:cs="Arial"/>
          <w:lang w:val="en-US"/>
        </w:rPr>
        <w:t xml:space="preserve">/2026, submitted by the Company on </w:t>
      </w:r>
      <w:r>
        <w:rPr>
          <w:rFonts w:ascii="Arial" w:hAnsi="Arial" w:cs="Arial"/>
          <w:lang w:val="en-US"/>
        </w:rPr>
        <w:t xml:space="preserve">24 </w:t>
      </w:r>
      <w:r w:rsidRPr="00222F81">
        <w:rPr>
          <w:rFonts w:ascii="Arial" w:hAnsi="Arial" w:cs="Arial"/>
          <w:lang w:val="en-US"/>
        </w:rPr>
        <w:t>April 2026.</w:t>
      </w:r>
    </w:p>
    <w:p w14:paraId="60508C49" w14:textId="0787D363" w:rsidR="00222F81" w:rsidRDefault="00222F81" w:rsidP="000868D7">
      <w:pPr>
        <w:spacing w:after="120" w:line="240" w:lineRule="auto"/>
        <w:jc w:val="both"/>
        <w:rPr>
          <w:rFonts w:ascii="Arial" w:hAnsi="Arial" w:cs="Arial"/>
          <w:lang w:val="en-US"/>
        </w:rPr>
      </w:pPr>
      <w:r w:rsidRPr="00222F81">
        <w:rPr>
          <w:rFonts w:ascii="Arial" w:hAnsi="Arial" w:cs="Arial"/>
          <w:lang w:val="en-US"/>
        </w:rPr>
        <w:t>Investment Agreement provides for</w:t>
      </w:r>
      <w:r>
        <w:rPr>
          <w:rFonts w:ascii="Arial" w:hAnsi="Arial" w:cs="Arial"/>
          <w:lang w:val="en-US"/>
        </w:rPr>
        <w:t xml:space="preserve"> </w:t>
      </w:r>
      <w:r w:rsidRPr="00222F81">
        <w:rPr>
          <w:rFonts w:ascii="Arial" w:hAnsi="Arial" w:cs="Arial"/>
          <w:lang w:val="en-US"/>
        </w:rPr>
        <w:t xml:space="preserve">the Company’s obligation, subject to Cooldown Games completing certain preparatory activities preceding the public offering, to offer </w:t>
      </w:r>
      <w:r>
        <w:rPr>
          <w:rFonts w:ascii="Arial" w:hAnsi="Arial" w:cs="Arial"/>
          <w:lang w:val="en-US"/>
        </w:rPr>
        <w:t xml:space="preserve">and </w:t>
      </w:r>
      <w:r w:rsidR="00C53B17">
        <w:rPr>
          <w:rFonts w:ascii="Arial" w:hAnsi="Arial" w:cs="Arial"/>
          <w:lang w:val="en-US"/>
        </w:rPr>
        <w:t>allocate</w:t>
      </w:r>
      <w:r>
        <w:rPr>
          <w:rFonts w:ascii="Arial" w:hAnsi="Arial" w:cs="Arial"/>
          <w:lang w:val="en-US"/>
        </w:rPr>
        <w:t xml:space="preserve"> Series I Shares </w:t>
      </w:r>
      <w:r w:rsidRPr="00222F81">
        <w:rPr>
          <w:rFonts w:ascii="Arial" w:hAnsi="Arial" w:cs="Arial"/>
          <w:lang w:val="en-US"/>
        </w:rPr>
        <w:t xml:space="preserve">to Cooldown Games and CDG Investors at a price determined through the </w:t>
      </w:r>
      <w:r w:rsidRPr="002101ED">
        <w:rPr>
          <w:rFonts w:ascii="Arial" w:hAnsi="Arial" w:cs="Arial"/>
          <w:color w:val="000000"/>
          <w:lang w:val="en-US"/>
        </w:rPr>
        <w:t xml:space="preserve">Book Building </w:t>
      </w:r>
      <w:r w:rsidRPr="00222F81">
        <w:rPr>
          <w:rFonts w:ascii="Arial" w:hAnsi="Arial" w:cs="Arial"/>
          <w:lang w:val="en-US"/>
        </w:rPr>
        <w:t xml:space="preserve">(not higher than the closing price as of </w:t>
      </w:r>
      <w:r>
        <w:rPr>
          <w:rFonts w:ascii="Arial" w:hAnsi="Arial" w:cs="Arial"/>
          <w:lang w:val="en-US"/>
        </w:rPr>
        <w:t>23</w:t>
      </w:r>
      <w:r w:rsidRPr="00222F81">
        <w:rPr>
          <w:rFonts w:ascii="Arial" w:hAnsi="Arial" w:cs="Arial"/>
          <w:lang w:val="en-US"/>
        </w:rPr>
        <w:t xml:space="preserve"> April 2026, </w:t>
      </w:r>
      <w:r w:rsidR="00935B97">
        <w:rPr>
          <w:rFonts w:ascii="Arial" w:hAnsi="Arial" w:cs="Arial"/>
          <w:lang w:val="en-US"/>
        </w:rPr>
        <w:t>however</w:t>
      </w:r>
      <w:r w:rsidRPr="00222F81">
        <w:rPr>
          <w:rFonts w:ascii="Arial" w:hAnsi="Arial" w:cs="Arial"/>
          <w:lang w:val="en-US"/>
        </w:rPr>
        <w:t xml:space="preserve"> not lower than PLN 4.00 per the new issue share)</w:t>
      </w:r>
      <w:r w:rsidR="00C53B17" w:rsidRPr="00C53B17">
        <w:rPr>
          <w:rFonts w:ascii="Arial" w:hAnsi="Arial" w:cs="Arial"/>
          <w:lang w:val="en-US"/>
        </w:rPr>
        <w:t xml:space="preserve"> in a number, which corresponds to the amount of the reinvested funds referred to above</w:t>
      </w:r>
      <w:r>
        <w:rPr>
          <w:rFonts w:ascii="Arial" w:hAnsi="Arial" w:cs="Arial"/>
          <w:lang w:val="en-US"/>
        </w:rPr>
        <w:t>.</w:t>
      </w:r>
    </w:p>
    <w:p w14:paraId="6B5BDAC6" w14:textId="77777777" w:rsidR="009E1D43" w:rsidRPr="002101ED" w:rsidRDefault="00894BF3" w:rsidP="000868D7">
      <w:pPr>
        <w:keepNext/>
        <w:spacing w:after="120" w:line="240" w:lineRule="auto"/>
        <w:jc w:val="both"/>
        <w:rPr>
          <w:rFonts w:ascii="Arial" w:hAnsi="Arial" w:cs="Arial"/>
          <w:b/>
          <w:bCs/>
          <w:u w:val="single"/>
          <w:lang w:val="en-US"/>
        </w:rPr>
      </w:pPr>
      <w:r w:rsidRPr="002101ED">
        <w:rPr>
          <w:rFonts w:ascii="Arial" w:hAnsi="Arial" w:cs="Arial"/>
          <w:b/>
          <w:bCs/>
          <w:u w:val="single"/>
          <w:lang w:val="en-US"/>
        </w:rPr>
        <w:lastRenderedPageBreak/>
        <w:t>Indicative Timeline of the Offering</w:t>
      </w:r>
    </w:p>
    <w:tbl>
      <w:tblPr>
        <w:tblW w:w="0" w:type="auto"/>
        <w:tblInd w:w="34" w:type="dxa"/>
        <w:tblCellMar>
          <w:left w:w="70" w:type="dxa"/>
          <w:right w:w="70" w:type="dxa"/>
        </w:tblCellMar>
        <w:tblLook w:val="04A0" w:firstRow="1" w:lastRow="0" w:firstColumn="1" w:lastColumn="0" w:noHBand="0" w:noVBand="1"/>
      </w:tblPr>
      <w:tblGrid>
        <w:gridCol w:w="2935"/>
        <w:gridCol w:w="6103"/>
      </w:tblGrid>
      <w:tr w:rsidR="00047AB0" w:rsidRPr="002101ED" w14:paraId="46D0B4A7" w14:textId="77777777" w:rsidTr="006E3D15">
        <w:tc>
          <w:tcPr>
            <w:tcW w:w="0" w:type="auto"/>
            <w:tcBorders>
              <w:top w:val="nil"/>
              <w:left w:val="nil"/>
              <w:bottom w:val="nil"/>
              <w:right w:val="single" w:sz="4" w:space="0" w:color="auto"/>
            </w:tcBorders>
          </w:tcPr>
          <w:p w14:paraId="3DE4BDB0" w14:textId="2736985B" w:rsidR="00047AB0" w:rsidRPr="004065DC" w:rsidRDefault="00222F81" w:rsidP="000868D7">
            <w:pPr>
              <w:keepNext/>
              <w:spacing w:after="120" w:line="240" w:lineRule="auto"/>
              <w:rPr>
                <w:rFonts w:ascii="Arial" w:eastAsia="Calibri" w:hAnsi="Arial" w:cs="Arial"/>
                <w:b/>
                <w:bCs/>
                <w:lang w:val="en-US"/>
              </w:rPr>
            </w:pPr>
            <w:r>
              <w:rPr>
                <w:rFonts w:ascii="Arial" w:eastAsia="Calibri" w:hAnsi="Arial" w:cs="Arial"/>
                <w:b/>
                <w:bCs/>
                <w:lang w:val="en-US"/>
              </w:rPr>
              <w:t>23</w:t>
            </w:r>
            <w:r w:rsidRPr="004065DC">
              <w:rPr>
                <w:rFonts w:ascii="Arial" w:eastAsia="Calibri" w:hAnsi="Arial" w:cs="Arial"/>
                <w:b/>
                <w:bCs/>
                <w:lang w:val="en-US"/>
              </w:rPr>
              <w:t xml:space="preserve"> </w:t>
            </w:r>
            <w:r w:rsidR="00121A1F" w:rsidRPr="004065DC">
              <w:rPr>
                <w:rFonts w:ascii="Arial" w:eastAsia="Calibri" w:hAnsi="Arial" w:cs="Arial"/>
                <w:b/>
                <w:bCs/>
                <w:lang w:val="en-US"/>
              </w:rPr>
              <w:t xml:space="preserve">April </w:t>
            </w:r>
            <w:r w:rsidR="00093365" w:rsidRPr="004065DC">
              <w:rPr>
                <w:rFonts w:ascii="Arial" w:eastAsia="Calibri" w:hAnsi="Arial" w:cs="Arial"/>
                <w:b/>
                <w:bCs/>
                <w:lang w:val="en-US"/>
              </w:rPr>
              <w:t>202</w:t>
            </w:r>
            <w:r w:rsidR="00121A1F" w:rsidRPr="004065DC">
              <w:rPr>
                <w:rFonts w:ascii="Arial" w:eastAsia="Calibri" w:hAnsi="Arial" w:cs="Arial"/>
                <w:b/>
                <w:bCs/>
                <w:lang w:val="en-US"/>
              </w:rPr>
              <w:t>6</w:t>
            </w:r>
          </w:p>
        </w:tc>
        <w:tc>
          <w:tcPr>
            <w:tcW w:w="0" w:type="auto"/>
            <w:tcBorders>
              <w:top w:val="nil"/>
              <w:left w:val="single" w:sz="4" w:space="0" w:color="auto"/>
              <w:bottom w:val="nil"/>
              <w:right w:val="nil"/>
            </w:tcBorders>
          </w:tcPr>
          <w:p w14:paraId="0B4DE82D" w14:textId="77777777" w:rsidR="00047AB0" w:rsidRPr="002101ED" w:rsidRDefault="00047AB0" w:rsidP="000868D7">
            <w:pPr>
              <w:tabs>
                <w:tab w:val="left" w:pos="2268"/>
              </w:tabs>
              <w:spacing w:after="120" w:line="240" w:lineRule="auto"/>
              <w:jc w:val="both"/>
              <w:rPr>
                <w:rFonts w:ascii="Arial" w:hAnsi="Arial" w:cs="Arial"/>
                <w:lang w:val="en-US"/>
              </w:rPr>
            </w:pPr>
            <w:r w:rsidRPr="002101ED">
              <w:rPr>
                <w:rFonts w:ascii="Arial" w:hAnsi="Arial" w:cs="Arial"/>
                <w:lang w:val="en-US"/>
              </w:rPr>
              <w:t>Preference Date</w:t>
            </w:r>
          </w:p>
        </w:tc>
      </w:tr>
      <w:tr w:rsidR="00745943" w:rsidRPr="00D35572" w14:paraId="72C516BA" w14:textId="77777777" w:rsidTr="006E3D15">
        <w:tc>
          <w:tcPr>
            <w:tcW w:w="0" w:type="auto"/>
            <w:tcBorders>
              <w:top w:val="nil"/>
              <w:left w:val="nil"/>
              <w:bottom w:val="nil"/>
              <w:right w:val="single" w:sz="4" w:space="0" w:color="auto"/>
            </w:tcBorders>
          </w:tcPr>
          <w:p w14:paraId="4FAF4E3F" w14:textId="70F62C28" w:rsidR="00745943" w:rsidRPr="00222F81" w:rsidRDefault="00222F81" w:rsidP="000868D7">
            <w:pPr>
              <w:keepNext/>
              <w:spacing w:after="120" w:line="240" w:lineRule="auto"/>
              <w:rPr>
                <w:rFonts w:ascii="Arial" w:eastAsia="Calibri" w:hAnsi="Arial" w:cs="Arial"/>
                <w:b/>
                <w:lang w:val="en-US"/>
              </w:rPr>
            </w:pPr>
            <w:r>
              <w:rPr>
                <w:rFonts w:ascii="Arial" w:eastAsia="Calibri" w:hAnsi="Arial" w:cs="Arial"/>
                <w:b/>
                <w:bCs/>
                <w:lang w:val="en-US"/>
              </w:rPr>
              <w:t>24</w:t>
            </w:r>
            <w:r w:rsidR="00093365" w:rsidRPr="00222F81">
              <w:rPr>
                <w:rFonts w:ascii="Arial" w:eastAsia="Calibri" w:hAnsi="Arial" w:cs="Arial"/>
                <w:b/>
                <w:bCs/>
                <w:lang w:val="en-US"/>
              </w:rPr>
              <w:t xml:space="preserve"> – </w:t>
            </w:r>
            <w:r>
              <w:rPr>
                <w:rFonts w:ascii="Arial" w:eastAsia="Calibri" w:hAnsi="Arial" w:cs="Arial"/>
                <w:b/>
                <w:bCs/>
                <w:lang w:val="en-US"/>
              </w:rPr>
              <w:t>28</w:t>
            </w:r>
            <w:r w:rsidR="00093365" w:rsidRPr="00222F81">
              <w:rPr>
                <w:rFonts w:ascii="Arial" w:eastAsia="Calibri" w:hAnsi="Arial" w:cs="Arial"/>
                <w:b/>
                <w:bCs/>
                <w:lang w:val="en-US"/>
              </w:rPr>
              <w:t xml:space="preserve"> </w:t>
            </w:r>
            <w:r w:rsidR="00121A1F" w:rsidRPr="00222F81">
              <w:rPr>
                <w:rFonts w:ascii="Arial" w:eastAsia="Calibri" w:hAnsi="Arial" w:cs="Arial"/>
                <w:b/>
                <w:bCs/>
                <w:lang w:val="en-US"/>
              </w:rPr>
              <w:t xml:space="preserve">April </w:t>
            </w:r>
            <w:r w:rsidR="005922F2" w:rsidRPr="00222F81">
              <w:rPr>
                <w:rFonts w:ascii="Arial" w:eastAsia="Calibri" w:hAnsi="Arial" w:cs="Arial"/>
                <w:b/>
                <w:bCs/>
                <w:lang w:val="en-US"/>
              </w:rPr>
              <w:t xml:space="preserve">2026 </w:t>
            </w:r>
            <w:r w:rsidR="00745943" w:rsidRPr="00222F81">
              <w:rPr>
                <w:rFonts w:ascii="Arial" w:eastAsia="Calibri" w:hAnsi="Arial" w:cs="Arial"/>
                <w:b/>
                <w:bCs/>
                <w:lang w:val="en-US"/>
              </w:rPr>
              <w:t>by 1</w:t>
            </w:r>
            <w:r w:rsidR="00093365" w:rsidRPr="00222F81">
              <w:rPr>
                <w:rFonts w:ascii="Arial" w:eastAsia="Calibri" w:hAnsi="Arial" w:cs="Arial"/>
                <w:b/>
                <w:bCs/>
                <w:lang w:val="en-US"/>
              </w:rPr>
              <w:t>6</w:t>
            </w:r>
            <w:r w:rsidR="00262C9B" w:rsidRPr="00222F81">
              <w:rPr>
                <w:rFonts w:ascii="Arial" w:eastAsia="Calibri" w:hAnsi="Arial" w:cs="Arial"/>
                <w:b/>
                <w:bCs/>
                <w:lang w:val="en-US"/>
              </w:rPr>
              <w:t>:</w:t>
            </w:r>
            <w:r w:rsidR="00745943" w:rsidRPr="00222F81">
              <w:rPr>
                <w:rFonts w:ascii="Arial" w:eastAsia="Calibri" w:hAnsi="Arial" w:cs="Arial"/>
                <w:b/>
                <w:bCs/>
                <w:lang w:val="en-US"/>
              </w:rPr>
              <w:t xml:space="preserve">00 </w:t>
            </w:r>
            <w:r w:rsidR="00093365" w:rsidRPr="00222F81">
              <w:rPr>
                <w:rFonts w:ascii="Arial" w:eastAsia="Calibri" w:hAnsi="Arial" w:cs="Arial"/>
                <w:b/>
                <w:bCs/>
                <w:lang w:val="en-US"/>
              </w:rPr>
              <w:t>CEST</w:t>
            </w:r>
          </w:p>
        </w:tc>
        <w:tc>
          <w:tcPr>
            <w:tcW w:w="0" w:type="auto"/>
            <w:tcBorders>
              <w:top w:val="nil"/>
              <w:left w:val="single" w:sz="4" w:space="0" w:color="auto"/>
              <w:bottom w:val="nil"/>
              <w:right w:val="nil"/>
            </w:tcBorders>
          </w:tcPr>
          <w:p w14:paraId="1359B017" w14:textId="77777777" w:rsidR="00745943" w:rsidRPr="002101ED" w:rsidRDefault="00093365" w:rsidP="000868D7">
            <w:pPr>
              <w:tabs>
                <w:tab w:val="left" w:pos="2268"/>
              </w:tabs>
              <w:spacing w:after="120" w:line="240" w:lineRule="auto"/>
              <w:jc w:val="both"/>
              <w:rPr>
                <w:rFonts w:ascii="Arial" w:eastAsia="Times New Roman" w:hAnsi="Arial" w:cs="Arial"/>
                <w:lang w:val="en-US"/>
              </w:rPr>
            </w:pPr>
            <w:r w:rsidRPr="002101ED">
              <w:rPr>
                <w:rFonts w:ascii="Arial" w:hAnsi="Arial" w:cs="Arial"/>
                <w:lang w:val="en-US"/>
              </w:rPr>
              <w:t>Trigon DM</w:t>
            </w:r>
            <w:r w:rsidR="00745943" w:rsidRPr="002101ED">
              <w:rPr>
                <w:rFonts w:ascii="Arial" w:hAnsi="Arial" w:cs="Arial"/>
                <w:lang w:val="en-US"/>
              </w:rPr>
              <w:t xml:space="preserve"> accepts Declarations in the </w:t>
            </w:r>
            <w:r w:rsidR="00745943" w:rsidRPr="002101ED">
              <w:rPr>
                <w:rFonts w:ascii="Arial" w:hAnsi="Arial" w:cs="Arial"/>
                <w:color w:val="000000"/>
                <w:lang w:val="en-US"/>
              </w:rPr>
              <w:t xml:space="preserve">Book Building </w:t>
            </w:r>
          </w:p>
        </w:tc>
      </w:tr>
      <w:tr w:rsidR="00C904A1" w:rsidRPr="00D35572" w14:paraId="2F3D92F0" w14:textId="77777777" w:rsidTr="0079269D">
        <w:tc>
          <w:tcPr>
            <w:tcW w:w="0" w:type="auto"/>
            <w:tcBorders>
              <w:top w:val="nil"/>
              <w:left w:val="nil"/>
              <w:bottom w:val="nil"/>
              <w:right w:val="single" w:sz="4" w:space="0" w:color="auto"/>
            </w:tcBorders>
            <w:hideMark/>
          </w:tcPr>
          <w:p w14:paraId="0E05DC81" w14:textId="0756C6BC" w:rsidR="00C904A1" w:rsidRPr="004065DC" w:rsidRDefault="00222F81" w:rsidP="0079269D">
            <w:pPr>
              <w:keepNext/>
              <w:spacing w:after="120" w:line="240" w:lineRule="auto"/>
              <w:rPr>
                <w:rFonts w:ascii="Arial" w:eastAsia="Calibri" w:hAnsi="Arial" w:cs="Arial"/>
                <w:b/>
                <w:lang w:val="en-US"/>
              </w:rPr>
            </w:pPr>
            <w:r>
              <w:rPr>
                <w:rFonts w:ascii="Arial" w:eastAsia="Calibri" w:hAnsi="Arial" w:cs="Arial"/>
                <w:b/>
                <w:bCs/>
                <w:lang w:val="en-US"/>
              </w:rPr>
              <w:t>27</w:t>
            </w:r>
            <w:r w:rsidRPr="004065DC">
              <w:rPr>
                <w:rFonts w:ascii="Arial" w:eastAsia="Calibri" w:hAnsi="Arial" w:cs="Arial"/>
                <w:b/>
                <w:bCs/>
                <w:lang w:val="en-US"/>
              </w:rPr>
              <w:t xml:space="preserve"> </w:t>
            </w:r>
            <w:r w:rsidR="00121A1F" w:rsidRPr="004065DC">
              <w:rPr>
                <w:rFonts w:ascii="Arial" w:eastAsia="Calibri" w:hAnsi="Arial" w:cs="Arial"/>
                <w:b/>
                <w:bCs/>
                <w:lang w:val="en-US"/>
              </w:rPr>
              <w:t xml:space="preserve">April </w:t>
            </w:r>
            <w:r w:rsidR="00093365" w:rsidRPr="004065DC">
              <w:rPr>
                <w:rFonts w:ascii="Arial" w:eastAsia="Calibri" w:hAnsi="Arial" w:cs="Arial"/>
                <w:b/>
                <w:bCs/>
                <w:lang w:val="en-US"/>
              </w:rPr>
              <w:t>202</w:t>
            </w:r>
            <w:r w:rsidR="00BC6EA1" w:rsidRPr="004065DC">
              <w:rPr>
                <w:rFonts w:ascii="Arial" w:eastAsia="Calibri" w:hAnsi="Arial" w:cs="Arial"/>
                <w:b/>
                <w:bCs/>
                <w:lang w:val="en-US"/>
              </w:rPr>
              <w:t>6</w:t>
            </w:r>
          </w:p>
        </w:tc>
        <w:tc>
          <w:tcPr>
            <w:tcW w:w="0" w:type="auto"/>
            <w:tcBorders>
              <w:top w:val="nil"/>
              <w:left w:val="single" w:sz="4" w:space="0" w:color="auto"/>
              <w:bottom w:val="nil"/>
              <w:right w:val="nil"/>
            </w:tcBorders>
            <w:hideMark/>
          </w:tcPr>
          <w:p w14:paraId="11E8E8F4" w14:textId="77777777" w:rsidR="00C904A1" w:rsidRPr="002101ED" w:rsidRDefault="00C904A1" w:rsidP="0079269D">
            <w:pPr>
              <w:tabs>
                <w:tab w:val="left" w:pos="2268"/>
              </w:tabs>
              <w:spacing w:after="120" w:line="240" w:lineRule="auto"/>
              <w:rPr>
                <w:rFonts w:ascii="Arial" w:eastAsia="Times New Roman" w:hAnsi="Arial" w:cs="Arial"/>
                <w:lang w:val="en-US"/>
              </w:rPr>
            </w:pPr>
            <w:r w:rsidRPr="002101ED">
              <w:rPr>
                <w:rFonts w:ascii="Arial" w:eastAsia="Times New Roman" w:hAnsi="Arial" w:cs="Arial"/>
                <w:lang w:val="en-US"/>
              </w:rPr>
              <w:t xml:space="preserve">Eligible Investors submit a relevant certificate of shareholding as at the Preference Date </w:t>
            </w:r>
          </w:p>
        </w:tc>
      </w:tr>
      <w:tr w:rsidR="0069330E" w:rsidRPr="00D35572" w14:paraId="32E053C5" w14:textId="77777777" w:rsidTr="006E3D15">
        <w:tc>
          <w:tcPr>
            <w:tcW w:w="0" w:type="auto"/>
            <w:tcBorders>
              <w:top w:val="nil"/>
              <w:left w:val="nil"/>
              <w:bottom w:val="nil"/>
              <w:right w:val="single" w:sz="4" w:space="0" w:color="auto"/>
            </w:tcBorders>
            <w:hideMark/>
          </w:tcPr>
          <w:p w14:paraId="683AC0CD" w14:textId="19EDF9C4" w:rsidR="00FE4015" w:rsidRPr="002101ED" w:rsidRDefault="00222F81" w:rsidP="000868D7">
            <w:pPr>
              <w:keepNext/>
              <w:spacing w:after="120" w:line="240" w:lineRule="auto"/>
              <w:rPr>
                <w:rFonts w:ascii="Arial" w:eastAsia="Calibri" w:hAnsi="Arial" w:cs="Arial"/>
                <w:b/>
                <w:lang w:val="en-US"/>
              </w:rPr>
            </w:pPr>
            <w:r>
              <w:rPr>
                <w:rFonts w:ascii="Arial" w:eastAsia="Calibri" w:hAnsi="Arial" w:cs="Arial"/>
                <w:b/>
                <w:bCs/>
                <w:lang w:val="en-US"/>
              </w:rPr>
              <w:t>28</w:t>
            </w:r>
            <w:r w:rsidRPr="002101ED">
              <w:rPr>
                <w:rFonts w:ascii="Arial" w:eastAsia="Calibri" w:hAnsi="Arial" w:cs="Arial"/>
                <w:b/>
                <w:bCs/>
                <w:lang w:val="en-US"/>
              </w:rPr>
              <w:t xml:space="preserve"> </w:t>
            </w:r>
            <w:r w:rsidR="00121A1F">
              <w:rPr>
                <w:rFonts w:ascii="Arial" w:eastAsia="Calibri" w:hAnsi="Arial" w:cs="Arial"/>
                <w:b/>
                <w:bCs/>
                <w:lang w:val="en-US"/>
              </w:rPr>
              <w:t xml:space="preserve">April </w:t>
            </w:r>
            <w:r w:rsidR="00093365" w:rsidRPr="002101ED">
              <w:rPr>
                <w:rFonts w:ascii="Arial" w:eastAsia="Calibri" w:hAnsi="Arial" w:cs="Arial"/>
                <w:b/>
                <w:bCs/>
                <w:lang w:val="en-US"/>
              </w:rPr>
              <w:t>202</w:t>
            </w:r>
            <w:r w:rsidR="00BC6EA1">
              <w:rPr>
                <w:rFonts w:ascii="Arial" w:eastAsia="Calibri" w:hAnsi="Arial" w:cs="Arial"/>
                <w:b/>
                <w:bCs/>
                <w:lang w:val="en-US"/>
              </w:rPr>
              <w:t>6</w:t>
            </w:r>
          </w:p>
        </w:tc>
        <w:tc>
          <w:tcPr>
            <w:tcW w:w="0" w:type="auto"/>
            <w:tcBorders>
              <w:top w:val="nil"/>
              <w:left w:val="single" w:sz="4" w:space="0" w:color="auto"/>
              <w:bottom w:val="nil"/>
              <w:right w:val="nil"/>
            </w:tcBorders>
            <w:hideMark/>
          </w:tcPr>
          <w:p w14:paraId="31035A7B" w14:textId="77777777" w:rsidR="0094119E" w:rsidRPr="002101ED" w:rsidRDefault="00093365" w:rsidP="000868D7">
            <w:pPr>
              <w:tabs>
                <w:tab w:val="left" w:pos="2268"/>
              </w:tabs>
              <w:spacing w:after="120" w:line="240" w:lineRule="auto"/>
              <w:jc w:val="both"/>
              <w:rPr>
                <w:rFonts w:ascii="Arial" w:eastAsia="Times New Roman" w:hAnsi="Arial" w:cs="Arial"/>
                <w:lang w:val="en-US"/>
              </w:rPr>
            </w:pPr>
            <w:r w:rsidRPr="002101ED">
              <w:rPr>
                <w:rFonts w:ascii="Arial" w:hAnsi="Arial" w:cs="Arial"/>
                <w:lang w:val="en-US"/>
              </w:rPr>
              <w:t>Trigon DM</w:t>
            </w:r>
            <w:r w:rsidR="0094119E" w:rsidRPr="002101ED">
              <w:rPr>
                <w:rFonts w:ascii="Arial" w:hAnsi="Arial" w:cs="Arial"/>
                <w:lang w:val="en-US"/>
              </w:rPr>
              <w:t xml:space="preserve"> presents the </w:t>
            </w:r>
            <w:r w:rsidR="0094119E" w:rsidRPr="002101ED">
              <w:rPr>
                <w:rFonts w:ascii="Arial" w:hAnsi="Arial" w:cs="Arial"/>
                <w:color w:val="000000"/>
                <w:lang w:val="en-US"/>
              </w:rPr>
              <w:t>Book Building</w:t>
            </w:r>
            <w:r w:rsidR="0094119E" w:rsidRPr="002101ED">
              <w:rPr>
                <w:rFonts w:ascii="Arial" w:hAnsi="Arial" w:cs="Arial"/>
                <w:lang w:val="en-US"/>
              </w:rPr>
              <w:t xml:space="preserve"> results, recommendations on the Issue Price and the Initial Allocation List to the Issuer</w:t>
            </w:r>
          </w:p>
          <w:p w14:paraId="68B2EAA3" w14:textId="77777777" w:rsidR="00FE4015" w:rsidRPr="002101ED" w:rsidRDefault="00B3674A" w:rsidP="000868D7">
            <w:pPr>
              <w:tabs>
                <w:tab w:val="left" w:pos="2268"/>
              </w:tabs>
              <w:spacing w:after="120" w:line="240" w:lineRule="auto"/>
              <w:jc w:val="both"/>
              <w:rPr>
                <w:rFonts w:ascii="Arial" w:eastAsia="Times New Roman" w:hAnsi="Arial" w:cs="Arial"/>
                <w:lang w:val="en-US"/>
              </w:rPr>
            </w:pPr>
            <w:r w:rsidRPr="002101ED">
              <w:rPr>
                <w:rFonts w:ascii="Arial" w:eastAsia="Times New Roman" w:hAnsi="Arial" w:cs="Arial"/>
                <w:lang w:val="en-US"/>
              </w:rPr>
              <w:t xml:space="preserve">The Management Board adopts a resolution on the Issue Price and determines the list of </w:t>
            </w:r>
            <w:r w:rsidR="004E60CF" w:rsidRPr="002101ED">
              <w:rPr>
                <w:rFonts w:ascii="Arial" w:eastAsia="Times New Roman" w:hAnsi="Arial" w:cs="Arial"/>
                <w:lang w:val="en-US"/>
              </w:rPr>
              <w:t>I</w:t>
            </w:r>
            <w:r w:rsidRPr="002101ED">
              <w:rPr>
                <w:rFonts w:ascii="Arial" w:eastAsia="Times New Roman" w:hAnsi="Arial" w:cs="Arial"/>
                <w:lang w:val="en-US"/>
              </w:rPr>
              <w:t>nvestors with whom offers to acquire the Offer Shares will be placed</w:t>
            </w:r>
          </w:p>
        </w:tc>
      </w:tr>
      <w:tr w:rsidR="00093365" w:rsidRPr="00D35572" w14:paraId="43CC65DF" w14:textId="77777777" w:rsidTr="006E3D15">
        <w:tc>
          <w:tcPr>
            <w:tcW w:w="0" w:type="auto"/>
            <w:tcBorders>
              <w:top w:val="nil"/>
              <w:left w:val="nil"/>
              <w:bottom w:val="nil"/>
              <w:right w:val="single" w:sz="4" w:space="0" w:color="auto"/>
            </w:tcBorders>
          </w:tcPr>
          <w:p w14:paraId="62FA7D43" w14:textId="0BF9CDB0" w:rsidR="00093365" w:rsidRPr="002101ED" w:rsidDel="00093365" w:rsidRDefault="00222F81" w:rsidP="000868D7">
            <w:pPr>
              <w:keepNext/>
              <w:spacing w:after="120" w:line="240" w:lineRule="auto"/>
              <w:rPr>
                <w:rFonts w:ascii="Arial" w:eastAsia="Calibri" w:hAnsi="Arial" w:cs="Arial"/>
                <w:b/>
                <w:bCs/>
                <w:lang w:val="en-US"/>
              </w:rPr>
            </w:pPr>
            <w:r>
              <w:rPr>
                <w:rFonts w:ascii="Arial" w:eastAsia="Calibri" w:hAnsi="Arial" w:cs="Arial"/>
                <w:b/>
                <w:bCs/>
                <w:lang w:val="en-US"/>
              </w:rPr>
              <w:t xml:space="preserve">29 </w:t>
            </w:r>
            <w:r w:rsidR="00121A1F">
              <w:rPr>
                <w:rFonts w:ascii="Arial" w:eastAsia="Calibri" w:hAnsi="Arial" w:cs="Arial"/>
                <w:b/>
                <w:bCs/>
                <w:lang w:val="en-US"/>
              </w:rPr>
              <w:t>April</w:t>
            </w:r>
            <w:r w:rsidR="00093365" w:rsidRPr="002101ED">
              <w:rPr>
                <w:rFonts w:ascii="Arial" w:eastAsia="Calibri" w:hAnsi="Arial" w:cs="Arial"/>
                <w:b/>
                <w:bCs/>
                <w:lang w:val="en-US"/>
              </w:rPr>
              <w:t xml:space="preserve"> 202</w:t>
            </w:r>
            <w:r w:rsidR="00BC6EA1">
              <w:rPr>
                <w:rFonts w:ascii="Arial" w:eastAsia="Calibri" w:hAnsi="Arial" w:cs="Arial"/>
                <w:b/>
                <w:bCs/>
                <w:lang w:val="en-US"/>
              </w:rPr>
              <w:t>6</w:t>
            </w:r>
          </w:p>
        </w:tc>
        <w:tc>
          <w:tcPr>
            <w:tcW w:w="0" w:type="auto"/>
            <w:tcBorders>
              <w:top w:val="nil"/>
              <w:left w:val="single" w:sz="4" w:space="0" w:color="auto"/>
              <w:bottom w:val="nil"/>
              <w:right w:val="nil"/>
            </w:tcBorders>
          </w:tcPr>
          <w:p w14:paraId="3EA4653B" w14:textId="77777777" w:rsidR="00093365" w:rsidRPr="002101ED" w:rsidRDefault="00093365" w:rsidP="000868D7">
            <w:pPr>
              <w:tabs>
                <w:tab w:val="left" w:pos="2268"/>
              </w:tabs>
              <w:spacing w:after="120" w:line="240" w:lineRule="auto"/>
              <w:jc w:val="both"/>
              <w:rPr>
                <w:rFonts w:ascii="Arial" w:hAnsi="Arial" w:cs="Arial"/>
                <w:lang w:val="en-US"/>
              </w:rPr>
            </w:pPr>
            <w:r w:rsidRPr="002101ED">
              <w:rPr>
                <w:rFonts w:ascii="Arial" w:hAnsi="Arial" w:cs="Arial"/>
                <w:lang w:val="en-US"/>
              </w:rPr>
              <w:t>The Management Board adopts the Issue Resolution</w:t>
            </w:r>
          </w:p>
        </w:tc>
      </w:tr>
      <w:tr w:rsidR="0069330E" w:rsidRPr="00D35572" w14:paraId="3BF2E0B3" w14:textId="77777777" w:rsidTr="00C35E14">
        <w:trPr>
          <w:trHeight w:val="578"/>
        </w:trPr>
        <w:tc>
          <w:tcPr>
            <w:tcW w:w="0" w:type="auto"/>
            <w:tcBorders>
              <w:top w:val="nil"/>
              <w:left w:val="nil"/>
              <w:bottom w:val="nil"/>
              <w:right w:val="single" w:sz="4" w:space="0" w:color="auto"/>
            </w:tcBorders>
            <w:hideMark/>
          </w:tcPr>
          <w:p w14:paraId="136CE2E6" w14:textId="57A2CA80" w:rsidR="00FE4015" w:rsidRPr="002101ED" w:rsidRDefault="00222F81" w:rsidP="000868D7">
            <w:pPr>
              <w:keepNext/>
              <w:spacing w:after="120" w:line="240" w:lineRule="auto"/>
              <w:rPr>
                <w:rFonts w:ascii="Arial" w:eastAsia="Calibri" w:hAnsi="Arial" w:cs="Arial"/>
                <w:b/>
                <w:lang w:val="en-US"/>
              </w:rPr>
            </w:pPr>
            <w:r>
              <w:rPr>
                <w:rFonts w:ascii="Arial" w:eastAsia="Calibri" w:hAnsi="Arial" w:cs="Arial"/>
                <w:b/>
                <w:bCs/>
                <w:lang w:val="en-US"/>
              </w:rPr>
              <w:t xml:space="preserve">29 April </w:t>
            </w:r>
            <w:r w:rsidR="00BC6EA1">
              <w:rPr>
                <w:rFonts w:ascii="Arial" w:eastAsia="Calibri" w:hAnsi="Arial" w:cs="Arial"/>
                <w:b/>
                <w:bCs/>
                <w:lang w:val="en-US"/>
              </w:rPr>
              <w:t xml:space="preserve">– </w:t>
            </w:r>
            <w:r>
              <w:rPr>
                <w:rFonts w:ascii="Arial" w:eastAsia="Calibri" w:hAnsi="Arial" w:cs="Arial"/>
                <w:b/>
                <w:bCs/>
                <w:lang w:val="en-US"/>
              </w:rPr>
              <w:t xml:space="preserve">5 May </w:t>
            </w:r>
            <w:r w:rsidR="00E676E3" w:rsidRPr="002101ED">
              <w:rPr>
                <w:rFonts w:ascii="Arial" w:eastAsia="Calibri" w:hAnsi="Arial" w:cs="Arial"/>
                <w:b/>
                <w:bCs/>
                <w:lang w:val="en-US"/>
              </w:rPr>
              <w:t>202</w:t>
            </w:r>
            <w:r w:rsidR="00BC6EA1">
              <w:rPr>
                <w:rFonts w:ascii="Arial" w:eastAsia="Calibri" w:hAnsi="Arial" w:cs="Arial"/>
                <w:b/>
                <w:bCs/>
                <w:lang w:val="en-US"/>
              </w:rPr>
              <w:t>6</w:t>
            </w:r>
          </w:p>
        </w:tc>
        <w:tc>
          <w:tcPr>
            <w:tcW w:w="0" w:type="auto"/>
            <w:tcBorders>
              <w:top w:val="nil"/>
              <w:left w:val="single" w:sz="4" w:space="0" w:color="auto"/>
              <w:bottom w:val="nil"/>
              <w:right w:val="nil"/>
            </w:tcBorders>
            <w:hideMark/>
          </w:tcPr>
          <w:p w14:paraId="53493E96" w14:textId="77777777" w:rsidR="00FE4015" w:rsidRPr="002101ED" w:rsidRDefault="00B3674A" w:rsidP="000868D7">
            <w:pPr>
              <w:tabs>
                <w:tab w:val="left" w:pos="2268"/>
              </w:tabs>
              <w:spacing w:after="120" w:line="240" w:lineRule="auto"/>
              <w:jc w:val="both"/>
              <w:rPr>
                <w:rFonts w:ascii="Arial" w:eastAsia="Times New Roman" w:hAnsi="Arial" w:cs="Arial"/>
                <w:lang w:val="en-US"/>
              </w:rPr>
            </w:pPr>
            <w:r w:rsidRPr="002101ED">
              <w:rPr>
                <w:rFonts w:ascii="Arial" w:eastAsia="Times New Roman" w:hAnsi="Arial" w:cs="Arial"/>
                <w:lang w:val="en-US"/>
              </w:rPr>
              <w:t>Subscription Agreements are executed, payments (cash contributions) for Offer Shares are accepted</w:t>
            </w:r>
          </w:p>
        </w:tc>
      </w:tr>
      <w:tr w:rsidR="0069330E" w:rsidRPr="002D50F7" w14:paraId="44E388A5" w14:textId="77777777" w:rsidTr="006E3D15">
        <w:tc>
          <w:tcPr>
            <w:tcW w:w="0" w:type="auto"/>
            <w:tcBorders>
              <w:top w:val="nil"/>
              <w:left w:val="nil"/>
              <w:bottom w:val="nil"/>
              <w:right w:val="single" w:sz="4" w:space="0" w:color="auto"/>
            </w:tcBorders>
            <w:hideMark/>
          </w:tcPr>
          <w:p w14:paraId="6FA3158E" w14:textId="6AF37C5F" w:rsidR="0069330E" w:rsidRPr="002101ED" w:rsidRDefault="00222F81" w:rsidP="000868D7">
            <w:pPr>
              <w:keepNext/>
              <w:spacing w:after="120" w:line="240" w:lineRule="auto"/>
              <w:rPr>
                <w:rFonts w:ascii="Arial" w:eastAsia="Calibri" w:hAnsi="Arial" w:cs="Arial"/>
                <w:b/>
                <w:bCs/>
                <w:lang w:val="en-US"/>
              </w:rPr>
            </w:pPr>
            <w:r>
              <w:rPr>
                <w:rFonts w:ascii="Arial" w:eastAsia="Calibri" w:hAnsi="Arial" w:cs="Arial"/>
                <w:b/>
                <w:bCs/>
                <w:lang w:val="en-US"/>
              </w:rPr>
              <w:t>5 May</w:t>
            </w:r>
            <w:r w:rsidR="00B65511" w:rsidRPr="002101ED">
              <w:rPr>
                <w:rFonts w:ascii="Arial" w:eastAsia="Calibri" w:hAnsi="Arial" w:cs="Arial"/>
                <w:b/>
                <w:bCs/>
                <w:lang w:val="en-US"/>
              </w:rPr>
              <w:t xml:space="preserve"> 202</w:t>
            </w:r>
            <w:r w:rsidR="00BC6EA1">
              <w:rPr>
                <w:rFonts w:ascii="Arial" w:eastAsia="Calibri" w:hAnsi="Arial" w:cs="Arial"/>
                <w:b/>
                <w:bCs/>
                <w:lang w:val="en-US"/>
              </w:rPr>
              <w:t>6</w:t>
            </w:r>
            <w:r w:rsidR="00B65511" w:rsidRPr="002101ED">
              <w:rPr>
                <w:rFonts w:ascii="Arial" w:eastAsia="Calibri" w:hAnsi="Arial" w:cs="Arial"/>
                <w:b/>
                <w:bCs/>
                <w:lang w:val="en-US"/>
              </w:rPr>
              <w:t xml:space="preserve"> after 18:00 CEST</w:t>
            </w:r>
          </w:p>
        </w:tc>
        <w:tc>
          <w:tcPr>
            <w:tcW w:w="0" w:type="auto"/>
            <w:tcBorders>
              <w:top w:val="nil"/>
              <w:left w:val="single" w:sz="4" w:space="0" w:color="auto"/>
              <w:bottom w:val="nil"/>
              <w:right w:val="nil"/>
            </w:tcBorders>
            <w:hideMark/>
          </w:tcPr>
          <w:p w14:paraId="5E7EE351" w14:textId="77777777" w:rsidR="00FE4015" w:rsidRPr="002101ED" w:rsidRDefault="00B3674A" w:rsidP="000868D7">
            <w:pPr>
              <w:tabs>
                <w:tab w:val="left" w:pos="2268"/>
              </w:tabs>
              <w:spacing w:after="120" w:line="240" w:lineRule="auto"/>
              <w:jc w:val="both"/>
              <w:rPr>
                <w:rFonts w:ascii="Arial" w:eastAsia="Times New Roman" w:hAnsi="Arial" w:cs="Arial"/>
                <w:lang w:val="en-US"/>
              </w:rPr>
            </w:pPr>
            <w:r w:rsidRPr="002101ED">
              <w:rPr>
                <w:rFonts w:ascii="Arial" w:eastAsia="Times New Roman" w:hAnsi="Arial" w:cs="Arial"/>
                <w:lang w:val="en-US"/>
              </w:rPr>
              <w:t xml:space="preserve">The Offering is closed and the Management Board adopts a resolution on determining the final list of </w:t>
            </w:r>
            <w:r w:rsidR="00B65511" w:rsidRPr="002101ED">
              <w:rPr>
                <w:rFonts w:ascii="Arial" w:eastAsia="Times New Roman" w:hAnsi="Arial" w:cs="Arial"/>
                <w:lang w:val="en-US"/>
              </w:rPr>
              <w:t>I</w:t>
            </w:r>
            <w:r w:rsidRPr="002101ED">
              <w:rPr>
                <w:rFonts w:ascii="Arial" w:eastAsia="Times New Roman" w:hAnsi="Arial" w:cs="Arial"/>
                <w:lang w:val="en-US"/>
              </w:rPr>
              <w:t>nvestors who have entered into Subscription Agreements with the Company</w:t>
            </w:r>
          </w:p>
        </w:tc>
      </w:tr>
      <w:tr w:rsidR="0069330E" w:rsidRPr="002D50F7" w14:paraId="6694D814" w14:textId="77777777" w:rsidTr="006E3D15">
        <w:tc>
          <w:tcPr>
            <w:tcW w:w="0" w:type="auto"/>
            <w:tcBorders>
              <w:top w:val="nil"/>
              <w:left w:val="nil"/>
              <w:bottom w:val="nil"/>
              <w:right w:val="single" w:sz="4" w:space="0" w:color="auto"/>
            </w:tcBorders>
            <w:hideMark/>
          </w:tcPr>
          <w:p w14:paraId="67FE0332" w14:textId="77777777" w:rsidR="00FE4015" w:rsidRPr="002101ED" w:rsidRDefault="00FE4015" w:rsidP="000868D7">
            <w:pPr>
              <w:keepNext/>
              <w:spacing w:after="120" w:line="240" w:lineRule="auto"/>
              <w:rPr>
                <w:rFonts w:ascii="Arial" w:eastAsia="Calibri" w:hAnsi="Arial" w:cs="Arial"/>
                <w:b/>
                <w:lang w:val="en-US"/>
              </w:rPr>
            </w:pPr>
            <w:r w:rsidRPr="002101ED">
              <w:rPr>
                <w:rFonts w:ascii="Arial" w:eastAsia="Calibri" w:hAnsi="Arial" w:cs="Arial"/>
                <w:b/>
                <w:bCs/>
                <w:lang w:val="en-US"/>
              </w:rPr>
              <w:t xml:space="preserve">Approximately 2 </w:t>
            </w:r>
            <w:r w:rsidR="00121A1F">
              <w:rPr>
                <w:rFonts w:ascii="Arial" w:eastAsia="Calibri" w:hAnsi="Arial" w:cs="Arial"/>
                <w:b/>
                <w:bCs/>
                <w:lang w:val="en-US"/>
              </w:rPr>
              <w:t>months</w:t>
            </w:r>
            <w:r w:rsidR="00121A1F" w:rsidRPr="002101ED">
              <w:rPr>
                <w:rFonts w:ascii="Arial" w:eastAsia="Calibri" w:hAnsi="Arial" w:cs="Arial"/>
                <w:b/>
                <w:bCs/>
                <w:lang w:val="en-US"/>
              </w:rPr>
              <w:t xml:space="preserve"> </w:t>
            </w:r>
            <w:r w:rsidRPr="002101ED">
              <w:rPr>
                <w:rFonts w:ascii="Arial" w:eastAsia="Calibri" w:hAnsi="Arial" w:cs="Arial"/>
                <w:b/>
                <w:bCs/>
                <w:lang w:val="en-US"/>
              </w:rPr>
              <w:t>from allotment of the Offer Shares</w:t>
            </w:r>
          </w:p>
        </w:tc>
        <w:tc>
          <w:tcPr>
            <w:tcW w:w="0" w:type="auto"/>
            <w:tcBorders>
              <w:top w:val="nil"/>
              <w:left w:val="single" w:sz="4" w:space="0" w:color="auto"/>
              <w:bottom w:val="nil"/>
              <w:right w:val="nil"/>
            </w:tcBorders>
            <w:hideMark/>
          </w:tcPr>
          <w:p w14:paraId="16CD8C87" w14:textId="77777777" w:rsidR="00FE4015" w:rsidRPr="002101ED" w:rsidRDefault="00FE4015" w:rsidP="000868D7">
            <w:pPr>
              <w:tabs>
                <w:tab w:val="left" w:pos="2268"/>
              </w:tabs>
              <w:spacing w:after="120" w:line="240" w:lineRule="auto"/>
              <w:jc w:val="both"/>
              <w:rPr>
                <w:rFonts w:ascii="Arial" w:eastAsia="Times New Roman" w:hAnsi="Arial" w:cs="Arial"/>
                <w:lang w:val="en-US"/>
              </w:rPr>
            </w:pPr>
            <w:r w:rsidRPr="002101ED">
              <w:rPr>
                <w:rFonts w:ascii="Arial" w:eastAsia="Times New Roman" w:hAnsi="Arial" w:cs="Arial"/>
                <w:lang w:val="en-US"/>
              </w:rPr>
              <w:t>Anticipated listing of the Offer Shares on the regulated market (the date depends on the date of the registry court’s decision and</w:t>
            </w:r>
            <w:r w:rsidR="0089259F" w:rsidRPr="002101ED">
              <w:rPr>
                <w:rFonts w:ascii="Arial" w:eastAsia="Times New Roman" w:hAnsi="Arial" w:cs="Arial"/>
                <w:lang w:val="en-US"/>
              </w:rPr>
              <w:t xml:space="preserve"> </w:t>
            </w:r>
            <w:r w:rsidRPr="002101ED">
              <w:rPr>
                <w:rFonts w:ascii="Arial" w:eastAsia="Times New Roman" w:hAnsi="Arial" w:cs="Arial"/>
                <w:lang w:val="en-US"/>
              </w:rPr>
              <w:t>the WSE and NDS resolutions)</w:t>
            </w:r>
          </w:p>
        </w:tc>
      </w:tr>
    </w:tbl>
    <w:p w14:paraId="77326A94" w14:textId="77777777" w:rsidR="00FE4015" w:rsidRPr="002101ED" w:rsidRDefault="00B3674A" w:rsidP="000868D7">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The timeline of the Offering, including the date of execution of the Subscription Agreements, may be subject to change.</w:t>
      </w:r>
    </w:p>
    <w:p w14:paraId="642F9E82" w14:textId="77777777" w:rsidR="009E1D43" w:rsidRPr="002101ED" w:rsidRDefault="009E1D43" w:rsidP="000868D7">
      <w:pPr>
        <w:keepNext/>
        <w:spacing w:after="120" w:line="240" w:lineRule="auto"/>
        <w:jc w:val="both"/>
        <w:rPr>
          <w:rFonts w:ascii="Arial" w:hAnsi="Arial" w:cs="Arial"/>
          <w:b/>
          <w:bCs/>
          <w:u w:val="single"/>
          <w:lang w:val="en-US"/>
        </w:rPr>
      </w:pPr>
      <w:r w:rsidRPr="002101ED">
        <w:rPr>
          <w:rFonts w:ascii="Arial" w:hAnsi="Arial" w:cs="Arial"/>
          <w:b/>
          <w:bCs/>
          <w:u w:val="single"/>
          <w:lang w:val="en-US"/>
        </w:rPr>
        <w:t>Subscription for the Offer Shares</w:t>
      </w:r>
    </w:p>
    <w:p w14:paraId="11E0CD0D" w14:textId="77777777" w:rsidR="00482974" w:rsidRPr="002101ED" w:rsidRDefault="009E1D43" w:rsidP="00C35E14">
      <w:pPr>
        <w:tabs>
          <w:tab w:val="left" w:pos="1985"/>
        </w:tabs>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Along with the offer to acquire the Offer Shares, the </w:t>
      </w:r>
      <w:r w:rsidR="004E60CF" w:rsidRPr="002101ED">
        <w:rPr>
          <w:rFonts w:ascii="Arial" w:hAnsi="Arial" w:cs="Arial"/>
          <w:color w:val="000000"/>
          <w:lang w:val="en-US"/>
        </w:rPr>
        <w:t>I</w:t>
      </w:r>
      <w:r w:rsidRPr="002101ED">
        <w:rPr>
          <w:rFonts w:ascii="Arial" w:hAnsi="Arial" w:cs="Arial"/>
          <w:color w:val="000000"/>
          <w:lang w:val="en-US"/>
        </w:rPr>
        <w:t>nvestor will receive a copy of the Subscription Agreement</w:t>
      </w:r>
      <w:r w:rsidR="00AA1550" w:rsidRPr="002101ED">
        <w:rPr>
          <w:rFonts w:ascii="Arial" w:hAnsi="Arial" w:cs="Arial"/>
          <w:color w:val="000000"/>
          <w:lang w:val="en-US"/>
        </w:rPr>
        <w:t xml:space="preserve"> from Trigon DM</w:t>
      </w:r>
      <w:r w:rsidRPr="002101ED">
        <w:rPr>
          <w:rFonts w:ascii="Arial" w:hAnsi="Arial" w:cs="Arial"/>
          <w:color w:val="000000"/>
          <w:lang w:val="en-US"/>
        </w:rPr>
        <w:t xml:space="preserve">. The provisions of the Subscription Agreement are not subject to negotiation. An </w:t>
      </w:r>
      <w:r w:rsidR="004E60CF" w:rsidRPr="002101ED">
        <w:rPr>
          <w:rFonts w:ascii="Arial" w:hAnsi="Arial" w:cs="Arial"/>
          <w:color w:val="000000"/>
          <w:lang w:val="en-US"/>
        </w:rPr>
        <w:t>I</w:t>
      </w:r>
      <w:r w:rsidRPr="002101ED">
        <w:rPr>
          <w:rFonts w:ascii="Arial" w:hAnsi="Arial" w:cs="Arial"/>
          <w:color w:val="000000"/>
          <w:lang w:val="en-US"/>
        </w:rPr>
        <w:t xml:space="preserve">nvestor who decides to accept the offer to subscribe for the Offer Shares will submit the signatures required by law and deliver the Subscription Agreement to </w:t>
      </w:r>
      <w:r w:rsidR="00AA1550" w:rsidRPr="002101ED">
        <w:rPr>
          <w:rFonts w:ascii="Arial" w:hAnsi="Arial" w:cs="Arial"/>
          <w:color w:val="000000"/>
          <w:lang w:val="en-US"/>
        </w:rPr>
        <w:t>Trigon DM</w:t>
      </w:r>
      <w:r w:rsidRPr="002101ED">
        <w:rPr>
          <w:rFonts w:ascii="Arial" w:hAnsi="Arial" w:cs="Arial"/>
          <w:color w:val="000000"/>
          <w:lang w:val="en-US"/>
        </w:rPr>
        <w:t xml:space="preserve">. </w:t>
      </w:r>
      <w:r w:rsidR="00AA1550" w:rsidRPr="002101ED">
        <w:rPr>
          <w:rFonts w:ascii="Arial" w:hAnsi="Arial" w:cs="Arial"/>
          <w:color w:val="000000"/>
          <w:lang w:val="en-US"/>
        </w:rPr>
        <w:t xml:space="preserve">Together with the signed Subscription Agreement, the </w:t>
      </w:r>
      <w:r w:rsidR="004E60CF" w:rsidRPr="002101ED">
        <w:rPr>
          <w:rFonts w:ascii="Arial" w:hAnsi="Arial" w:cs="Arial"/>
          <w:color w:val="000000"/>
          <w:lang w:val="en-US"/>
        </w:rPr>
        <w:t>I</w:t>
      </w:r>
      <w:r w:rsidR="00AA1550" w:rsidRPr="002101ED">
        <w:rPr>
          <w:rFonts w:ascii="Arial" w:hAnsi="Arial" w:cs="Arial"/>
          <w:color w:val="000000"/>
          <w:lang w:val="en-US"/>
        </w:rPr>
        <w:t xml:space="preserve">nvestor shall provide Trigon DM with documents confirming the authority to represent the Investor by the persons who signed the Subscription Agreement on its behalf, i.e. a current extract from the relevant register including the persons representing the Investor or a copy of the power of attorney to represent the Investor for the conclusion of the Subscription Agreement together with a current extract from the relevant register including the persons who granted the power of attorney. In the case of foreign Investors, the documents should be provided in English. </w:t>
      </w:r>
      <w:r w:rsidRPr="002101ED">
        <w:rPr>
          <w:rFonts w:ascii="Arial" w:hAnsi="Arial" w:cs="Arial"/>
          <w:color w:val="000000"/>
          <w:lang w:val="en-US"/>
        </w:rPr>
        <w:t xml:space="preserve">The Issuer will affix the signatures required by law to the Subscription Agreements received from </w:t>
      </w:r>
      <w:r w:rsidR="00AA1550" w:rsidRPr="002101ED">
        <w:rPr>
          <w:rFonts w:ascii="Arial" w:hAnsi="Arial" w:cs="Arial"/>
          <w:color w:val="000000"/>
          <w:lang w:val="en-US"/>
        </w:rPr>
        <w:t>Trigon DM</w:t>
      </w:r>
      <w:r w:rsidRPr="002101ED">
        <w:rPr>
          <w:rFonts w:ascii="Arial" w:hAnsi="Arial" w:cs="Arial"/>
          <w:color w:val="000000"/>
          <w:lang w:val="en-US"/>
        </w:rPr>
        <w:t xml:space="preserve"> and provide the </w:t>
      </w:r>
      <w:r w:rsidR="004E60CF" w:rsidRPr="002101ED">
        <w:rPr>
          <w:rFonts w:ascii="Arial" w:hAnsi="Arial" w:cs="Arial"/>
          <w:color w:val="000000"/>
          <w:lang w:val="en-US"/>
        </w:rPr>
        <w:t>I</w:t>
      </w:r>
      <w:r w:rsidRPr="002101ED">
        <w:rPr>
          <w:rFonts w:ascii="Arial" w:hAnsi="Arial" w:cs="Arial"/>
          <w:color w:val="000000"/>
          <w:lang w:val="en-US"/>
        </w:rPr>
        <w:t xml:space="preserve">nvestors, through </w:t>
      </w:r>
      <w:r w:rsidR="00AA1550" w:rsidRPr="002101ED">
        <w:rPr>
          <w:rFonts w:ascii="Arial" w:hAnsi="Arial" w:cs="Arial"/>
          <w:color w:val="000000"/>
          <w:lang w:val="en-US"/>
        </w:rPr>
        <w:t>Trigon DM</w:t>
      </w:r>
      <w:r w:rsidRPr="002101ED">
        <w:rPr>
          <w:rFonts w:ascii="Arial" w:hAnsi="Arial" w:cs="Arial"/>
          <w:color w:val="000000"/>
          <w:lang w:val="en-US"/>
        </w:rPr>
        <w:t xml:space="preserve">, with the copies of these agreements. </w:t>
      </w:r>
    </w:p>
    <w:p w14:paraId="78272DCE" w14:textId="77777777" w:rsidR="009E1D43" w:rsidRPr="002101ED" w:rsidRDefault="00482974"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The Subscription Agreement may be concluded in an electronic form, signed with electronic qualified signatures pursuant to Article 78</w:t>
      </w:r>
      <w:r w:rsidRPr="002101ED">
        <w:rPr>
          <w:rFonts w:ascii="Arial" w:hAnsi="Arial" w:cs="Arial"/>
          <w:color w:val="000000"/>
          <w:vertAlign w:val="superscript"/>
          <w:lang w:val="en-US"/>
        </w:rPr>
        <w:t>1</w:t>
      </w:r>
      <w:r w:rsidRPr="002101ED">
        <w:rPr>
          <w:rFonts w:ascii="Arial" w:hAnsi="Arial" w:cs="Arial"/>
          <w:color w:val="000000"/>
          <w:lang w:val="en-US"/>
        </w:rPr>
        <w:t xml:space="preserve"> § 1 of the Civil Code, which is equivalent to a declaration of intent made in writing.</w:t>
      </w:r>
    </w:p>
    <w:p w14:paraId="12153FFC" w14:textId="77777777" w:rsidR="009E1D43" w:rsidRPr="002101ED" w:rsidRDefault="00A97FFE" w:rsidP="000868D7">
      <w:pPr>
        <w:keepNext/>
        <w:spacing w:after="120" w:line="240" w:lineRule="auto"/>
        <w:jc w:val="both"/>
        <w:rPr>
          <w:rFonts w:ascii="Arial" w:hAnsi="Arial" w:cs="Arial"/>
          <w:b/>
          <w:bCs/>
          <w:u w:val="single"/>
          <w:lang w:val="en-US"/>
        </w:rPr>
      </w:pPr>
      <w:r w:rsidRPr="002101ED">
        <w:rPr>
          <w:rFonts w:ascii="Arial" w:hAnsi="Arial" w:cs="Arial"/>
          <w:b/>
          <w:bCs/>
          <w:u w:val="single"/>
          <w:lang w:val="en-US"/>
        </w:rPr>
        <w:t>Payment for the Offer Shares</w:t>
      </w:r>
    </w:p>
    <w:p w14:paraId="54445BAC" w14:textId="77777777" w:rsidR="00AC2DCB" w:rsidRPr="002101ED" w:rsidRDefault="00A97FFE"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total price for the Offer Shares (calculated as the product of the number of Offer Shares subscribed for by the </w:t>
      </w:r>
      <w:r w:rsidR="004E60CF" w:rsidRPr="002101ED">
        <w:rPr>
          <w:rFonts w:ascii="Arial" w:hAnsi="Arial" w:cs="Arial"/>
          <w:color w:val="000000"/>
          <w:lang w:val="en-US"/>
        </w:rPr>
        <w:t>I</w:t>
      </w:r>
      <w:r w:rsidRPr="002101ED">
        <w:rPr>
          <w:rFonts w:ascii="Arial" w:hAnsi="Arial" w:cs="Arial"/>
          <w:color w:val="000000"/>
          <w:lang w:val="en-US"/>
        </w:rPr>
        <w:t>nvestor and the Issue Price)</w:t>
      </w:r>
      <w:r w:rsidR="008E6A35" w:rsidRPr="002101ED">
        <w:rPr>
          <w:rFonts w:ascii="Arial" w:hAnsi="Arial" w:cs="Arial"/>
          <w:color w:val="000000"/>
          <w:lang w:val="en-US"/>
        </w:rPr>
        <w:t xml:space="preserve"> (the “</w:t>
      </w:r>
      <w:r w:rsidR="008E6A35" w:rsidRPr="002101ED">
        <w:rPr>
          <w:rFonts w:ascii="Arial" w:hAnsi="Arial" w:cs="Arial"/>
          <w:b/>
          <w:bCs/>
          <w:color w:val="000000"/>
          <w:lang w:val="en-US"/>
        </w:rPr>
        <w:t>Subscription Price</w:t>
      </w:r>
      <w:r w:rsidR="008E6A35" w:rsidRPr="002101ED">
        <w:rPr>
          <w:rFonts w:ascii="Arial" w:hAnsi="Arial" w:cs="Arial"/>
          <w:color w:val="000000"/>
          <w:lang w:val="en-US"/>
        </w:rPr>
        <w:t>”)</w:t>
      </w:r>
      <w:r w:rsidRPr="002101ED">
        <w:rPr>
          <w:rFonts w:ascii="Arial" w:hAnsi="Arial" w:cs="Arial"/>
          <w:color w:val="000000"/>
          <w:lang w:val="en-US"/>
        </w:rPr>
        <w:t xml:space="preserve"> referred to in </w:t>
      </w:r>
      <w:r w:rsidRPr="002101ED">
        <w:rPr>
          <w:rFonts w:ascii="Arial" w:hAnsi="Arial" w:cs="Arial"/>
          <w:color w:val="000000"/>
          <w:lang w:val="en-US"/>
        </w:rPr>
        <w:lastRenderedPageBreak/>
        <w:t xml:space="preserve">the Subscription Agreement will be paid by transfer of cash funds to the </w:t>
      </w:r>
      <w:r w:rsidR="00AA1550" w:rsidRPr="002101ED">
        <w:rPr>
          <w:rFonts w:ascii="Arial" w:hAnsi="Arial" w:cs="Arial"/>
          <w:color w:val="000000"/>
          <w:lang w:val="en-US"/>
        </w:rPr>
        <w:t>Trigon DM</w:t>
      </w:r>
      <w:r w:rsidRPr="002101ED">
        <w:rPr>
          <w:rFonts w:ascii="Arial" w:hAnsi="Arial" w:cs="Arial"/>
          <w:color w:val="000000"/>
          <w:lang w:val="en-US"/>
        </w:rPr>
        <w:t xml:space="preserve"> account indicated in the Subscription Agreement.</w:t>
      </w:r>
    </w:p>
    <w:p w14:paraId="5D7DA701" w14:textId="3A4978B8" w:rsidR="009D7B10" w:rsidRPr="002101ED" w:rsidRDefault="00136D91" w:rsidP="000868D7">
      <w:pPr>
        <w:autoSpaceDE w:val="0"/>
        <w:autoSpaceDN w:val="0"/>
        <w:adjustRightInd w:val="0"/>
        <w:spacing w:after="120" w:line="240" w:lineRule="auto"/>
        <w:jc w:val="both"/>
        <w:rPr>
          <w:rFonts w:ascii="Arial" w:hAnsi="Arial" w:cs="Arial"/>
          <w:lang w:val="en-US"/>
        </w:rPr>
      </w:pPr>
      <w:r w:rsidRPr="002101ED">
        <w:rPr>
          <w:rFonts w:ascii="Arial" w:hAnsi="Arial" w:cs="Arial"/>
          <w:color w:val="000000"/>
          <w:lang w:val="en-US"/>
        </w:rPr>
        <w:t xml:space="preserve">The </w:t>
      </w:r>
      <w:r w:rsidR="00AA1550" w:rsidRPr="002101ED">
        <w:rPr>
          <w:rFonts w:ascii="Arial" w:hAnsi="Arial" w:cs="Arial"/>
          <w:color w:val="000000"/>
          <w:lang w:val="en-US"/>
        </w:rPr>
        <w:t>Trigon DM</w:t>
      </w:r>
      <w:r w:rsidRPr="002101ED">
        <w:rPr>
          <w:rFonts w:ascii="Arial" w:hAnsi="Arial" w:cs="Arial"/>
          <w:color w:val="000000"/>
          <w:lang w:val="en-US"/>
        </w:rPr>
        <w:t xml:space="preserve"> bank account should be credited with the Subscription Price by </w:t>
      </w:r>
      <w:r w:rsidR="004065DC">
        <w:rPr>
          <w:rFonts w:ascii="Arial" w:hAnsi="Arial" w:cs="Arial"/>
          <w:lang w:val="en-US"/>
        </w:rPr>
        <w:t>5</w:t>
      </w:r>
      <w:r w:rsidR="004065DC" w:rsidRPr="002101ED">
        <w:rPr>
          <w:rFonts w:ascii="Arial" w:hAnsi="Arial" w:cs="Arial"/>
          <w:lang w:val="en-US"/>
        </w:rPr>
        <w:t xml:space="preserve"> </w:t>
      </w:r>
      <w:r w:rsidR="004065DC">
        <w:rPr>
          <w:rFonts w:ascii="Arial" w:hAnsi="Arial" w:cs="Arial"/>
          <w:lang w:val="en-US"/>
        </w:rPr>
        <w:t xml:space="preserve">May </w:t>
      </w:r>
      <w:r w:rsidR="00AA1550" w:rsidRPr="002101ED">
        <w:rPr>
          <w:rFonts w:ascii="Arial" w:hAnsi="Arial" w:cs="Arial"/>
          <w:lang w:val="en-US"/>
        </w:rPr>
        <w:t>202</w:t>
      </w:r>
      <w:r w:rsidR="00BC6EA1">
        <w:rPr>
          <w:rFonts w:ascii="Arial" w:hAnsi="Arial" w:cs="Arial"/>
          <w:lang w:val="en-US"/>
        </w:rPr>
        <w:t>6</w:t>
      </w:r>
      <w:r w:rsidRPr="002101ED">
        <w:rPr>
          <w:rFonts w:ascii="Arial" w:hAnsi="Arial" w:cs="Arial"/>
          <w:lang w:val="en-US"/>
        </w:rPr>
        <w:t>.</w:t>
      </w:r>
      <w:r w:rsidRPr="002101ED">
        <w:rPr>
          <w:rFonts w:ascii="Arial" w:hAnsi="Arial" w:cs="Arial"/>
          <w:color w:val="000000"/>
          <w:lang w:val="en-US"/>
        </w:rPr>
        <w:t xml:space="preserve"> The moment when the </w:t>
      </w:r>
      <w:r w:rsidR="00AA1550" w:rsidRPr="002101ED">
        <w:rPr>
          <w:rFonts w:ascii="Arial" w:hAnsi="Arial" w:cs="Arial"/>
          <w:color w:val="000000"/>
          <w:lang w:val="en-US"/>
        </w:rPr>
        <w:t>Trigon DM</w:t>
      </w:r>
      <w:r w:rsidRPr="002101ED">
        <w:rPr>
          <w:rFonts w:ascii="Arial" w:hAnsi="Arial" w:cs="Arial"/>
          <w:color w:val="000000"/>
          <w:lang w:val="en-US"/>
        </w:rPr>
        <w:t xml:space="preserve"> account is credited with the entire amount of the Subscription Price will be deemed as the moment of payment. Payments for the Offer Shares </w:t>
      </w:r>
      <w:r w:rsidRPr="002101ED">
        <w:rPr>
          <w:rFonts w:ascii="Arial" w:hAnsi="Arial" w:cs="Arial"/>
          <w:lang w:val="en-US"/>
        </w:rPr>
        <w:t xml:space="preserve">should be made in a manner acceptable to </w:t>
      </w:r>
      <w:r w:rsidR="00AA1550" w:rsidRPr="002101ED">
        <w:rPr>
          <w:rFonts w:ascii="Arial" w:hAnsi="Arial" w:cs="Arial"/>
          <w:lang w:val="en-US"/>
        </w:rPr>
        <w:t>Trigon DM</w:t>
      </w:r>
      <w:r w:rsidRPr="002101ED">
        <w:rPr>
          <w:rFonts w:ascii="Arial" w:hAnsi="Arial" w:cs="Arial"/>
          <w:lang w:val="en-US"/>
        </w:rPr>
        <w:t xml:space="preserve">. Please note that the payment will be duly made if paid in full and credited to the </w:t>
      </w:r>
      <w:r w:rsidR="00AA1550" w:rsidRPr="002101ED">
        <w:rPr>
          <w:rFonts w:ascii="Arial" w:hAnsi="Arial" w:cs="Arial"/>
          <w:lang w:val="en-US"/>
        </w:rPr>
        <w:t>Trigon DM</w:t>
      </w:r>
      <w:r w:rsidRPr="002101ED">
        <w:rPr>
          <w:rFonts w:ascii="Arial" w:hAnsi="Arial" w:cs="Arial"/>
          <w:lang w:val="en-US"/>
        </w:rPr>
        <w:t xml:space="preserve"> account by the above date. This means that </w:t>
      </w:r>
      <w:r w:rsidR="0025796C" w:rsidRPr="002101ED">
        <w:rPr>
          <w:rFonts w:ascii="Arial" w:hAnsi="Arial" w:cs="Arial"/>
          <w:lang w:val="en-US"/>
        </w:rPr>
        <w:t xml:space="preserve">the </w:t>
      </w:r>
      <w:r w:rsidR="00AA1550" w:rsidRPr="002101ED">
        <w:rPr>
          <w:rFonts w:ascii="Arial" w:hAnsi="Arial" w:cs="Arial"/>
          <w:lang w:val="en-US"/>
        </w:rPr>
        <w:t>I</w:t>
      </w:r>
      <w:r w:rsidRPr="002101ED">
        <w:rPr>
          <w:rFonts w:ascii="Arial" w:hAnsi="Arial" w:cs="Arial"/>
          <w:lang w:val="en-US"/>
        </w:rPr>
        <w:t xml:space="preserve">nvestor (especially if the payment is made by money order or wire transfer, or using bank loans) must make the payment well in advance, taking into account the time for making the transfer, processing the loan and performing other similar operations. It is recommended that the </w:t>
      </w:r>
      <w:r w:rsidR="00AA1550" w:rsidRPr="002101ED">
        <w:rPr>
          <w:rFonts w:ascii="Arial" w:hAnsi="Arial" w:cs="Arial"/>
          <w:lang w:val="en-US"/>
        </w:rPr>
        <w:t>I</w:t>
      </w:r>
      <w:r w:rsidRPr="002101ED">
        <w:rPr>
          <w:rFonts w:ascii="Arial" w:hAnsi="Arial" w:cs="Arial"/>
          <w:lang w:val="en-US"/>
        </w:rPr>
        <w:t xml:space="preserve">nvestor inquire about the duration of certain activities at the financial institution they use and take the appropriate actions, taking into account the timing of their completion. An </w:t>
      </w:r>
      <w:r w:rsidR="004E60CF" w:rsidRPr="002101ED">
        <w:rPr>
          <w:rFonts w:ascii="Arial" w:hAnsi="Arial" w:cs="Arial"/>
          <w:lang w:val="en-US"/>
        </w:rPr>
        <w:t>I</w:t>
      </w:r>
      <w:r w:rsidRPr="002101ED">
        <w:rPr>
          <w:rFonts w:ascii="Arial" w:hAnsi="Arial" w:cs="Arial"/>
          <w:lang w:val="en-US"/>
        </w:rPr>
        <w:t>nvestor paying for the Offer Shares through a bank should take into account the possibility that the bank may charge a commission on cash payments or transfers. Please note that an incomplete payment will result in no Offer Shares being allotted.</w:t>
      </w:r>
    </w:p>
    <w:p w14:paraId="387CC32E" w14:textId="77777777" w:rsidR="00D6020B" w:rsidRPr="002101ED" w:rsidRDefault="00D6020B" w:rsidP="00D6020B">
      <w:pPr>
        <w:autoSpaceDE w:val="0"/>
        <w:autoSpaceDN w:val="0"/>
        <w:adjustRightInd w:val="0"/>
        <w:spacing w:after="120" w:line="240" w:lineRule="auto"/>
        <w:jc w:val="both"/>
        <w:rPr>
          <w:rFonts w:ascii="Arial" w:hAnsi="Arial" w:cs="Arial"/>
          <w:lang w:val="en-US"/>
        </w:rPr>
      </w:pPr>
      <w:r w:rsidRPr="002101ED">
        <w:rPr>
          <w:rFonts w:ascii="Arial" w:hAnsi="Arial" w:cs="Arial"/>
          <w:lang w:val="en-US"/>
        </w:rPr>
        <w:t xml:space="preserve">If </w:t>
      </w:r>
      <w:r w:rsidR="00AA1550" w:rsidRPr="002101ED">
        <w:rPr>
          <w:rFonts w:ascii="Arial" w:hAnsi="Arial" w:cs="Arial"/>
          <w:lang w:val="en-US"/>
        </w:rPr>
        <w:t>the I</w:t>
      </w:r>
      <w:r w:rsidRPr="002101ED">
        <w:rPr>
          <w:rFonts w:ascii="Arial" w:hAnsi="Arial" w:cs="Arial"/>
          <w:lang w:val="en-US"/>
        </w:rPr>
        <w:t xml:space="preserve">nvestor </w:t>
      </w:r>
      <w:r w:rsidR="00AA1550" w:rsidRPr="002101ED">
        <w:rPr>
          <w:rFonts w:ascii="Arial" w:hAnsi="Arial" w:cs="Arial"/>
          <w:lang w:val="en-US"/>
        </w:rPr>
        <w:t>participating</w:t>
      </w:r>
      <w:r w:rsidRPr="002101ED">
        <w:rPr>
          <w:rFonts w:ascii="Arial" w:hAnsi="Arial" w:cs="Arial"/>
          <w:lang w:val="en-US"/>
        </w:rPr>
        <w:t xml:space="preserve"> in the </w:t>
      </w:r>
      <w:r w:rsidR="00AA1550" w:rsidRPr="002101ED">
        <w:rPr>
          <w:rFonts w:ascii="Arial" w:hAnsi="Arial" w:cs="Arial"/>
          <w:lang w:val="en-US"/>
        </w:rPr>
        <w:t xml:space="preserve">Book Building </w:t>
      </w:r>
      <w:r w:rsidRPr="002101ED">
        <w:rPr>
          <w:rFonts w:ascii="Arial" w:hAnsi="Arial" w:cs="Arial"/>
          <w:lang w:val="en-US"/>
        </w:rPr>
        <w:t xml:space="preserve">is an </w:t>
      </w:r>
      <w:r w:rsidR="004E60CF" w:rsidRPr="002101ED">
        <w:rPr>
          <w:rFonts w:ascii="Arial" w:hAnsi="Arial" w:cs="Arial"/>
          <w:lang w:val="en-US"/>
        </w:rPr>
        <w:t>I</w:t>
      </w:r>
      <w:r w:rsidRPr="002101ED">
        <w:rPr>
          <w:rFonts w:ascii="Arial" w:hAnsi="Arial" w:cs="Arial"/>
          <w:lang w:val="en-US"/>
        </w:rPr>
        <w:t xml:space="preserve">nvestor who is not a Qualified Investor (and in particular an individual), </w:t>
      </w:r>
      <w:r w:rsidR="00AA1550" w:rsidRPr="002101ED">
        <w:rPr>
          <w:rFonts w:ascii="Arial" w:hAnsi="Arial" w:cs="Arial"/>
          <w:lang w:val="en-US"/>
        </w:rPr>
        <w:t>Trigon DM</w:t>
      </w:r>
      <w:r w:rsidRPr="002101ED">
        <w:rPr>
          <w:rFonts w:ascii="Arial" w:hAnsi="Arial" w:cs="Arial"/>
          <w:lang w:val="en-US"/>
        </w:rPr>
        <w:t xml:space="preserve"> may require such </w:t>
      </w:r>
      <w:r w:rsidR="004E60CF" w:rsidRPr="002101ED">
        <w:rPr>
          <w:rFonts w:ascii="Arial" w:hAnsi="Arial" w:cs="Arial"/>
          <w:lang w:val="en-US"/>
        </w:rPr>
        <w:t>I</w:t>
      </w:r>
      <w:r w:rsidRPr="002101ED">
        <w:rPr>
          <w:rFonts w:ascii="Arial" w:hAnsi="Arial" w:cs="Arial"/>
          <w:lang w:val="en-US"/>
        </w:rPr>
        <w:t xml:space="preserve">nvestor: (i) at the time of submitting </w:t>
      </w:r>
      <w:r w:rsidR="00E01B0D" w:rsidRPr="002101ED">
        <w:rPr>
          <w:rFonts w:ascii="Arial" w:hAnsi="Arial" w:cs="Arial"/>
          <w:lang w:val="en-US"/>
        </w:rPr>
        <w:t>the</w:t>
      </w:r>
      <w:r w:rsidRPr="002101ED">
        <w:rPr>
          <w:rFonts w:ascii="Arial" w:hAnsi="Arial" w:cs="Arial"/>
          <w:lang w:val="en-US"/>
        </w:rPr>
        <w:t xml:space="preserve"> </w:t>
      </w:r>
      <w:r w:rsidR="008E6A35" w:rsidRPr="002101ED">
        <w:rPr>
          <w:rFonts w:ascii="Arial" w:hAnsi="Arial" w:cs="Arial"/>
          <w:lang w:val="en-US"/>
        </w:rPr>
        <w:t>Declaration</w:t>
      </w:r>
      <w:r w:rsidRPr="002101ED">
        <w:rPr>
          <w:rFonts w:ascii="Arial" w:hAnsi="Arial" w:cs="Arial"/>
          <w:lang w:val="en-US"/>
        </w:rPr>
        <w:t xml:space="preserve">, to have funds in the </w:t>
      </w:r>
      <w:r w:rsidR="001E0C42" w:rsidRPr="002101ED">
        <w:rPr>
          <w:rFonts w:ascii="Arial" w:hAnsi="Arial" w:cs="Arial"/>
          <w:lang w:val="en-US"/>
        </w:rPr>
        <w:t>I</w:t>
      </w:r>
      <w:r w:rsidRPr="002101ED">
        <w:rPr>
          <w:rFonts w:ascii="Arial" w:hAnsi="Arial" w:cs="Arial"/>
          <w:lang w:val="en-US"/>
        </w:rPr>
        <w:t xml:space="preserve">nvestor's investment account maintained by </w:t>
      </w:r>
      <w:r w:rsidR="001E0C42" w:rsidRPr="002101ED">
        <w:rPr>
          <w:rFonts w:ascii="Arial" w:hAnsi="Arial" w:cs="Arial"/>
          <w:lang w:val="en-US"/>
        </w:rPr>
        <w:t>Trigon DM</w:t>
      </w:r>
      <w:r w:rsidRPr="002101ED">
        <w:rPr>
          <w:rFonts w:ascii="Arial" w:hAnsi="Arial" w:cs="Arial"/>
          <w:lang w:val="en-US"/>
        </w:rPr>
        <w:t xml:space="preserve">, in an amount corresponding to the value of the Offer Shares for which the </w:t>
      </w:r>
      <w:r w:rsidR="00AA1550" w:rsidRPr="002101ED">
        <w:rPr>
          <w:rFonts w:ascii="Arial" w:hAnsi="Arial" w:cs="Arial"/>
          <w:lang w:val="en-US"/>
        </w:rPr>
        <w:t>I</w:t>
      </w:r>
      <w:r w:rsidRPr="002101ED">
        <w:rPr>
          <w:rFonts w:ascii="Arial" w:hAnsi="Arial" w:cs="Arial"/>
          <w:lang w:val="en-US"/>
        </w:rPr>
        <w:t xml:space="preserve">nvestor plans to submit a </w:t>
      </w:r>
      <w:r w:rsidR="008E6A35" w:rsidRPr="002101ED">
        <w:rPr>
          <w:rFonts w:ascii="Arial" w:hAnsi="Arial" w:cs="Arial"/>
          <w:lang w:val="en-US"/>
        </w:rPr>
        <w:t>Declaration</w:t>
      </w:r>
      <w:r w:rsidRPr="002101ED">
        <w:rPr>
          <w:rFonts w:ascii="Arial" w:hAnsi="Arial" w:cs="Arial"/>
          <w:lang w:val="en-US"/>
        </w:rPr>
        <w:t xml:space="preserve">, (ii) to block such funds until the </w:t>
      </w:r>
      <w:r w:rsidR="00AA1550" w:rsidRPr="002101ED">
        <w:rPr>
          <w:rFonts w:ascii="Arial" w:hAnsi="Arial" w:cs="Arial"/>
          <w:lang w:val="en-US"/>
        </w:rPr>
        <w:t>I</w:t>
      </w:r>
      <w:r w:rsidRPr="002101ED">
        <w:rPr>
          <w:rFonts w:ascii="Arial" w:hAnsi="Arial" w:cs="Arial"/>
          <w:lang w:val="en-US"/>
        </w:rPr>
        <w:t xml:space="preserve">nvestor enters into the Subscription Agreement, and (iii) to submit an instruction for the transfer of funds from the </w:t>
      </w:r>
      <w:r w:rsidR="001E0C42" w:rsidRPr="002101ED">
        <w:rPr>
          <w:rFonts w:ascii="Arial" w:hAnsi="Arial" w:cs="Arial"/>
          <w:lang w:val="en-US"/>
        </w:rPr>
        <w:t>I</w:t>
      </w:r>
      <w:r w:rsidRPr="002101ED">
        <w:rPr>
          <w:rFonts w:ascii="Arial" w:hAnsi="Arial" w:cs="Arial"/>
          <w:lang w:val="en-US"/>
        </w:rPr>
        <w:t xml:space="preserve">nvestor's investment account to the </w:t>
      </w:r>
      <w:r w:rsidR="00AA1550" w:rsidRPr="002101ED">
        <w:rPr>
          <w:rFonts w:ascii="Arial" w:hAnsi="Arial" w:cs="Arial"/>
          <w:lang w:val="en-US"/>
        </w:rPr>
        <w:t>Trigon DM</w:t>
      </w:r>
      <w:r w:rsidRPr="002101ED">
        <w:rPr>
          <w:rFonts w:ascii="Arial" w:hAnsi="Arial" w:cs="Arial"/>
          <w:lang w:val="en-US"/>
        </w:rPr>
        <w:t xml:space="preserve"> account, in the amount arising from the Subscription Agreement signed by the </w:t>
      </w:r>
      <w:r w:rsidR="004E60CF" w:rsidRPr="002101ED">
        <w:rPr>
          <w:rFonts w:ascii="Arial" w:hAnsi="Arial" w:cs="Arial"/>
          <w:lang w:val="en-US"/>
        </w:rPr>
        <w:t>I</w:t>
      </w:r>
      <w:r w:rsidRPr="002101ED">
        <w:rPr>
          <w:rFonts w:ascii="Arial" w:hAnsi="Arial" w:cs="Arial"/>
          <w:lang w:val="en-US"/>
        </w:rPr>
        <w:t xml:space="preserve">nvestor. </w:t>
      </w:r>
    </w:p>
    <w:p w14:paraId="2558922E" w14:textId="77777777" w:rsidR="009E1D43" w:rsidRPr="002101ED" w:rsidRDefault="006403CA" w:rsidP="002B1656">
      <w:pPr>
        <w:autoSpaceDE w:val="0"/>
        <w:autoSpaceDN w:val="0"/>
        <w:adjustRightInd w:val="0"/>
        <w:spacing w:after="120" w:line="240" w:lineRule="auto"/>
        <w:jc w:val="both"/>
        <w:rPr>
          <w:rFonts w:ascii="Arial" w:hAnsi="Arial" w:cs="Arial"/>
          <w:b/>
          <w:bCs/>
          <w:u w:val="single"/>
          <w:lang w:val="en-US"/>
        </w:rPr>
      </w:pPr>
      <w:r w:rsidRPr="002101ED">
        <w:rPr>
          <w:rFonts w:ascii="Arial" w:hAnsi="Arial" w:cs="Arial"/>
          <w:b/>
          <w:bCs/>
          <w:u w:val="single"/>
          <w:lang w:val="en-US"/>
        </w:rPr>
        <w:t>Consequences of the failure to increase the Issuer's share capital through the issuance of the Offer Shares</w:t>
      </w:r>
    </w:p>
    <w:p w14:paraId="51ECB9B7" w14:textId="77777777" w:rsidR="00C64D33"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If the Offer Shares </w:t>
      </w:r>
      <w:r w:rsidR="00876DC4">
        <w:rPr>
          <w:rFonts w:ascii="Arial" w:hAnsi="Arial" w:cs="Arial"/>
          <w:color w:val="000000"/>
          <w:lang w:val="en-US"/>
        </w:rPr>
        <w:t xml:space="preserve">issuance does </w:t>
      </w:r>
      <w:r w:rsidRPr="002101ED">
        <w:rPr>
          <w:rFonts w:ascii="Arial" w:hAnsi="Arial" w:cs="Arial"/>
          <w:color w:val="000000"/>
          <w:lang w:val="en-US"/>
        </w:rPr>
        <w:t xml:space="preserve">not </w:t>
      </w:r>
      <w:r w:rsidR="00876DC4">
        <w:rPr>
          <w:rFonts w:ascii="Arial" w:hAnsi="Arial" w:cs="Arial"/>
          <w:color w:val="000000"/>
          <w:lang w:val="en-US"/>
        </w:rPr>
        <w:t>take effect</w:t>
      </w:r>
      <w:r w:rsidRPr="002101ED">
        <w:rPr>
          <w:rFonts w:ascii="Arial" w:hAnsi="Arial" w:cs="Arial"/>
          <w:color w:val="000000"/>
          <w:lang w:val="en-US"/>
        </w:rPr>
        <w:t xml:space="preserve">, in particular if the registry court with jurisdiction over the Issuer's registered office does not register the Issuer's share capital increase resulting from the issue of the Offer Shares, </w:t>
      </w:r>
      <w:r w:rsidR="00705569">
        <w:rPr>
          <w:rFonts w:ascii="Arial" w:hAnsi="Arial" w:cs="Arial"/>
          <w:color w:val="000000"/>
          <w:lang w:val="en-US"/>
        </w:rPr>
        <w:t>t</w:t>
      </w:r>
      <w:r w:rsidRPr="002101ED">
        <w:rPr>
          <w:rFonts w:ascii="Arial" w:hAnsi="Arial" w:cs="Arial"/>
          <w:color w:val="000000"/>
          <w:lang w:val="en-US"/>
        </w:rPr>
        <w:t xml:space="preserve">he payments for the Offer Shares will be returned to </w:t>
      </w:r>
      <w:r w:rsidR="004E60CF" w:rsidRPr="002101ED">
        <w:rPr>
          <w:rFonts w:ascii="Arial" w:hAnsi="Arial" w:cs="Arial"/>
          <w:color w:val="000000"/>
          <w:lang w:val="en-US"/>
        </w:rPr>
        <w:t>I</w:t>
      </w:r>
      <w:r w:rsidRPr="002101ED">
        <w:rPr>
          <w:rFonts w:ascii="Arial" w:hAnsi="Arial" w:cs="Arial"/>
          <w:color w:val="000000"/>
          <w:lang w:val="en-US"/>
        </w:rPr>
        <w:t xml:space="preserve">nvestors no later than 14 days from the date of </w:t>
      </w:r>
      <w:r w:rsidR="00876DC4" w:rsidRPr="00876DC4">
        <w:rPr>
          <w:rFonts w:ascii="Arial" w:hAnsi="Arial" w:cs="Arial"/>
          <w:color w:val="000000"/>
          <w:lang w:val="en-US"/>
        </w:rPr>
        <w:t xml:space="preserve">the issuance </w:t>
      </w:r>
      <w:r w:rsidR="00876DC4">
        <w:rPr>
          <w:rFonts w:ascii="Arial" w:hAnsi="Arial" w:cs="Arial"/>
          <w:color w:val="000000"/>
          <w:lang w:val="en-US"/>
        </w:rPr>
        <w:t xml:space="preserve">of </w:t>
      </w:r>
      <w:r w:rsidR="00876DC4" w:rsidRPr="002101ED">
        <w:rPr>
          <w:rFonts w:ascii="Arial" w:hAnsi="Arial" w:cs="Arial"/>
          <w:color w:val="000000"/>
          <w:lang w:val="en-US"/>
        </w:rPr>
        <w:t>Offer Shares</w:t>
      </w:r>
      <w:r w:rsidR="00876DC4" w:rsidRPr="00876DC4">
        <w:rPr>
          <w:rFonts w:ascii="Arial" w:hAnsi="Arial" w:cs="Arial"/>
          <w:color w:val="000000"/>
          <w:lang w:val="en-US"/>
        </w:rPr>
        <w:t xml:space="preserve"> not taking effec</w:t>
      </w:r>
      <w:r w:rsidR="00876DC4">
        <w:rPr>
          <w:rFonts w:ascii="Arial" w:hAnsi="Arial" w:cs="Arial"/>
          <w:color w:val="000000"/>
          <w:lang w:val="en-US"/>
        </w:rPr>
        <w:t>t</w:t>
      </w:r>
      <w:r w:rsidRPr="002101ED">
        <w:rPr>
          <w:rFonts w:ascii="Arial" w:hAnsi="Arial" w:cs="Arial"/>
          <w:color w:val="000000"/>
          <w:lang w:val="en-US"/>
        </w:rPr>
        <w:t xml:space="preserve">. The funds will be reimbursed in the amount that is the product of the number of Rights to Shares held in the securities account of </w:t>
      </w:r>
      <w:r w:rsidR="00C979EB" w:rsidRPr="002101ED">
        <w:rPr>
          <w:rFonts w:ascii="Arial" w:hAnsi="Arial" w:cs="Arial"/>
          <w:color w:val="000000"/>
          <w:lang w:val="en-US"/>
        </w:rPr>
        <w:t xml:space="preserve">the </w:t>
      </w:r>
      <w:r w:rsidRPr="002101ED">
        <w:rPr>
          <w:rFonts w:ascii="Arial" w:hAnsi="Arial" w:cs="Arial"/>
          <w:color w:val="000000"/>
          <w:lang w:val="en-US"/>
        </w:rPr>
        <w:t xml:space="preserve">given </w:t>
      </w:r>
      <w:r w:rsidR="00C979EB" w:rsidRPr="002101ED">
        <w:rPr>
          <w:rFonts w:ascii="Arial" w:hAnsi="Arial" w:cs="Arial"/>
          <w:color w:val="000000"/>
          <w:lang w:val="en-US"/>
        </w:rPr>
        <w:t>I</w:t>
      </w:r>
      <w:r w:rsidRPr="002101ED">
        <w:rPr>
          <w:rFonts w:ascii="Arial" w:hAnsi="Arial" w:cs="Arial"/>
          <w:color w:val="000000"/>
          <w:lang w:val="en-US"/>
        </w:rPr>
        <w:t xml:space="preserve">nvestor and the Issue Price per one Offer Share. </w:t>
      </w:r>
    </w:p>
    <w:p w14:paraId="019D7481" w14:textId="77777777" w:rsidR="009E1D43"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In the event of a failure to increase the Issuer's share capital through the issuance of the Offer Shares, the reimbursement will be without any interest or compensation.</w:t>
      </w:r>
    </w:p>
    <w:p w14:paraId="108B363C" w14:textId="77777777" w:rsidR="009E1D43" w:rsidRPr="002101ED" w:rsidRDefault="009E1D43" w:rsidP="000868D7">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The Issuer will publish the information on the failure to issue the Offer Shares in the form of a current report. </w:t>
      </w:r>
    </w:p>
    <w:p w14:paraId="47AC4635" w14:textId="77777777" w:rsidR="00D6020B" w:rsidRPr="002101ED" w:rsidRDefault="00D6020B" w:rsidP="00D6020B">
      <w:pPr>
        <w:autoSpaceDE w:val="0"/>
        <w:autoSpaceDN w:val="0"/>
        <w:adjustRightInd w:val="0"/>
        <w:spacing w:after="120" w:line="240" w:lineRule="auto"/>
        <w:jc w:val="both"/>
        <w:rPr>
          <w:rFonts w:ascii="Arial" w:hAnsi="Arial" w:cs="Arial"/>
          <w:color w:val="000000"/>
          <w:lang w:val="en-US"/>
        </w:rPr>
      </w:pPr>
      <w:r w:rsidRPr="002101ED">
        <w:rPr>
          <w:rFonts w:ascii="Arial" w:hAnsi="Arial" w:cs="Arial"/>
          <w:color w:val="000000"/>
          <w:lang w:val="en-US"/>
        </w:rPr>
        <w:t xml:space="preserve">To the extent permitted by the applicable laws and the Issue Resolution, the Company reserves the right to change any of the dates relating to the Offering and the </w:t>
      </w:r>
      <w:r w:rsidR="008E6A35" w:rsidRPr="002101ED">
        <w:rPr>
          <w:rFonts w:ascii="Arial" w:hAnsi="Arial" w:cs="Arial"/>
          <w:color w:val="000000"/>
          <w:lang w:val="en-US"/>
        </w:rPr>
        <w:t>introduction to trading on a regulated market operated by the WSE of the Rights to Shares as well as the Offer Shares</w:t>
      </w:r>
      <w:r w:rsidRPr="002101ED">
        <w:rPr>
          <w:rFonts w:ascii="Arial" w:hAnsi="Arial" w:cs="Arial"/>
          <w:color w:val="000000"/>
          <w:lang w:val="en-US"/>
        </w:rPr>
        <w:t>.</w:t>
      </w:r>
    </w:p>
    <w:p w14:paraId="370E3D41" w14:textId="77777777" w:rsidR="009E1D43" w:rsidRPr="002101ED" w:rsidRDefault="009E1D43" w:rsidP="000868D7">
      <w:pPr>
        <w:autoSpaceDE w:val="0"/>
        <w:autoSpaceDN w:val="0"/>
        <w:adjustRightInd w:val="0"/>
        <w:spacing w:after="120" w:line="240" w:lineRule="auto"/>
        <w:jc w:val="both"/>
        <w:rPr>
          <w:rFonts w:ascii="Arial" w:hAnsi="Arial" w:cs="Arial"/>
          <w:b/>
          <w:bCs/>
          <w:color w:val="000000"/>
          <w:lang w:val="en-US"/>
        </w:rPr>
      </w:pPr>
      <w:r w:rsidRPr="002101ED">
        <w:rPr>
          <w:rFonts w:ascii="Arial" w:hAnsi="Arial" w:cs="Arial"/>
          <w:b/>
          <w:bCs/>
          <w:color w:val="000000"/>
          <w:lang w:val="en-US"/>
        </w:rPr>
        <w:t>Disclaimer</w:t>
      </w:r>
    </w:p>
    <w:p w14:paraId="3850A840" w14:textId="77777777" w:rsidR="006403CA" w:rsidRPr="002101ED" w:rsidRDefault="00EC4EEC" w:rsidP="000868D7">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 xml:space="preserve">These </w:t>
      </w:r>
      <w:r w:rsidR="00E32B12" w:rsidRPr="002101ED">
        <w:rPr>
          <w:rFonts w:ascii="Arial" w:hAnsi="Arial" w:cs="Arial"/>
          <w:color w:val="000000"/>
          <w:lang w:val="en-US"/>
        </w:rPr>
        <w:t xml:space="preserve">Book Building and </w:t>
      </w:r>
      <w:r w:rsidRPr="002101ED">
        <w:rPr>
          <w:rFonts w:ascii="Arial" w:hAnsi="Arial" w:cs="Arial"/>
          <w:color w:val="000000"/>
          <w:lang w:val="en-US"/>
        </w:rPr>
        <w:t xml:space="preserve">Subscription Rules do not constitute a prospectus, information memorandum or other information or offering document required by law in connection with </w:t>
      </w:r>
      <w:r w:rsidR="0089259F" w:rsidRPr="002101ED">
        <w:rPr>
          <w:rFonts w:ascii="Arial" w:hAnsi="Arial" w:cs="Arial"/>
          <w:color w:val="000000"/>
          <w:lang w:val="en-US"/>
        </w:rPr>
        <w:t>an</w:t>
      </w:r>
      <w:r w:rsidRPr="002101ED">
        <w:rPr>
          <w:rFonts w:ascii="Arial" w:hAnsi="Arial" w:cs="Arial"/>
          <w:color w:val="000000"/>
          <w:lang w:val="en-US"/>
        </w:rPr>
        <w:t xml:space="preserve"> offering of financial instruments, or an application for their admission or seeking their introduction to trading on a regulated market. These </w:t>
      </w:r>
      <w:r w:rsidR="0025796C" w:rsidRPr="002101ED">
        <w:rPr>
          <w:rFonts w:ascii="Arial" w:hAnsi="Arial" w:cs="Arial"/>
          <w:color w:val="000000"/>
          <w:lang w:val="en-US"/>
        </w:rPr>
        <w:t xml:space="preserve">Book Building and </w:t>
      </w:r>
      <w:r w:rsidRPr="002101ED">
        <w:rPr>
          <w:rFonts w:ascii="Arial" w:hAnsi="Arial" w:cs="Arial"/>
          <w:color w:val="000000"/>
          <w:lang w:val="en-US"/>
        </w:rPr>
        <w:t xml:space="preserve">Subscription Rules are not subject to approval by the Polish Financial Supervisory Authority or any other public administration body. These </w:t>
      </w:r>
      <w:r w:rsidR="0025796C" w:rsidRPr="002101ED">
        <w:rPr>
          <w:rFonts w:ascii="Arial" w:hAnsi="Arial" w:cs="Arial"/>
          <w:color w:val="000000"/>
          <w:lang w:val="en-US"/>
        </w:rPr>
        <w:t xml:space="preserve">Book Building and </w:t>
      </w:r>
      <w:r w:rsidRPr="002101ED">
        <w:rPr>
          <w:rFonts w:ascii="Arial" w:hAnsi="Arial" w:cs="Arial"/>
          <w:color w:val="000000"/>
          <w:lang w:val="en-US"/>
        </w:rPr>
        <w:t xml:space="preserve">Subscription Rules are for information purposes </w:t>
      </w:r>
      <w:r w:rsidRPr="002101ED">
        <w:rPr>
          <w:rFonts w:ascii="Arial" w:hAnsi="Arial" w:cs="Arial"/>
          <w:color w:val="000000"/>
          <w:lang w:val="en-US"/>
        </w:rPr>
        <w:lastRenderedPageBreak/>
        <w:t>only, and the Issuer makes them available only to provide the most relevant information on the terms and conditions of subscription for the Offer Shares, and actions to be taken by the Issuer in connection with the subscription for the Offer Shares.</w:t>
      </w:r>
      <w:r w:rsidR="0089259F" w:rsidRPr="002101ED">
        <w:rPr>
          <w:rFonts w:ascii="Arial" w:hAnsi="Arial" w:cs="Arial"/>
          <w:color w:val="000000"/>
          <w:lang w:val="en-US"/>
        </w:rPr>
        <w:t xml:space="preserve"> </w:t>
      </w:r>
      <w:r w:rsidRPr="002101ED">
        <w:rPr>
          <w:rFonts w:ascii="Arial" w:hAnsi="Arial" w:cs="Arial"/>
          <w:color w:val="000000"/>
          <w:lang w:val="en-US"/>
        </w:rPr>
        <w:t xml:space="preserve">The purpose of the </w:t>
      </w:r>
      <w:r w:rsidR="0025796C" w:rsidRPr="002101ED">
        <w:rPr>
          <w:rFonts w:ascii="Arial" w:hAnsi="Arial" w:cs="Arial"/>
          <w:color w:val="000000"/>
          <w:lang w:val="en-US"/>
        </w:rPr>
        <w:t xml:space="preserve">Book Building and </w:t>
      </w:r>
      <w:r w:rsidRPr="002101ED">
        <w:rPr>
          <w:rFonts w:ascii="Arial" w:hAnsi="Arial" w:cs="Arial"/>
          <w:color w:val="000000"/>
          <w:lang w:val="en-US"/>
        </w:rPr>
        <w:t>Subscription Rules is to describe the most relevant information regarding the activities planned under the Offering and in relation to applying for admission of the Offer Shares to trading on the regulated market.</w:t>
      </w:r>
      <w:r w:rsidR="0089259F" w:rsidRPr="002101ED">
        <w:rPr>
          <w:rFonts w:ascii="Arial" w:hAnsi="Arial" w:cs="Arial"/>
          <w:color w:val="000000"/>
          <w:lang w:val="en-US"/>
        </w:rPr>
        <w:t xml:space="preserve"> </w:t>
      </w:r>
    </w:p>
    <w:p w14:paraId="09537D97" w14:textId="77777777" w:rsidR="0050331E" w:rsidRPr="002101ED" w:rsidRDefault="0050331E" w:rsidP="0050331E">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 xml:space="preserve">These </w:t>
      </w:r>
      <w:r w:rsidR="0025796C" w:rsidRPr="002101ED">
        <w:rPr>
          <w:rFonts w:ascii="Arial" w:hAnsi="Arial" w:cs="Arial"/>
          <w:color w:val="000000"/>
          <w:lang w:val="en-US"/>
        </w:rPr>
        <w:t xml:space="preserve">Book Building and </w:t>
      </w:r>
      <w:r w:rsidRPr="002101ED">
        <w:rPr>
          <w:rFonts w:ascii="Arial" w:hAnsi="Arial" w:cs="Arial"/>
          <w:color w:val="000000"/>
          <w:lang w:val="en-US"/>
        </w:rPr>
        <w:t>Subscription Rules do not constitute: (i) an offering within the meaning of Article 66 of the Civil Code; (ii) an investment recommendation within the meaning of Regulation (EU) No. 596/2014 of the European Parliament and of the Council of 16 April 2014 on market abuse (market abuse regulation) and repealing Directive 2003/6/EC of the European Parliament and of the Council and Commission Directives 2003/124/EC, 2003/125/EC and 2004/72/EC; (iii) investment advice, (iv) legal or tax advice, (v) an indication that any investment or strategy is suitable and appropriate to the Investor's level of knowledge of investing in financial instruments and Investor’s investment experience, (vi) investment advice services within the meaning of the Act on Trading in Financial Instruments.</w:t>
      </w:r>
    </w:p>
    <w:p w14:paraId="6305B144" w14:textId="77777777" w:rsidR="0050331E" w:rsidRPr="002101ED" w:rsidRDefault="0050331E" w:rsidP="0050331E">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Investing in financial instruments is fraught with risk. Any investment decision involves assessing risk in the context of the expected and actual outcome of the investment in securities. Investing in shares involves the risk of losing all or part of the invested funds, or even having to pay additional costs.</w:t>
      </w:r>
    </w:p>
    <w:p w14:paraId="6C6E6C5F" w14:textId="77777777" w:rsidR="0050331E" w:rsidRPr="002101ED" w:rsidRDefault="0050331E" w:rsidP="0050331E">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 xml:space="preserve">Responsibility for decisions made on the basis of the </w:t>
      </w:r>
      <w:r w:rsidR="0025796C" w:rsidRPr="002101ED">
        <w:rPr>
          <w:rFonts w:ascii="Arial" w:hAnsi="Arial" w:cs="Arial"/>
          <w:color w:val="000000"/>
          <w:lang w:val="en-US"/>
        </w:rPr>
        <w:t xml:space="preserve">Book Building and </w:t>
      </w:r>
      <w:r w:rsidRPr="002101ED">
        <w:rPr>
          <w:rFonts w:ascii="Arial" w:hAnsi="Arial" w:cs="Arial"/>
          <w:color w:val="000000"/>
          <w:lang w:val="en-US"/>
        </w:rPr>
        <w:t>Subscription Rules rests solely with the persons or entities relying on these Rules.</w:t>
      </w:r>
    </w:p>
    <w:p w14:paraId="63405D37" w14:textId="77777777" w:rsidR="0050331E" w:rsidRPr="002101ED" w:rsidRDefault="0050331E" w:rsidP="0050331E">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 xml:space="preserve">The Issuer will offer the Offer Shares through </w:t>
      </w:r>
      <w:r w:rsidR="0025796C" w:rsidRPr="002101ED">
        <w:rPr>
          <w:rFonts w:ascii="Arial" w:hAnsi="Arial" w:cs="Arial"/>
          <w:color w:val="000000"/>
          <w:lang w:val="en-US"/>
        </w:rPr>
        <w:t>Trigon DM</w:t>
      </w:r>
      <w:r w:rsidRPr="002101ED">
        <w:rPr>
          <w:rFonts w:ascii="Arial" w:hAnsi="Arial" w:cs="Arial"/>
          <w:color w:val="000000"/>
          <w:lang w:val="en-US"/>
        </w:rPr>
        <w:t xml:space="preserve">. </w:t>
      </w:r>
      <w:r w:rsidR="0025796C" w:rsidRPr="002101ED">
        <w:rPr>
          <w:rFonts w:ascii="Arial" w:hAnsi="Arial" w:cs="Arial"/>
          <w:color w:val="000000"/>
          <w:lang w:val="en-US"/>
        </w:rPr>
        <w:t>Trigon DM</w:t>
      </w:r>
      <w:r w:rsidRPr="002101ED">
        <w:rPr>
          <w:rFonts w:ascii="Arial" w:hAnsi="Arial" w:cs="Arial"/>
          <w:color w:val="000000"/>
          <w:lang w:val="en-US"/>
        </w:rPr>
        <w:t xml:space="preserve"> is supervised by the Polish Financial Supervision Authority.</w:t>
      </w:r>
    </w:p>
    <w:p w14:paraId="3744E59E" w14:textId="77777777" w:rsidR="0050331E" w:rsidRPr="002101ED" w:rsidRDefault="0050331E" w:rsidP="0050331E">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This material is not an advertisement within the meaning of Article 22 of the Prospectus Regulation.</w:t>
      </w:r>
    </w:p>
    <w:p w14:paraId="6929A1AF" w14:textId="77777777" w:rsidR="00E145F9" w:rsidRPr="002101ED" w:rsidRDefault="0050331E" w:rsidP="00AA1B91">
      <w:pPr>
        <w:autoSpaceDE w:val="0"/>
        <w:autoSpaceDN w:val="0"/>
        <w:adjustRightInd w:val="0"/>
        <w:spacing w:after="120" w:line="240" w:lineRule="auto"/>
        <w:jc w:val="both"/>
        <w:rPr>
          <w:rFonts w:ascii="Arial" w:hAnsi="Arial" w:cs="Arial"/>
          <w:bCs/>
          <w:color w:val="000000"/>
          <w:lang w:val="en-US"/>
        </w:rPr>
      </w:pPr>
      <w:r w:rsidRPr="002101ED">
        <w:rPr>
          <w:rFonts w:ascii="Arial" w:hAnsi="Arial" w:cs="Arial"/>
          <w:color w:val="000000"/>
          <w:lang w:val="en-US"/>
        </w:rPr>
        <w:t>This material and information included herein are not intended for publication, release or distribution, whether directly or indirectly, within the territory of or in the United States of America or other jurisdictions where such distribution, publication or use may be subject to restrictions or may be prohibited by law. The securities referred to in this material have not been and will not be registered under the U.S. Securities Act of 1933, as amended</w:t>
      </w:r>
      <w:r w:rsidRPr="002101ED">
        <w:rPr>
          <w:rFonts w:ascii="Arial" w:hAnsi="Arial" w:cs="Arial"/>
          <w:i/>
          <w:iCs/>
          <w:color w:val="000000"/>
          <w:lang w:val="en-US"/>
        </w:rPr>
        <w:t xml:space="preserve"> </w:t>
      </w:r>
      <w:r w:rsidRPr="002101ED">
        <w:rPr>
          <w:rFonts w:ascii="Arial" w:hAnsi="Arial" w:cs="Arial"/>
          <w:color w:val="000000"/>
          <w:lang w:val="en-US"/>
        </w:rPr>
        <w:t xml:space="preserve">and may only be offered or sold within the United States under an exemption from, or in a transaction not subject to, the registration requirements of the </w:t>
      </w:r>
      <w:r w:rsidR="00582F11">
        <w:rPr>
          <w:rFonts w:ascii="Arial" w:hAnsi="Arial" w:cs="Arial"/>
          <w:color w:val="000000"/>
          <w:lang w:val="en-US"/>
        </w:rPr>
        <w:t xml:space="preserve">U.S. </w:t>
      </w:r>
      <w:r w:rsidRPr="002101ED">
        <w:rPr>
          <w:rFonts w:ascii="Arial" w:hAnsi="Arial" w:cs="Arial"/>
          <w:color w:val="000000"/>
          <w:lang w:val="en-US"/>
        </w:rPr>
        <w:t>Securities Act.</w:t>
      </w:r>
    </w:p>
    <w:sectPr w:rsidR="00E145F9" w:rsidRPr="002101ED" w:rsidSect="0032758F">
      <w:headerReference w:type="default" r:id="rId9"/>
      <w:footerReference w:type="even"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BA05" w14:textId="77777777" w:rsidR="00B925DC" w:rsidRDefault="00B925DC" w:rsidP="00BC372B">
      <w:pPr>
        <w:spacing w:after="0" w:line="240" w:lineRule="auto"/>
      </w:pPr>
      <w:r>
        <w:separator/>
      </w:r>
    </w:p>
  </w:endnote>
  <w:endnote w:type="continuationSeparator" w:id="0">
    <w:p w14:paraId="60ECC30F" w14:textId="77777777" w:rsidR="00B925DC" w:rsidRDefault="00B925DC" w:rsidP="00BC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0FB8" w14:textId="77777777" w:rsidR="00C53B17" w:rsidRDefault="00C53B17" w:rsidP="00BB1D17">
    <w:pPr>
      <w:pStyle w:val="Footer"/>
    </w:pPr>
    <w:r>
      <w:t>#110696592v1&lt;RZDMS&gt;</w:t>
    </w:r>
  </w:p>
  <w:bookmarkStart w:id="1" w:name="_iDocIDField5c85ad53-e71c-4d3c-9e31-d9b9"/>
  <w:p w14:paraId="5CAFC5FB" w14:textId="77777777" w:rsidR="00C53B17" w:rsidRDefault="00C53B17">
    <w:pPr>
      <w:pStyle w:val="DocID"/>
    </w:pPr>
    <w:r>
      <w:fldChar w:fldCharType="begin"/>
    </w:r>
    <w:r>
      <w:instrText xml:space="preserve">  DOCPROPERTY "CUS_DocIDChunk0" </w:instrText>
    </w:r>
    <w:r>
      <w:fldChar w:fldCharType="separate"/>
    </w:r>
    <w:r>
      <w:rPr>
        <w:noProof/>
      </w:rPr>
      <w:t>WAW 4158340v6</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A06" w14:textId="77777777" w:rsidR="00C53B17" w:rsidRDefault="00C53B17" w:rsidP="00B52C5E">
    <w:pPr>
      <w:pStyle w:val="Footer"/>
    </w:pPr>
    <w:r>
      <w:t>#110696592v1&lt;RZDMS&gt;</w:t>
    </w:r>
  </w:p>
  <w:bookmarkStart w:id="2" w:name="_iDocIDFieldbe956972-7981-432d-ad0d-60f9"/>
  <w:p w14:paraId="525BB2D9" w14:textId="77777777" w:rsidR="00C53B17" w:rsidRDefault="00C53B17">
    <w:pPr>
      <w:pStyle w:val="DocID"/>
    </w:pPr>
    <w:r>
      <w:fldChar w:fldCharType="begin"/>
    </w:r>
    <w:r>
      <w:instrText xml:space="preserve">  DOCPROPERTY "CUS_DocIDChunk0" </w:instrText>
    </w:r>
    <w:r>
      <w:fldChar w:fldCharType="separate"/>
    </w:r>
    <w:r>
      <w:rPr>
        <w:noProof/>
      </w:rPr>
      <w:t>WAW 4158340v6</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038B" w14:textId="77777777" w:rsidR="00B925DC" w:rsidRDefault="00B925DC" w:rsidP="00BC372B">
      <w:pPr>
        <w:spacing w:after="0" w:line="240" w:lineRule="auto"/>
      </w:pPr>
      <w:r>
        <w:separator/>
      </w:r>
    </w:p>
  </w:footnote>
  <w:footnote w:type="continuationSeparator" w:id="0">
    <w:p w14:paraId="206C60C2" w14:textId="77777777" w:rsidR="00B925DC" w:rsidRDefault="00B925DC" w:rsidP="00BC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58E" w14:textId="77777777" w:rsidR="00497DD5" w:rsidRPr="00E97087" w:rsidRDefault="00497DD5" w:rsidP="00497DD5">
    <w:pPr>
      <w:pStyle w:val="Header"/>
      <w:jc w:val="center"/>
      <w:rPr>
        <w:rFonts w:ascii="Arial Narrow" w:hAnsi="Arial Narrow"/>
        <w:i/>
        <w:color w:val="FF0000"/>
        <w:sz w:val="18"/>
        <w:lang w:val="en-US"/>
      </w:rPr>
    </w:pPr>
    <w:r>
      <w:rPr>
        <w:rFonts w:ascii="Arial Narrow" w:hAnsi="Arial Narrow"/>
        <w:i/>
        <w:iCs/>
        <w:color w:val="FF0000"/>
        <w:sz w:val="18"/>
        <w:lang w:val="en"/>
      </w:rPr>
      <w:t>THIS DOCUMENT IS NOT INTENDED FOR DISTRIBUTION DIRECTLY OR INDIRECTLY, IN OR INTO THE UNITED STATES, AUSTRALIA, CANADA, JAPAN OR ANY OTHER JURISDICTION IN WHICH SUCH PUBLICATION, RELEASE, DISTRIBUTION OR TRANSMISSION WOULD BE UNLAWFUL.</w:t>
    </w:r>
  </w:p>
  <w:p w14:paraId="444942D7" w14:textId="77777777" w:rsidR="00497DD5" w:rsidRPr="00E97087" w:rsidRDefault="00497DD5" w:rsidP="00497DD5">
    <w:pPr>
      <w:pStyle w:val="Header"/>
      <w:jc w:val="center"/>
      <w:rPr>
        <w:rFonts w:ascii="Arial Narrow" w:hAnsi="Arial Narrow"/>
        <w:i/>
        <w:color w:val="FF0000"/>
        <w:sz w:val="18"/>
        <w:lang w:val="en-US"/>
      </w:rPr>
    </w:pPr>
  </w:p>
  <w:p w14:paraId="49960C2B" w14:textId="77777777" w:rsidR="00497DD5" w:rsidRPr="00E97087" w:rsidRDefault="00497DD5" w:rsidP="00497DD5">
    <w:pPr>
      <w:pStyle w:val="Header"/>
      <w:jc w:val="center"/>
      <w:rPr>
        <w:rFonts w:ascii="Arial Narrow" w:hAnsi="Arial Narrow"/>
        <w:i/>
        <w:color w:val="FF0000"/>
        <w:sz w:val="18"/>
        <w:lang w:val="en-US"/>
      </w:rPr>
    </w:pPr>
    <w:r>
      <w:rPr>
        <w:rFonts w:ascii="Arial Narrow" w:hAnsi="Arial Narrow"/>
        <w:i/>
        <w:iCs/>
        <w:color w:val="FF0000"/>
        <w:sz w:val="18"/>
        <w:lang w:val="en"/>
      </w:rPr>
      <w:t>THIS DOCUMENT DOES NOT CONSTITUTE AN OFFER OF SECURITIES IN ANY JURISDICTION.</w:t>
    </w:r>
  </w:p>
  <w:p w14:paraId="1C5DB433" w14:textId="77777777" w:rsidR="00497DD5" w:rsidRPr="00E97087" w:rsidRDefault="00497DD5" w:rsidP="00497DD5">
    <w:pPr>
      <w:pStyle w:val="Header"/>
      <w:jc w:val="center"/>
      <w:rPr>
        <w:rFonts w:ascii="Arial Narrow" w:hAnsi="Arial Narrow"/>
        <w:i/>
        <w:color w:val="FF0000"/>
        <w:sz w:val="18"/>
        <w:lang w:val="en-US"/>
      </w:rPr>
    </w:pPr>
  </w:p>
  <w:p w14:paraId="51D6D58E" w14:textId="77777777" w:rsidR="00994CEC" w:rsidRPr="00E97087" w:rsidRDefault="00497DD5" w:rsidP="00E97087">
    <w:pPr>
      <w:pStyle w:val="Header"/>
      <w:spacing w:after="240"/>
      <w:jc w:val="center"/>
      <w:rPr>
        <w:rFonts w:ascii="Arial Narrow" w:hAnsi="Arial Narrow"/>
        <w:lang w:val="en-US"/>
      </w:rPr>
    </w:pPr>
    <w:r>
      <w:rPr>
        <w:rFonts w:ascii="Arial Narrow" w:hAnsi="Arial Narrow"/>
        <w:i/>
        <w:iCs/>
        <w:color w:val="FF0000"/>
        <w:sz w:val="18"/>
        <w:lang w:val="en"/>
      </w:rPr>
      <w:t>PLEASE REVIEW THE LEGAL DISCLAIMER AT THE END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BA7"/>
    <w:multiLevelType w:val="hybridMultilevel"/>
    <w:tmpl w:val="5EF67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4B0CF7"/>
    <w:multiLevelType w:val="hybridMultilevel"/>
    <w:tmpl w:val="410E3DB8"/>
    <w:lvl w:ilvl="0" w:tplc="3FECC4EC">
      <w:numFmt w:val="bullet"/>
      <w:lvlText w:val="•"/>
      <w:lvlJc w:val="left"/>
      <w:pPr>
        <w:ind w:left="720" w:hanging="360"/>
      </w:pPr>
      <w:rPr>
        <w:rFonts w:ascii="Arial Narrow" w:eastAsiaTheme="minorHAnsi" w:hAnsi="Arial Narrow"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2005CF"/>
    <w:multiLevelType w:val="hybridMultilevel"/>
    <w:tmpl w:val="EED88F88"/>
    <w:lvl w:ilvl="0" w:tplc="493C1400">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FC77272"/>
    <w:multiLevelType w:val="hybridMultilevel"/>
    <w:tmpl w:val="E47AB2AE"/>
    <w:lvl w:ilvl="0" w:tplc="D8AA916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34154CC"/>
    <w:multiLevelType w:val="hybridMultilevel"/>
    <w:tmpl w:val="64161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606E66"/>
    <w:multiLevelType w:val="hybridMultilevel"/>
    <w:tmpl w:val="F2BCB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20423E"/>
    <w:multiLevelType w:val="hybridMultilevel"/>
    <w:tmpl w:val="A00086F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3E1363"/>
    <w:multiLevelType w:val="hybridMultilevel"/>
    <w:tmpl w:val="75F0E1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B6166C7"/>
    <w:multiLevelType w:val="hybridMultilevel"/>
    <w:tmpl w:val="DF56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84DCA"/>
    <w:multiLevelType w:val="hybridMultilevel"/>
    <w:tmpl w:val="73B2F8FE"/>
    <w:lvl w:ilvl="0" w:tplc="3FECC4EC">
      <w:numFmt w:val="bullet"/>
      <w:lvlText w:val="•"/>
      <w:lvlJc w:val="left"/>
      <w:pPr>
        <w:ind w:left="720" w:hanging="360"/>
      </w:pPr>
      <w:rPr>
        <w:rFonts w:ascii="Arial Narrow" w:eastAsiaTheme="minorHAnsi" w:hAnsi="Arial Narrow"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001BE5"/>
    <w:multiLevelType w:val="hybridMultilevel"/>
    <w:tmpl w:val="E47AB2AE"/>
    <w:lvl w:ilvl="0" w:tplc="FFFFFFFF">
      <w:start w:val="1"/>
      <w:numFmt w:val="low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AED5257"/>
    <w:multiLevelType w:val="hybridMultilevel"/>
    <w:tmpl w:val="5EF67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F97984"/>
    <w:multiLevelType w:val="hybridMultilevel"/>
    <w:tmpl w:val="2C1A4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F64FD8"/>
    <w:multiLevelType w:val="hybridMultilevel"/>
    <w:tmpl w:val="9C12EC44"/>
    <w:lvl w:ilvl="0" w:tplc="493C140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2ED32C3"/>
    <w:multiLevelType w:val="hybridMultilevel"/>
    <w:tmpl w:val="EED88F88"/>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516943"/>
    <w:multiLevelType w:val="hybridMultilevel"/>
    <w:tmpl w:val="5EF67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121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730521">
    <w:abstractNumId w:val="0"/>
  </w:num>
  <w:num w:numId="3" w16cid:durableId="883641746">
    <w:abstractNumId w:val="8"/>
  </w:num>
  <w:num w:numId="4" w16cid:durableId="1016465248">
    <w:abstractNumId w:val="13"/>
  </w:num>
  <w:num w:numId="5" w16cid:durableId="846559238">
    <w:abstractNumId w:val="3"/>
  </w:num>
  <w:num w:numId="6" w16cid:durableId="251284765">
    <w:abstractNumId w:val="10"/>
  </w:num>
  <w:num w:numId="7" w16cid:durableId="1811823173">
    <w:abstractNumId w:val="2"/>
  </w:num>
  <w:num w:numId="8" w16cid:durableId="733163668">
    <w:abstractNumId w:val="14"/>
  </w:num>
  <w:num w:numId="9" w16cid:durableId="996373302">
    <w:abstractNumId w:val="12"/>
  </w:num>
  <w:num w:numId="10" w16cid:durableId="60059697">
    <w:abstractNumId w:val="1"/>
  </w:num>
  <w:num w:numId="11" w16cid:durableId="865560964">
    <w:abstractNumId w:val="9"/>
  </w:num>
  <w:num w:numId="12" w16cid:durableId="1487938124">
    <w:abstractNumId w:val="11"/>
  </w:num>
  <w:num w:numId="13" w16cid:durableId="352531904">
    <w:abstractNumId w:val="15"/>
  </w:num>
  <w:num w:numId="14" w16cid:durableId="1129203407">
    <w:abstractNumId w:val="4"/>
  </w:num>
  <w:num w:numId="15" w16cid:durableId="327905887">
    <w:abstractNumId w:val="5"/>
  </w:num>
  <w:num w:numId="16" w16cid:durableId="51200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43"/>
    <w:rsid w:val="00001BCB"/>
    <w:rsid w:val="0000235C"/>
    <w:rsid w:val="00007738"/>
    <w:rsid w:val="0001448B"/>
    <w:rsid w:val="00016EDC"/>
    <w:rsid w:val="00035678"/>
    <w:rsid w:val="00047AB0"/>
    <w:rsid w:val="00056C3E"/>
    <w:rsid w:val="00061439"/>
    <w:rsid w:val="000652D3"/>
    <w:rsid w:val="00065BF0"/>
    <w:rsid w:val="00067FEF"/>
    <w:rsid w:val="00074037"/>
    <w:rsid w:val="00084E57"/>
    <w:rsid w:val="00085200"/>
    <w:rsid w:val="000868D7"/>
    <w:rsid w:val="00087B6A"/>
    <w:rsid w:val="00090A87"/>
    <w:rsid w:val="00093365"/>
    <w:rsid w:val="000A19F4"/>
    <w:rsid w:val="000A25AE"/>
    <w:rsid w:val="000A3307"/>
    <w:rsid w:val="000A3C7E"/>
    <w:rsid w:val="000B1248"/>
    <w:rsid w:val="000B1C63"/>
    <w:rsid w:val="000C6309"/>
    <w:rsid w:val="000E07DC"/>
    <w:rsid w:val="000E3EA5"/>
    <w:rsid w:val="000E6717"/>
    <w:rsid w:val="00102837"/>
    <w:rsid w:val="00104329"/>
    <w:rsid w:val="00105509"/>
    <w:rsid w:val="001057BA"/>
    <w:rsid w:val="00105AE1"/>
    <w:rsid w:val="001137B4"/>
    <w:rsid w:val="00121A1F"/>
    <w:rsid w:val="00122B58"/>
    <w:rsid w:val="00126FBB"/>
    <w:rsid w:val="001276A9"/>
    <w:rsid w:val="00127986"/>
    <w:rsid w:val="001327B0"/>
    <w:rsid w:val="00133FA0"/>
    <w:rsid w:val="00134512"/>
    <w:rsid w:val="00136D91"/>
    <w:rsid w:val="00140A4B"/>
    <w:rsid w:val="00146CB3"/>
    <w:rsid w:val="00150A19"/>
    <w:rsid w:val="001660EE"/>
    <w:rsid w:val="0016760C"/>
    <w:rsid w:val="001707B8"/>
    <w:rsid w:val="001715DD"/>
    <w:rsid w:val="00172578"/>
    <w:rsid w:val="00174435"/>
    <w:rsid w:val="00181D4C"/>
    <w:rsid w:val="00184129"/>
    <w:rsid w:val="001845D1"/>
    <w:rsid w:val="001849BB"/>
    <w:rsid w:val="00185DDE"/>
    <w:rsid w:val="001A0F11"/>
    <w:rsid w:val="001A4143"/>
    <w:rsid w:val="001A7798"/>
    <w:rsid w:val="001C0B0D"/>
    <w:rsid w:val="001C3E5B"/>
    <w:rsid w:val="001C536B"/>
    <w:rsid w:val="001D3A16"/>
    <w:rsid w:val="001D69A1"/>
    <w:rsid w:val="001D751E"/>
    <w:rsid w:val="001E0C42"/>
    <w:rsid w:val="001E1C18"/>
    <w:rsid w:val="001F3162"/>
    <w:rsid w:val="002048F4"/>
    <w:rsid w:val="00205B26"/>
    <w:rsid w:val="00207AF2"/>
    <w:rsid w:val="002101ED"/>
    <w:rsid w:val="0021233B"/>
    <w:rsid w:val="00212EF3"/>
    <w:rsid w:val="00214D4C"/>
    <w:rsid w:val="002204DF"/>
    <w:rsid w:val="00222F81"/>
    <w:rsid w:val="00223B15"/>
    <w:rsid w:val="002256A2"/>
    <w:rsid w:val="00226224"/>
    <w:rsid w:val="00227CE8"/>
    <w:rsid w:val="00231FDD"/>
    <w:rsid w:val="00247068"/>
    <w:rsid w:val="00247990"/>
    <w:rsid w:val="0025796C"/>
    <w:rsid w:val="00262C9B"/>
    <w:rsid w:val="002971AF"/>
    <w:rsid w:val="002B1656"/>
    <w:rsid w:val="002C55A5"/>
    <w:rsid w:val="002C6251"/>
    <w:rsid w:val="002D3CF6"/>
    <w:rsid w:val="002D50F7"/>
    <w:rsid w:val="002D7715"/>
    <w:rsid w:val="002E0803"/>
    <w:rsid w:val="002E1133"/>
    <w:rsid w:val="002E592B"/>
    <w:rsid w:val="002F3CC3"/>
    <w:rsid w:val="002F4806"/>
    <w:rsid w:val="002F620B"/>
    <w:rsid w:val="002F6849"/>
    <w:rsid w:val="003170E4"/>
    <w:rsid w:val="003215EB"/>
    <w:rsid w:val="00322B0C"/>
    <w:rsid w:val="0032440F"/>
    <w:rsid w:val="0032758F"/>
    <w:rsid w:val="00352377"/>
    <w:rsid w:val="00352C6C"/>
    <w:rsid w:val="00355CD2"/>
    <w:rsid w:val="003627D2"/>
    <w:rsid w:val="00363166"/>
    <w:rsid w:val="003640B8"/>
    <w:rsid w:val="00365B9D"/>
    <w:rsid w:val="00366CF2"/>
    <w:rsid w:val="0039038C"/>
    <w:rsid w:val="0039180F"/>
    <w:rsid w:val="0039590B"/>
    <w:rsid w:val="00395D05"/>
    <w:rsid w:val="003A251C"/>
    <w:rsid w:val="003A33CD"/>
    <w:rsid w:val="003A7E29"/>
    <w:rsid w:val="003B28EA"/>
    <w:rsid w:val="003D1F7D"/>
    <w:rsid w:val="003E060B"/>
    <w:rsid w:val="003E0A24"/>
    <w:rsid w:val="003E3B5A"/>
    <w:rsid w:val="003E759F"/>
    <w:rsid w:val="004041CF"/>
    <w:rsid w:val="00405BD7"/>
    <w:rsid w:val="004065DC"/>
    <w:rsid w:val="004104C8"/>
    <w:rsid w:val="004145AB"/>
    <w:rsid w:val="00414CB6"/>
    <w:rsid w:val="00421120"/>
    <w:rsid w:val="00424F67"/>
    <w:rsid w:val="004307BC"/>
    <w:rsid w:val="00431895"/>
    <w:rsid w:val="00433A1C"/>
    <w:rsid w:val="0043425E"/>
    <w:rsid w:val="00435D25"/>
    <w:rsid w:val="00444E50"/>
    <w:rsid w:val="004460F6"/>
    <w:rsid w:val="00457C9C"/>
    <w:rsid w:val="004611A8"/>
    <w:rsid w:val="00463841"/>
    <w:rsid w:val="00481C08"/>
    <w:rsid w:val="004823A8"/>
    <w:rsid w:val="00482974"/>
    <w:rsid w:val="00495E38"/>
    <w:rsid w:val="00495FCD"/>
    <w:rsid w:val="00497DD5"/>
    <w:rsid w:val="004A657F"/>
    <w:rsid w:val="004B1E0C"/>
    <w:rsid w:val="004B5532"/>
    <w:rsid w:val="004C00F1"/>
    <w:rsid w:val="004C6427"/>
    <w:rsid w:val="004C7B45"/>
    <w:rsid w:val="004C7E14"/>
    <w:rsid w:val="004D1047"/>
    <w:rsid w:val="004D1AC2"/>
    <w:rsid w:val="004D2265"/>
    <w:rsid w:val="004D66C0"/>
    <w:rsid w:val="004E60CF"/>
    <w:rsid w:val="004F3415"/>
    <w:rsid w:val="0050331E"/>
    <w:rsid w:val="00512183"/>
    <w:rsid w:val="00526989"/>
    <w:rsid w:val="0053246A"/>
    <w:rsid w:val="0053279F"/>
    <w:rsid w:val="00532F2F"/>
    <w:rsid w:val="00545A24"/>
    <w:rsid w:val="00547696"/>
    <w:rsid w:val="005479C8"/>
    <w:rsid w:val="00554477"/>
    <w:rsid w:val="00572091"/>
    <w:rsid w:val="00573D84"/>
    <w:rsid w:val="00582F11"/>
    <w:rsid w:val="005836D8"/>
    <w:rsid w:val="00590DBA"/>
    <w:rsid w:val="00592195"/>
    <w:rsid w:val="005922F2"/>
    <w:rsid w:val="005B183B"/>
    <w:rsid w:val="005C4151"/>
    <w:rsid w:val="005D1B3C"/>
    <w:rsid w:val="005D3402"/>
    <w:rsid w:val="005D3481"/>
    <w:rsid w:val="005D48CC"/>
    <w:rsid w:val="005D5355"/>
    <w:rsid w:val="005D6ACD"/>
    <w:rsid w:val="005F6DFE"/>
    <w:rsid w:val="00604325"/>
    <w:rsid w:val="00604AA8"/>
    <w:rsid w:val="006066C0"/>
    <w:rsid w:val="006071DF"/>
    <w:rsid w:val="00611F91"/>
    <w:rsid w:val="00622567"/>
    <w:rsid w:val="00622D76"/>
    <w:rsid w:val="0063059D"/>
    <w:rsid w:val="006403CA"/>
    <w:rsid w:val="00647D1E"/>
    <w:rsid w:val="00651381"/>
    <w:rsid w:val="00652611"/>
    <w:rsid w:val="006627BA"/>
    <w:rsid w:val="0066467F"/>
    <w:rsid w:val="0066561E"/>
    <w:rsid w:val="00666713"/>
    <w:rsid w:val="00666F88"/>
    <w:rsid w:val="00672D7A"/>
    <w:rsid w:val="00673DE1"/>
    <w:rsid w:val="006778D6"/>
    <w:rsid w:val="00686F8D"/>
    <w:rsid w:val="0069330E"/>
    <w:rsid w:val="0069379C"/>
    <w:rsid w:val="00696A5A"/>
    <w:rsid w:val="006A51E0"/>
    <w:rsid w:val="006A54BD"/>
    <w:rsid w:val="006A7681"/>
    <w:rsid w:val="006B12F1"/>
    <w:rsid w:val="006D3C03"/>
    <w:rsid w:val="006E023A"/>
    <w:rsid w:val="006E0ACE"/>
    <w:rsid w:val="006E1554"/>
    <w:rsid w:val="006E38A9"/>
    <w:rsid w:val="006E3D15"/>
    <w:rsid w:val="006E41F5"/>
    <w:rsid w:val="006E440A"/>
    <w:rsid w:val="006F0F55"/>
    <w:rsid w:val="006F278B"/>
    <w:rsid w:val="00705569"/>
    <w:rsid w:val="00710128"/>
    <w:rsid w:val="007142D5"/>
    <w:rsid w:val="0072048A"/>
    <w:rsid w:val="00721C64"/>
    <w:rsid w:val="00726431"/>
    <w:rsid w:val="007305A4"/>
    <w:rsid w:val="0074208B"/>
    <w:rsid w:val="00742E41"/>
    <w:rsid w:val="00742E86"/>
    <w:rsid w:val="00745943"/>
    <w:rsid w:val="00754465"/>
    <w:rsid w:val="007561B1"/>
    <w:rsid w:val="00770974"/>
    <w:rsid w:val="0077161C"/>
    <w:rsid w:val="00773ADA"/>
    <w:rsid w:val="00774859"/>
    <w:rsid w:val="00776C5B"/>
    <w:rsid w:val="00795CF5"/>
    <w:rsid w:val="007A7FC9"/>
    <w:rsid w:val="007B00C5"/>
    <w:rsid w:val="007B3822"/>
    <w:rsid w:val="007C3FDE"/>
    <w:rsid w:val="007E1825"/>
    <w:rsid w:val="007E2AFE"/>
    <w:rsid w:val="007E352F"/>
    <w:rsid w:val="007E773F"/>
    <w:rsid w:val="007F69A2"/>
    <w:rsid w:val="00800862"/>
    <w:rsid w:val="008046A7"/>
    <w:rsid w:val="008055DB"/>
    <w:rsid w:val="008119C1"/>
    <w:rsid w:val="00823A4C"/>
    <w:rsid w:val="0083648D"/>
    <w:rsid w:val="0084631E"/>
    <w:rsid w:val="0085100B"/>
    <w:rsid w:val="00861FCF"/>
    <w:rsid w:val="00864650"/>
    <w:rsid w:val="0087142A"/>
    <w:rsid w:val="008765BC"/>
    <w:rsid w:val="008769CA"/>
    <w:rsid w:val="00876DC4"/>
    <w:rsid w:val="00882D5D"/>
    <w:rsid w:val="0089259F"/>
    <w:rsid w:val="00894BF3"/>
    <w:rsid w:val="008B4346"/>
    <w:rsid w:val="008B64A6"/>
    <w:rsid w:val="008C5560"/>
    <w:rsid w:val="008C57DC"/>
    <w:rsid w:val="008C6237"/>
    <w:rsid w:val="008E4DBB"/>
    <w:rsid w:val="008E6A35"/>
    <w:rsid w:val="008F5D8C"/>
    <w:rsid w:val="008F77D4"/>
    <w:rsid w:val="00904099"/>
    <w:rsid w:val="00905389"/>
    <w:rsid w:val="00911B39"/>
    <w:rsid w:val="00913C51"/>
    <w:rsid w:val="009159B9"/>
    <w:rsid w:val="009166DA"/>
    <w:rsid w:val="00924BCF"/>
    <w:rsid w:val="00925F84"/>
    <w:rsid w:val="00925FC7"/>
    <w:rsid w:val="009276CE"/>
    <w:rsid w:val="00935B97"/>
    <w:rsid w:val="0094119E"/>
    <w:rsid w:val="00943D73"/>
    <w:rsid w:val="00945B71"/>
    <w:rsid w:val="009467E1"/>
    <w:rsid w:val="0094783A"/>
    <w:rsid w:val="00975362"/>
    <w:rsid w:val="00976CBA"/>
    <w:rsid w:val="00983CF9"/>
    <w:rsid w:val="009877FA"/>
    <w:rsid w:val="0099439D"/>
    <w:rsid w:val="00994CEC"/>
    <w:rsid w:val="009B52E9"/>
    <w:rsid w:val="009C1810"/>
    <w:rsid w:val="009C7446"/>
    <w:rsid w:val="009C752A"/>
    <w:rsid w:val="009D7B10"/>
    <w:rsid w:val="009D7FEF"/>
    <w:rsid w:val="009E104B"/>
    <w:rsid w:val="009E14C9"/>
    <w:rsid w:val="009E1D43"/>
    <w:rsid w:val="009F03FB"/>
    <w:rsid w:val="009F2D3E"/>
    <w:rsid w:val="00A15C87"/>
    <w:rsid w:val="00A23F2B"/>
    <w:rsid w:val="00A34AD4"/>
    <w:rsid w:val="00A362F2"/>
    <w:rsid w:val="00A43A08"/>
    <w:rsid w:val="00A52B94"/>
    <w:rsid w:val="00A536E6"/>
    <w:rsid w:val="00A5581A"/>
    <w:rsid w:val="00A60AE7"/>
    <w:rsid w:val="00A64936"/>
    <w:rsid w:val="00A90001"/>
    <w:rsid w:val="00A9654D"/>
    <w:rsid w:val="00A97FFE"/>
    <w:rsid w:val="00AA1550"/>
    <w:rsid w:val="00AA1B91"/>
    <w:rsid w:val="00AA39AA"/>
    <w:rsid w:val="00AB04C6"/>
    <w:rsid w:val="00AB0FD1"/>
    <w:rsid w:val="00AB249C"/>
    <w:rsid w:val="00AB5A76"/>
    <w:rsid w:val="00AB7EB0"/>
    <w:rsid w:val="00AC145C"/>
    <w:rsid w:val="00AC15DF"/>
    <w:rsid w:val="00AC2DCB"/>
    <w:rsid w:val="00AC3DCD"/>
    <w:rsid w:val="00AD1B90"/>
    <w:rsid w:val="00AD3CE6"/>
    <w:rsid w:val="00AD4908"/>
    <w:rsid w:val="00AD5E27"/>
    <w:rsid w:val="00AF6918"/>
    <w:rsid w:val="00B025BB"/>
    <w:rsid w:val="00B03CC5"/>
    <w:rsid w:val="00B05E49"/>
    <w:rsid w:val="00B072B9"/>
    <w:rsid w:val="00B10186"/>
    <w:rsid w:val="00B14B47"/>
    <w:rsid w:val="00B157BC"/>
    <w:rsid w:val="00B15D36"/>
    <w:rsid w:val="00B167D8"/>
    <w:rsid w:val="00B17474"/>
    <w:rsid w:val="00B2627D"/>
    <w:rsid w:val="00B3661E"/>
    <w:rsid w:val="00B3674A"/>
    <w:rsid w:val="00B509A8"/>
    <w:rsid w:val="00B52E5D"/>
    <w:rsid w:val="00B54864"/>
    <w:rsid w:val="00B62FE0"/>
    <w:rsid w:val="00B63F69"/>
    <w:rsid w:val="00B65511"/>
    <w:rsid w:val="00B6577F"/>
    <w:rsid w:val="00B73B31"/>
    <w:rsid w:val="00B83B73"/>
    <w:rsid w:val="00B84201"/>
    <w:rsid w:val="00B925DC"/>
    <w:rsid w:val="00BA02B8"/>
    <w:rsid w:val="00BA26D3"/>
    <w:rsid w:val="00BB0FBF"/>
    <w:rsid w:val="00BB7BC5"/>
    <w:rsid w:val="00BC1946"/>
    <w:rsid w:val="00BC372B"/>
    <w:rsid w:val="00BC6EA1"/>
    <w:rsid w:val="00BC6FC6"/>
    <w:rsid w:val="00BD389B"/>
    <w:rsid w:val="00BD39E5"/>
    <w:rsid w:val="00BD6A31"/>
    <w:rsid w:val="00BE1B93"/>
    <w:rsid w:val="00BE260D"/>
    <w:rsid w:val="00BE28B7"/>
    <w:rsid w:val="00BF11BD"/>
    <w:rsid w:val="00BF246A"/>
    <w:rsid w:val="00C00A7F"/>
    <w:rsid w:val="00C03DAC"/>
    <w:rsid w:val="00C04DE5"/>
    <w:rsid w:val="00C0704E"/>
    <w:rsid w:val="00C153E9"/>
    <w:rsid w:val="00C16C7D"/>
    <w:rsid w:val="00C17D78"/>
    <w:rsid w:val="00C34632"/>
    <w:rsid w:val="00C35E14"/>
    <w:rsid w:val="00C4070A"/>
    <w:rsid w:val="00C50393"/>
    <w:rsid w:val="00C529FD"/>
    <w:rsid w:val="00C53B17"/>
    <w:rsid w:val="00C5762E"/>
    <w:rsid w:val="00C64D33"/>
    <w:rsid w:val="00C877AE"/>
    <w:rsid w:val="00C904A1"/>
    <w:rsid w:val="00C94901"/>
    <w:rsid w:val="00C9659B"/>
    <w:rsid w:val="00C979EB"/>
    <w:rsid w:val="00CA7B7B"/>
    <w:rsid w:val="00CB3425"/>
    <w:rsid w:val="00CB399E"/>
    <w:rsid w:val="00CB3DA7"/>
    <w:rsid w:val="00CB483D"/>
    <w:rsid w:val="00CB6A08"/>
    <w:rsid w:val="00CC24EC"/>
    <w:rsid w:val="00CE1808"/>
    <w:rsid w:val="00CE1ACB"/>
    <w:rsid w:val="00CE46C0"/>
    <w:rsid w:val="00CE4E54"/>
    <w:rsid w:val="00CE682E"/>
    <w:rsid w:val="00D004D3"/>
    <w:rsid w:val="00D04288"/>
    <w:rsid w:val="00D04F2C"/>
    <w:rsid w:val="00D06E52"/>
    <w:rsid w:val="00D127A5"/>
    <w:rsid w:val="00D143D4"/>
    <w:rsid w:val="00D20F9D"/>
    <w:rsid w:val="00D22B43"/>
    <w:rsid w:val="00D2745B"/>
    <w:rsid w:val="00D27A88"/>
    <w:rsid w:val="00D31F0A"/>
    <w:rsid w:val="00D35572"/>
    <w:rsid w:val="00D46595"/>
    <w:rsid w:val="00D47B86"/>
    <w:rsid w:val="00D51D78"/>
    <w:rsid w:val="00D54036"/>
    <w:rsid w:val="00D542F2"/>
    <w:rsid w:val="00D57337"/>
    <w:rsid w:val="00D6020B"/>
    <w:rsid w:val="00D61466"/>
    <w:rsid w:val="00D66A29"/>
    <w:rsid w:val="00D76E10"/>
    <w:rsid w:val="00D7797C"/>
    <w:rsid w:val="00D82AA4"/>
    <w:rsid w:val="00D82AC5"/>
    <w:rsid w:val="00D9698C"/>
    <w:rsid w:val="00D9791D"/>
    <w:rsid w:val="00DA6CD2"/>
    <w:rsid w:val="00DB0788"/>
    <w:rsid w:val="00DB0829"/>
    <w:rsid w:val="00DB49C6"/>
    <w:rsid w:val="00DC12BA"/>
    <w:rsid w:val="00DC42E9"/>
    <w:rsid w:val="00DC5C07"/>
    <w:rsid w:val="00DC69BE"/>
    <w:rsid w:val="00DD3E2E"/>
    <w:rsid w:val="00DE4DE2"/>
    <w:rsid w:val="00DF4307"/>
    <w:rsid w:val="00DF7590"/>
    <w:rsid w:val="00E01B0D"/>
    <w:rsid w:val="00E01EFC"/>
    <w:rsid w:val="00E062CE"/>
    <w:rsid w:val="00E0647F"/>
    <w:rsid w:val="00E145F9"/>
    <w:rsid w:val="00E25EA6"/>
    <w:rsid w:val="00E32B12"/>
    <w:rsid w:val="00E35E49"/>
    <w:rsid w:val="00E430E5"/>
    <w:rsid w:val="00E548AB"/>
    <w:rsid w:val="00E571C4"/>
    <w:rsid w:val="00E64105"/>
    <w:rsid w:val="00E66732"/>
    <w:rsid w:val="00E676E3"/>
    <w:rsid w:val="00E67857"/>
    <w:rsid w:val="00E7191B"/>
    <w:rsid w:val="00E77C5D"/>
    <w:rsid w:val="00E83A43"/>
    <w:rsid w:val="00E97087"/>
    <w:rsid w:val="00EB4AEA"/>
    <w:rsid w:val="00EB647F"/>
    <w:rsid w:val="00EC4EEC"/>
    <w:rsid w:val="00EC764B"/>
    <w:rsid w:val="00ED1A09"/>
    <w:rsid w:val="00ED7A3A"/>
    <w:rsid w:val="00EE270D"/>
    <w:rsid w:val="00EE5521"/>
    <w:rsid w:val="00EE5E36"/>
    <w:rsid w:val="00F01BD5"/>
    <w:rsid w:val="00F12695"/>
    <w:rsid w:val="00F12FC6"/>
    <w:rsid w:val="00F20B8E"/>
    <w:rsid w:val="00F230C1"/>
    <w:rsid w:val="00F32888"/>
    <w:rsid w:val="00F33189"/>
    <w:rsid w:val="00F3426E"/>
    <w:rsid w:val="00F34814"/>
    <w:rsid w:val="00F37328"/>
    <w:rsid w:val="00F37874"/>
    <w:rsid w:val="00F46646"/>
    <w:rsid w:val="00F47447"/>
    <w:rsid w:val="00F56A38"/>
    <w:rsid w:val="00F6039C"/>
    <w:rsid w:val="00F63148"/>
    <w:rsid w:val="00F6453F"/>
    <w:rsid w:val="00F766E8"/>
    <w:rsid w:val="00F82B2C"/>
    <w:rsid w:val="00F86CA9"/>
    <w:rsid w:val="00F9432E"/>
    <w:rsid w:val="00F973EA"/>
    <w:rsid w:val="00F974D0"/>
    <w:rsid w:val="00FB1E3D"/>
    <w:rsid w:val="00FB3A55"/>
    <w:rsid w:val="00FE4015"/>
    <w:rsid w:val="00FE498D"/>
    <w:rsid w:val="00FF1138"/>
    <w:rsid w:val="00FF3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E3FB"/>
  <w15:docId w15:val="{7D61B357-B186-4B5B-BA9D-B37126FC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3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53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C3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72B"/>
    <w:rPr>
      <w:sz w:val="20"/>
      <w:szCs w:val="20"/>
    </w:rPr>
  </w:style>
  <w:style w:type="character" w:styleId="EndnoteReference">
    <w:name w:val="endnote reference"/>
    <w:basedOn w:val="DefaultParagraphFont"/>
    <w:uiPriority w:val="99"/>
    <w:semiHidden/>
    <w:unhideWhenUsed/>
    <w:rsid w:val="00BC372B"/>
    <w:rPr>
      <w:vertAlign w:val="superscript"/>
    </w:rPr>
  </w:style>
  <w:style w:type="paragraph" w:styleId="BalloonText">
    <w:name w:val="Balloon Text"/>
    <w:basedOn w:val="Normal"/>
    <w:link w:val="BalloonTextChar"/>
    <w:uiPriority w:val="99"/>
    <w:semiHidden/>
    <w:unhideWhenUsed/>
    <w:rsid w:val="00B50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A8"/>
    <w:rPr>
      <w:rFonts w:ascii="Segoe UI" w:hAnsi="Segoe UI" w:cs="Segoe UI"/>
      <w:sz w:val="18"/>
      <w:szCs w:val="18"/>
    </w:rPr>
  </w:style>
  <w:style w:type="paragraph" w:styleId="ListParagraph">
    <w:name w:val="List Paragraph"/>
    <w:basedOn w:val="Normal"/>
    <w:uiPriority w:val="34"/>
    <w:qFormat/>
    <w:rsid w:val="0094783A"/>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Header">
    <w:name w:val="header"/>
    <w:basedOn w:val="Normal"/>
    <w:link w:val="HeaderChar"/>
    <w:unhideWhenUsed/>
    <w:rsid w:val="009D7B10"/>
    <w:pPr>
      <w:tabs>
        <w:tab w:val="center" w:pos="4536"/>
        <w:tab w:val="right" w:pos="9072"/>
      </w:tabs>
      <w:spacing w:after="0" w:line="240" w:lineRule="auto"/>
    </w:pPr>
  </w:style>
  <w:style w:type="character" w:customStyle="1" w:styleId="HeaderChar">
    <w:name w:val="Header Char"/>
    <w:basedOn w:val="DefaultParagraphFont"/>
    <w:link w:val="Header"/>
    <w:rsid w:val="009D7B10"/>
  </w:style>
  <w:style w:type="paragraph" w:styleId="Footer">
    <w:name w:val="footer"/>
    <w:basedOn w:val="Normal"/>
    <w:link w:val="FooterChar"/>
    <w:uiPriority w:val="99"/>
    <w:unhideWhenUsed/>
    <w:rsid w:val="009D7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7B10"/>
  </w:style>
  <w:style w:type="character" w:styleId="CommentReference">
    <w:name w:val="annotation reference"/>
    <w:basedOn w:val="DefaultParagraphFont"/>
    <w:uiPriority w:val="99"/>
    <w:semiHidden/>
    <w:unhideWhenUsed/>
    <w:rsid w:val="00BB0FBF"/>
    <w:rPr>
      <w:sz w:val="16"/>
      <w:szCs w:val="16"/>
    </w:rPr>
  </w:style>
  <w:style w:type="paragraph" w:styleId="CommentText">
    <w:name w:val="annotation text"/>
    <w:basedOn w:val="Normal"/>
    <w:link w:val="CommentTextChar"/>
    <w:uiPriority w:val="99"/>
    <w:unhideWhenUsed/>
    <w:rsid w:val="00BB0FBF"/>
    <w:pPr>
      <w:spacing w:line="240" w:lineRule="auto"/>
    </w:pPr>
    <w:rPr>
      <w:sz w:val="20"/>
      <w:szCs w:val="20"/>
    </w:rPr>
  </w:style>
  <w:style w:type="character" w:customStyle="1" w:styleId="CommentTextChar">
    <w:name w:val="Comment Text Char"/>
    <w:basedOn w:val="DefaultParagraphFont"/>
    <w:link w:val="CommentText"/>
    <w:uiPriority w:val="99"/>
    <w:rsid w:val="00BB0FBF"/>
    <w:rPr>
      <w:sz w:val="20"/>
      <w:szCs w:val="20"/>
    </w:rPr>
  </w:style>
  <w:style w:type="paragraph" w:styleId="CommentSubject">
    <w:name w:val="annotation subject"/>
    <w:basedOn w:val="CommentText"/>
    <w:next w:val="CommentText"/>
    <w:link w:val="CommentSubjectChar"/>
    <w:uiPriority w:val="99"/>
    <w:semiHidden/>
    <w:unhideWhenUsed/>
    <w:rsid w:val="00BB0FBF"/>
    <w:rPr>
      <w:b/>
      <w:bCs/>
    </w:rPr>
  </w:style>
  <w:style w:type="character" w:customStyle="1" w:styleId="CommentSubjectChar">
    <w:name w:val="Comment Subject Char"/>
    <w:basedOn w:val="CommentTextChar"/>
    <w:link w:val="CommentSubject"/>
    <w:uiPriority w:val="99"/>
    <w:semiHidden/>
    <w:rsid w:val="00BB0FBF"/>
    <w:rPr>
      <w:b/>
      <w:bCs/>
      <w:sz w:val="20"/>
      <w:szCs w:val="20"/>
    </w:rPr>
  </w:style>
  <w:style w:type="paragraph" w:customStyle="1" w:styleId="Default">
    <w:name w:val="Default"/>
    <w:rsid w:val="00067FEF"/>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BF246A"/>
    <w:pPr>
      <w:spacing w:after="0" w:line="240" w:lineRule="auto"/>
    </w:pPr>
  </w:style>
  <w:style w:type="paragraph" w:customStyle="1" w:styleId="GTDocID">
    <w:name w:val="GT DocID"/>
    <w:basedOn w:val="Normal"/>
    <w:next w:val="Normal"/>
    <w:link w:val="GTDocIDChar"/>
    <w:qFormat/>
    <w:rsid w:val="00134512"/>
    <w:rPr>
      <w:rFonts w:ascii="Arial" w:hAnsi="Arial"/>
      <w:i/>
      <w:noProof/>
      <w:sz w:val="16"/>
      <w:lang w:val="en-US"/>
    </w:rPr>
  </w:style>
  <w:style w:type="character" w:customStyle="1" w:styleId="GTDocIDChar">
    <w:name w:val="GT DocID Char"/>
    <w:basedOn w:val="DefaultParagraphFont"/>
    <w:link w:val="GTDocID"/>
    <w:rsid w:val="00134512"/>
    <w:rPr>
      <w:rFonts w:ascii="Arial" w:hAnsi="Arial"/>
      <w:i/>
      <w:noProof/>
      <w:sz w:val="16"/>
      <w:lang w:val="en-US"/>
    </w:rPr>
  </w:style>
  <w:style w:type="paragraph" w:customStyle="1" w:styleId="ScheduleHeading">
    <w:name w:val="Schedule Heading"/>
    <w:basedOn w:val="Normal"/>
    <w:next w:val="Normal"/>
    <w:rsid w:val="00497DD5"/>
    <w:pPr>
      <w:spacing w:after="360" w:line="300" w:lineRule="atLeast"/>
      <w:jc w:val="center"/>
    </w:pPr>
    <w:rPr>
      <w:rFonts w:ascii="Arial Bold" w:eastAsia="Times New Roman" w:hAnsi="Arial Bold" w:cs="Arial"/>
      <w:b/>
      <w:sz w:val="20"/>
      <w:szCs w:val="20"/>
      <w:lang w:val="en-GB" w:eastAsia="en-GB"/>
    </w:rPr>
  </w:style>
  <w:style w:type="character" w:customStyle="1" w:styleId="Heading1Char">
    <w:name w:val="Heading 1 Char"/>
    <w:basedOn w:val="DefaultParagraphFont"/>
    <w:link w:val="Heading1"/>
    <w:uiPriority w:val="9"/>
    <w:rsid w:val="009053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5389"/>
    <w:rPr>
      <w:rFonts w:asciiTheme="majorHAnsi" w:eastAsiaTheme="majorEastAsia" w:hAnsiTheme="majorHAnsi" w:cstheme="majorBidi"/>
      <w:color w:val="365F91" w:themeColor="accent1" w:themeShade="BF"/>
      <w:sz w:val="26"/>
      <w:szCs w:val="26"/>
    </w:rPr>
  </w:style>
  <w:style w:type="paragraph" w:styleId="List">
    <w:name w:val="List"/>
    <w:basedOn w:val="Normal"/>
    <w:uiPriority w:val="99"/>
    <w:unhideWhenUsed/>
    <w:rsid w:val="00905389"/>
    <w:pPr>
      <w:ind w:left="360" w:hanging="360"/>
      <w:contextualSpacing/>
    </w:pPr>
  </w:style>
  <w:style w:type="paragraph" w:styleId="Caption">
    <w:name w:val="caption"/>
    <w:basedOn w:val="Normal"/>
    <w:next w:val="Normal"/>
    <w:uiPriority w:val="35"/>
    <w:unhideWhenUsed/>
    <w:qFormat/>
    <w:rsid w:val="00905389"/>
    <w:pPr>
      <w:spacing w:line="240" w:lineRule="auto"/>
    </w:pPr>
    <w:rPr>
      <w:i/>
      <w:iCs/>
      <w:color w:val="1F497D" w:themeColor="text2"/>
      <w:sz w:val="18"/>
      <w:szCs w:val="18"/>
    </w:rPr>
  </w:style>
  <w:style w:type="paragraph" w:styleId="BodyText">
    <w:name w:val="Body Text"/>
    <w:basedOn w:val="Normal"/>
    <w:link w:val="BodyTextChar"/>
    <w:uiPriority w:val="99"/>
    <w:unhideWhenUsed/>
    <w:rsid w:val="00905389"/>
    <w:pPr>
      <w:spacing w:after="120"/>
    </w:pPr>
  </w:style>
  <w:style w:type="character" w:customStyle="1" w:styleId="BodyTextChar">
    <w:name w:val="Body Text Char"/>
    <w:basedOn w:val="DefaultParagraphFont"/>
    <w:link w:val="BodyText"/>
    <w:uiPriority w:val="99"/>
    <w:rsid w:val="00905389"/>
  </w:style>
  <w:style w:type="paragraph" w:customStyle="1" w:styleId="DocID">
    <w:name w:val="DocID"/>
    <w:basedOn w:val="Footer"/>
    <w:next w:val="Footer"/>
    <w:link w:val="DocIDChar"/>
    <w:rsid w:val="00DB0829"/>
    <w:pPr>
      <w:tabs>
        <w:tab w:val="clear" w:pos="4536"/>
        <w:tab w:val="clear" w:pos="9072"/>
      </w:tabs>
      <w:autoSpaceDE w:val="0"/>
      <w:autoSpaceDN w:val="0"/>
      <w:adjustRightInd w:val="0"/>
    </w:pPr>
    <w:rPr>
      <w:rFonts w:ascii="Arial" w:eastAsia="Times New Roman" w:hAnsi="Arial" w:cs="Arial"/>
      <w:sz w:val="16"/>
      <w:szCs w:val="20"/>
      <w:lang w:eastAsia="pl-PL"/>
    </w:rPr>
  </w:style>
  <w:style w:type="character" w:customStyle="1" w:styleId="DocIDChar">
    <w:name w:val="DocID Char"/>
    <w:basedOn w:val="DefaultParagraphFont"/>
    <w:link w:val="DocID"/>
    <w:rsid w:val="00DB0829"/>
    <w:rPr>
      <w:rFonts w:ascii="Arial" w:eastAsia="Times New Roman" w:hAnsi="Arial" w:cs="Arial"/>
      <w:sz w:val="16"/>
      <w:szCs w:val="20"/>
      <w:lang w:val="pl-PL" w:eastAsia="pl-PL"/>
    </w:rPr>
  </w:style>
  <w:style w:type="paragraph" w:styleId="NormalWeb">
    <w:name w:val="Normal (Web)"/>
    <w:basedOn w:val="Normal"/>
    <w:uiPriority w:val="99"/>
    <w:semiHidden/>
    <w:unhideWhenUsed/>
    <w:rsid w:val="00B655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444">
      <w:bodyDiv w:val="1"/>
      <w:marLeft w:val="0"/>
      <w:marRight w:val="0"/>
      <w:marTop w:val="0"/>
      <w:marBottom w:val="0"/>
      <w:divBdr>
        <w:top w:val="none" w:sz="0" w:space="0" w:color="auto"/>
        <w:left w:val="none" w:sz="0" w:space="0" w:color="auto"/>
        <w:bottom w:val="none" w:sz="0" w:space="0" w:color="auto"/>
        <w:right w:val="none" w:sz="0" w:space="0" w:color="auto"/>
      </w:divBdr>
    </w:div>
    <w:div w:id="49576258">
      <w:bodyDiv w:val="1"/>
      <w:marLeft w:val="0"/>
      <w:marRight w:val="0"/>
      <w:marTop w:val="0"/>
      <w:marBottom w:val="0"/>
      <w:divBdr>
        <w:top w:val="none" w:sz="0" w:space="0" w:color="auto"/>
        <w:left w:val="none" w:sz="0" w:space="0" w:color="auto"/>
        <w:bottom w:val="none" w:sz="0" w:space="0" w:color="auto"/>
        <w:right w:val="none" w:sz="0" w:space="0" w:color="auto"/>
      </w:divBdr>
    </w:div>
    <w:div w:id="100760640">
      <w:bodyDiv w:val="1"/>
      <w:marLeft w:val="0"/>
      <w:marRight w:val="0"/>
      <w:marTop w:val="0"/>
      <w:marBottom w:val="0"/>
      <w:divBdr>
        <w:top w:val="none" w:sz="0" w:space="0" w:color="auto"/>
        <w:left w:val="none" w:sz="0" w:space="0" w:color="auto"/>
        <w:bottom w:val="none" w:sz="0" w:space="0" w:color="auto"/>
        <w:right w:val="none" w:sz="0" w:space="0" w:color="auto"/>
      </w:divBdr>
    </w:div>
    <w:div w:id="166599425">
      <w:bodyDiv w:val="1"/>
      <w:marLeft w:val="0"/>
      <w:marRight w:val="0"/>
      <w:marTop w:val="0"/>
      <w:marBottom w:val="0"/>
      <w:divBdr>
        <w:top w:val="none" w:sz="0" w:space="0" w:color="auto"/>
        <w:left w:val="none" w:sz="0" w:space="0" w:color="auto"/>
        <w:bottom w:val="none" w:sz="0" w:space="0" w:color="auto"/>
        <w:right w:val="none" w:sz="0" w:space="0" w:color="auto"/>
      </w:divBdr>
    </w:div>
    <w:div w:id="177890519">
      <w:bodyDiv w:val="1"/>
      <w:marLeft w:val="0"/>
      <w:marRight w:val="0"/>
      <w:marTop w:val="0"/>
      <w:marBottom w:val="0"/>
      <w:divBdr>
        <w:top w:val="none" w:sz="0" w:space="0" w:color="auto"/>
        <w:left w:val="none" w:sz="0" w:space="0" w:color="auto"/>
        <w:bottom w:val="none" w:sz="0" w:space="0" w:color="auto"/>
        <w:right w:val="none" w:sz="0" w:space="0" w:color="auto"/>
      </w:divBdr>
    </w:div>
    <w:div w:id="192770065">
      <w:bodyDiv w:val="1"/>
      <w:marLeft w:val="0"/>
      <w:marRight w:val="0"/>
      <w:marTop w:val="0"/>
      <w:marBottom w:val="0"/>
      <w:divBdr>
        <w:top w:val="none" w:sz="0" w:space="0" w:color="auto"/>
        <w:left w:val="none" w:sz="0" w:space="0" w:color="auto"/>
        <w:bottom w:val="none" w:sz="0" w:space="0" w:color="auto"/>
        <w:right w:val="none" w:sz="0" w:space="0" w:color="auto"/>
      </w:divBdr>
    </w:div>
    <w:div w:id="194193973">
      <w:bodyDiv w:val="1"/>
      <w:marLeft w:val="0"/>
      <w:marRight w:val="0"/>
      <w:marTop w:val="0"/>
      <w:marBottom w:val="0"/>
      <w:divBdr>
        <w:top w:val="none" w:sz="0" w:space="0" w:color="auto"/>
        <w:left w:val="none" w:sz="0" w:space="0" w:color="auto"/>
        <w:bottom w:val="none" w:sz="0" w:space="0" w:color="auto"/>
        <w:right w:val="none" w:sz="0" w:space="0" w:color="auto"/>
      </w:divBdr>
    </w:div>
    <w:div w:id="203182840">
      <w:bodyDiv w:val="1"/>
      <w:marLeft w:val="0"/>
      <w:marRight w:val="0"/>
      <w:marTop w:val="0"/>
      <w:marBottom w:val="0"/>
      <w:divBdr>
        <w:top w:val="none" w:sz="0" w:space="0" w:color="auto"/>
        <w:left w:val="none" w:sz="0" w:space="0" w:color="auto"/>
        <w:bottom w:val="none" w:sz="0" w:space="0" w:color="auto"/>
        <w:right w:val="none" w:sz="0" w:space="0" w:color="auto"/>
      </w:divBdr>
    </w:div>
    <w:div w:id="260994753">
      <w:bodyDiv w:val="1"/>
      <w:marLeft w:val="0"/>
      <w:marRight w:val="0"/>
      <w:marTop w:val="0"/>
      <w:marBottom w:val="0"/>
      <w:divBdr>
        <w:top w:val="none" w:sz="0" w:space="0" w:color="auto"/>
        <w:left w:val="none" w:sz="0" w:space="0" w:color="auto"/>
        <w:bottom w:val="none" w:sz="0" w:space="0" w:color="auto"/>
        <w:right w:val="none" w:sz="0" w:space="0" w:color="auto"/>
      </w:divBdr>
    </w:div>
    <w:div w:id="276570719">
      <w:bodyDiv w:val="1"/>
      <w:marLeft w:val="0"/>
      <w:marRight w:val="0"/>
      <w:marTop w:val="0"/>
      <w:marBottom w:val="0"/>
      <w:divBdr>
        <w:top w:val="none" w:sz="0" w:space="0" w:color="auto"/>
        <w:left w:val="none" w:sz="0" w:space="0" w:color="auto"/>
        <w:bottom w:val="none" w:sz="0" w:space="0" w:color="auto"/>
        <w:right w:val="none" w:sz="0" w:space="0" w:color="auto"/>
      </w:divBdr>
    </w:div>
    <w:div w:id="276986626">
      <w:bodyDiv w:val="1"/>
      <w:marLeft w:val="0"/>
      <w:marRight w:val="0"/>
      <w:marTop w:val="0"/>
      <w:marBottom w:val="0"/>
      <w:divBdr>
        <w:top w:val="none" w:sz="0" w:space="0" w:color="auto"/>
        <w:left w:val="none" w:sz="0" w:space="0" w:color="auto"/>
        <w:bottom w:val="none" w:sz="0" w:space="0" w:color="auto"/>
        <w:right w:val="none" w:sz="0" w:space="0" w:color="auto"/>
      </w:divBdr>
    </w:div>
    <w:div w:id="282662526">
      <w:bodyDiv w:val="1"/>
      <w:marLeft w:val="0"/>
      <w:marRight w:val="0"/>
      <w:marTop w:val="0"/>
      <w:marBottom w:val="0"/>
      <w:divBdr>
        <w:top w:val="none" w:sz="0" w:space="0" w:color="auto"/>
        <w:left w:val="none" w:sz="0" w:space="0" w:color="auto"/>
        <w:bottom w:val="none" w:sz="0" w:space="0" w:color="auto"/>
        <w:right w:val="none" w:sz="0" w:space="0" w:color="auto"/>
      </w:divBdr>
    </w:div>
    <w:div w:id="356781712">
      <w:bodyDiv w:val="1"/>
      <w:marLeft w:val="0"/>
      <w:marRight w:val="0"/>
      <w:marTop w:val="0"/>
      <w:marBottom w:val="0"/>
      <w:divBdr>
        <w:top w:val="none" w:sz="0" w:space="0" w:color="auto"/>
        <w:left w:val="none" w:sz="0" w:space="0" w:color="auto"/>
        <w:bottom w:val="none" w:sz="0" w:space="0" w:color="auto"/>
        <w:right w:val="none" w:sz="0" w:space="0" w:color="auto"/>
      </w:divBdr>
    </w:div>
    <w:div w:id="366222676">
      <w:bodyDiv w:val="1"/>
      <w:marLeft w:val="0"/>
      <w:marRight w:val="0"/>
      <w:marTop w:val="0"/>
      <w:marBottom w:val="0"/>
      <w:divBdr>
        <w:top w:val="none" w:sz="0" w:space="0" w:color="auto"/>
        <w:left w:val="none" w:sz="0" w:space="0" w:color="auto"/>
        <w:bottom w:val="none" w:sz="0" w:space="0" w:color="auto"/>
        <w:right w:val="none" w:sz="0" w:space="0" w:color="auto"/>
      </w:divBdr>
    </w:div>
    <w:div w:id="380518972">
      <w:bodyDiv w:val="1"/>
      <w:marLeft w:val="0"/>
      <w:marRight w:val="0"/>
      <w:marTop w:val="0"/>
      <w:marBottom w:val="0"/>
      <w:divBdr>
        <w:top w:val="none" w:sz="0" w:space="0" w:color="auto"/>
        <w:left w:val="none" w:sz="0" w:space="0" w:color="auto"/>
        <w:bottom w:val="none" w:sz="0" w:space="0" w:color="auto"/>
        <w:right w:val="none" w:sz="0" w:space="0" w:color="auto"/>
      </w:divBdr>
    </w:div>
    <w:div w:id="388653623">
      <w:bodyDiv w:val="1"/>
      <w:marLeft w:val="0"/>
      <w:marRight w:val="0"/>
      <w:marTop w:val="0"/>
      <w:marBottom w:val="0"/>
      <w:divBdr>
        <w:top w:val="none" w:sz="0" w:space="0" w:color="auto"/>
        <w:left w:val="none" w:sz="0" w:space="0" w:color="auto"/>
        <w:bottom w:val="none" w:sz="0" w:space="0" w:color="auto"/>
        <w:right w:val="none" w:sz="0" w:space="0" w:color="auto"/>
      </w:divBdr>
    </w:div>
    <w:div w:id="398402352">
      <w:bodyDiv w:val="1"/>
      <w:marLeft w:val="0"/>
      <w:marRight w:val="0"/>
      <w:marTop w:val="0"/>
      <w:marBottom w:val="0"/>
      <w:divBdr>
        <w:top w:val="none" w:sz="0" w:space="0" w:color="auto"/>
        <w:left w:val="none" w:sz="0" w:space="0" w:color="auto"/>
        <w:bottom w:val="none" w:sz="0" w:space="0" w:color="auto"/>
        <w:right w:val="none" w:sz="0" w:space="0" w:color="auto"/>
      </w:divBdr>
    </w:div>
    <w:div w:id="412093769">
      <w:bodyDiv w:val="1"/>
      <w:marLeft w:val="0"/>
      <w:marRight w:val="0"/>
      <w:marTop w:val="0"/>
      <w:marBottom w:val="0"/>
      <w:divBdr>
        <w:top w:val="none" w:sz="0" w:space="0" w:color="auto"/>
        <w:left w:val="none" w:sz="0" w:space="0" w:color="auto"/>
        <w:bottom w:val="none" w:sz="0" w:space="0" w:color="auto"/>
        <w:right w:val="none" w:sz="0" w:space="0" w:color="auto"/>
      </w:divBdr>
    </w:div>
    <w:div w:id="422452925">
      <w:bodyDiv w:val="1"/>
      <w:marLeft w:val="0"/>
      <w:marRight w:val="0"/>
      <w:marTop w:val="0"/>
      <w:marBottom w:val="0"/>
      <w:divBdr>
        <w:top w:val="none" w:sz="0" w:space="0" w:color="auto"/>
        <w:left w:val="none" w:sz="0" w:space="0" w:color="auto"/>
        <w:bottom w:val="none" w:sz="0" w:space="0" w:color="auto"/>
        <w:right w:val="none" w:sz="0" w:space="0" w:color="auto"/>
      </w:divBdr>
    </w:div>
    <w:div w:id="475149791">
      <w:bodyDiv w:val="1"/>
      <w:marLeft w:val="0"/>
      <w:marRight w:val="0"/>
      <w:marTop w:val="0"/>
      <w:marBottom w:val="0"/>
      <w:divBdr>
        <w:top w:val="none" w:sz="0" w:space="0" w:color="auto"/>
        <w:left w:val="none" w:sz="0" w:space="0" w:color="auto"/>
        <w:bottom w:val="none" w:sz="0" w:space="0" w:color="auto"/>
        <w:right w:val="none" w:sz="0" w:space="0" w:color="auto"/>
      </w:divBdr>
    </w:div>
    <w:div w:id="481242974">
      <w:bodyDiv w:val="1"/>
      <w:marLeft w:val="0"/>
      <w:marRight w:val="0"/>
      <w:marTop w:val="0"/>
      <w:marBottom w:val="0"/>
      <w:divBdr>
        <w:top w:val="none" w:sz="0" w:space="0" w:color="auto"/>
        <w:left w:val="none" w:sz="0" w:space="0" w:color="auto"/>
        <w:bottom w:val="none" w:sz="0" w:space="0" w:color="auto"/>
        <w:right w:val="none" w:sz="0" w:space="0" w:color="auto"/>
      </w:divBdr>
    </w:div>
    <w:div w:id="530262173">
      <w:bodyDiv w:val="1"/>
      <w:marLeft w:val="0"/>
      <w:marRight w:val="0"/>
      <w:marTop w:val="0"/>
      <w:marBottom w:val="0"/>
      <w:divBdr>
        <w:top w:val="none" w:sz="0" w:space="0" w:color="auto"/>
        <w:left w:val="none" w:sz="0" w:space="0" w:color="auto"/>
        <w:bottom w:val="none" w:sz="0" w:space="0" w:color="auto"/>
        <w:right w:val="none" w:sz="0" w:space="0" w:color="auto"/>
      </w:divBdr>
    </w:div>
    <w:div w:id="583950673">
      <w:bodyDiv w:val="1"/>
      <w:marLeft w:val="0"/>
      <w:marRight w:val="0"/>
      <w:marTop w:val="0"/>
      <w:marBottom w:val="0"/>
      <w:divBdr>
        <w:top w:val="none" w:sz="0" w:space="0" w:color="auto"/>
        <w:left w:val="none" w:sz="0" w:space="0" w:color="auto"/>
        <w:bottom w:val="none" w:sz="0" w:space="0" w:color="auto"/>
        <w:right w:val="none" w:sz="0" w:space="0" w:color="auto"/>
      </w:divBdr>
    </w:div>
    <w:div w:id="594436673">
      <w:bodyDiv w:val="1"/>
      <w:marLeft w:val="0"/>
      <w:marRight w:val="0"/>
      <w:marTop w:val="0"/>
      <w:marBottom w:val="0"/>
      <w:divBdr>
        <w:top w:val="none" w:sz="0" w:space="0" w:color="auto"/>
        <w:left w:val="none" w:sz="0" w:space="0" w:color="auto"/>
        <w:bottom w:val="none" w:sz="0" w:space="0" w:color="auto"/>
        <w:right w:val="none" w:sz="0" w:space="0" w:color="auto"/>
      </w:divBdr>
    </w:div>
    <w:div w:id="615018364">
      <w:bodyDiv w:val="1"/>
      <w:marLeft w:val="0"/>
      <w:marRight w:val="0"/>
      <w:marTop w:val="0"/>
      <w:marBottom w:val="0"/>
      <w:divBdr>
        <w:top w:val="none" w:sz="0" w:space="0" w:color="auto"/>
        <w:left w:val="none" w:sz="0" w:space="0" w:color="auto"/>
        <w:bottom w:val="none" w:sz="0" w:space="0" w:color="auto"/>
        <w:right w:val="none" w:sz="0" w:space="0" w:color="auto"/>
      </w:divBdr>
    </w:div>
    <w:div w:id="626082088">
      <w:bodyDiv w:val="1"/>
      <w:marLeft w:val="0"/>
      <w:marRight w:val="0"/>
      <w:marTop w:val="0"/>
      <w:marBottom w:val="0"/>
      <w:divBdr>
        <w:top w:val="none" w:sz="0" w:space="0" w:color="auto"/>
        <w:left w:val="none" w:sz="0" w:space="0" w:color="auto"/>
        <w:bottom w:val="none" w:sz="0" w:space="0" w:color="auto"/>
        <w:right w:val="none" w:sz="0" w:space="0" w:color="auto"/>
      </w:divBdr>
    </w:div>
    <w:div w:id="677393255">
      <w:bodyDiv w:val="1"/>
      <w:marLeft w:val="0"/>
      <w:marRight w:val="0"/>
      <w:marTop w:val="0"/>
      <w:marBottom w:val="0"/>
      <w:divBdr>
        <w:top w:val="none" w:sz="0" w:space="0" w:color="auto"/>
        <w:left w:val="none" w:sz="0" w:space="0" w:color="auto"/>
        <w:bottom w:val="none" w:sz="0" w:space="0" w:color="auto"/>
        <w:right w:val="none" w:sz="0" w:space="0" w:color="auto"/>
      </w:divBdr>
    </w:div>
    <w:div w:id="687410902">
      <w:bodyDiv w:val="1"/>
      <w:marLeft w:val="0"/>
      <w:marRight w:val="0"/>
      <w:marTop w:val="0"/>
      <w:marBottom w:val="0"/>
      <w:divBdr>
        <w:top w:val="none" w:sz="0" w:space="0" w:color="auto"/>
        <w:left w:val="none" w:sz="0" w:space="0" w:color="auto"/>
        <w:bottom w:val="none" w:sz="0" w:space="0" w:color="auto"/>
        <w:right w:val="none" w:sz="0" w:space="0" w:color="auto"/>
      </w:divBdr>
    </w:div>
    <w:div w:id="695354391">
      <w:bodyDiv w:val="1"/>
      <w:marLeft w:val="0"/>
      <w:marRight w:val="0"/>
      <w:marTop w:val="0"/>
      <w:marBottom w:val="0"/>
      <w:divBdr>
        <w:top w:val="none" w:sz="0" w:space="0" w:color="auto"/>
        <w:left w:val="none" w:sz="0" w:space="0" w:color="auto"/>
        <w:bottom w:val="none" w:sz="0" w:space="0" w:color="auto"/>
        <w:right w:val="none" w:sz="0" w:space="0" w:color="auto"/>
      </w:divBdr>
    </w:div>
    <w:div w:id="722171979">
      <w:bodyDiv w:val="1"/>
      <w:marLeft w:val="0"/>
      <w:marRight w:val="0"/>
      <w:marTop w:val="0"/>
      <w:marBottom w:val="0"/>
      <w:divBdr>
        <w:top w:val="none" w:sz="0" w:space="0" w:color="auto"/>
        <w:left w:val="none" w:sz="0" w:space="0" w:color="auto"/>
        <w:bottom w:val="none" w:sz="0" w:space="0" w:color="auto"/>
        <w:right w:val="none" w:sz="0" w:space="0" w:color="auto"/>
      </w:divBdr>
    </w:div>
    <w:div w:id="758451928">
      <w:bodyDiv w:val="1"/>
      <w:marLeft w:val="0"/>
      <w:marRight w:val="0"/>
      <w:marTop w:val="0"/>
      <w:marBottom w:val="0"/>
      <w:divBdr>
        <w:top w:val="none" w:sz="0" w:space="0" w:color="auto"/>
        <w:left w:val="none" w:sz="0" w:space="0" w:color="auto"/>
        <w:bottom w:val="none" w:sz="0" w:space="0" w:color="auto"/>
        <w:right w:val="none" w:sz="0" w:space="0" w:color="auto"/>
      </w:divBdr>
    </w:div>
    <w:div w:id="773985638">
      <w:bodyDiv w:val="1"/>
      <w:marLeft w:val="0"/>
      <w:marRight w:val="0"/>
      <w:marTop w:val="0"/>
      <w:marBottom w:val="0"/>
      <w:divBdr>
        <w:top w:val="none" w:sz="0" w:space="0" w:color="auto"/>
        <w:left w:val="none" w:sz="0" w:space="0" w:color="auto"/>
        <w:bottom w:val="none" w:sz="0" w:space="0" w:color="auto"/>
        <w:right w:val="none" w:sz="0" w:space="0" w:color="auto"/>
      </w:divBdr>
    </w:div>
    <w:div w:id="780343460">
      <w:bodyDiv w:val="1"/>
      <w:marLeft w:val="0"/>
      <w:marRight w:val="0"/>
      <w:marTop w:val="0"/>
      <w:marBottom w:val="0"/>
      <w:divBdr>
        <w:top w:val="none" w:sz="0" w:space="0" w:color="auto"/>
        <w:left w:val="none" w:sz="0" w:space="0" w:color="auto"/>
        <w:bottom w:val="none" w:sz="0" w:space="0" w:color="auto"/>
        <w:right w:val="none" w:sz="0" w:space="0" w:color="auto"/>
      </w:divBdr>
    </w:div>
    <w:div w:id="786852941">
      <w:bodyDiv w:val="1"/>
      <w:marLeft w:val="0"/>
      <w:marRight w:val="0"/>
      <w:marTop w:val="0"/>
      <w:marBottom w:val="0"/>
      <w:divBdr>
        <w:top w:val="none" w:sz="0" w:space="0" w:color="auto"/>
        <w:left w:val="none" w:sz="0" w:space="0" w:color="auto"/>
        <w:bottom w:val="none" w:sz="0" w:space="0" w:color="auto"/>
        <w:right w:val="none" w:sz="0" w:space="0" w:color="auto"/>
      </w:divBdr>
    </w:div>
    <w:div w:id="805467310">
      <w:bodyDiv w:val="1"/>
      <w:marLeft w:val="0"/>
      <w:marRight w:val="0"/>
      <w:marTop w:val="0"/>
      <w:marBottom w:val="0"/>
      <w:divBdr>
        <w:top w:val="none" w:sz="0" w:space="0" w:color="auto"/>
        <w:left w:val="none" w:sz="0" w:space="0" w:color="auto"/>
        <w:bottom w:val="none" w:sz="0" w:space="0" w:color="auto"/>
        <w:right w:val="none" w:sz="0" w:space="0" w:color="auto"/>
      </w:divBdr>
    </w:div>
    <w:div w:id="811021411">
      <w:bodyDiv w:val="1"/>
      <w:marLeft w:val="0"/>
      <w:marRight w:val="0"/>
      <w:marTop w:val="0"/>
      <w:marBottom w:val="0"/>
      <w:divBdr>
        <w:top w:val="none" w:sz="0" w:space="0" w:color="auto"/>
        <w:left w:val="none" w:sz="0" w:space="0" w:color="auto"/>
        <w:bottom w:val="none" w:sz="0" w:space="0" w:color="auto"/>
        <w:right w:val="none" w:sz="0" w:space="0" w:color="auto"/>
      </w:divBdr>
    </w:div>
    <w:div w:id="833182996">
      <w:bodyDiv w:val="1"/>
      <w:marLeft w:val="0"/>
      <w:marRight w:val="0"/>
      <w:marTop w:val="0"/>
      <w:marBottom w:val="0"/>
      <w:divBdr>
        <w:top w:val="none" w:sz="0" w:space="0" w:color="auto"/>
        <w:left w:val="none" w:sz="0" w:space="0" w:color="auto"/>
        <w:bottom w:val="none" w:sz="0" w:space="0" w:color="auto"/>
        <w:right w:val="none" w:sz="0" w:space="0" w:color="auto"/>
      </w:divBdr>
    </w:div>
    <w:div w:id="860704862">
      <w:bodyDiv w:val="1"/>
      <w:marLeft w:val="0"/>
      <w:marRight w:val="0"/>
      <w:marTop w:val="0"/>
      <w:marBottom w:val="0"/>
      <w:divBdr>
        <w:top w:val="none" w:sz="0" w:space="0" w:color="auto"/>
        <w:left w:val="none" w:sz="0" w:space="0" w:color="auto"/>
        <w:bottom w:val="none" w:sz="0" w:space="0" w:color="auto"/>
        <w:right w:val="none" w:sz="0" w:space="0" w:color="auto"/>
      </w:divBdr>
    </w:div>
    <w:div w:id="877661688">
      <w:bodyDiv w:val="1"/>
      <w:marLeft w:val="0"/>
      <w:marRight w:val="0"/>
      <w:marTop w:val="0"/>
      <w:marBottom w:val="0"/>
      <w:divBdr>
        <w:top w:val="none" w:sz="0" w:space="0" w:color="auto"/>
        <w:left w:val="none" w:sz="0" w:space="0" w:color="auto"/>
        <w:bottom w:val="none" w:sz="0" w:space="0" w:color="auto"/>
        <w:right w:val="none" w:sz="0" w:space="0" w:color="auto"/>
      </w:divBdr>
    </w:div>
    <w:div w:id="886452986">
      <w:bodyDiv w:val="1"/>
      <w:marLeft w:val="0"/>
      <w:marRight w:val="0"/>
      <w:marTop w:val="0"/>
      <w:marBottom w:val="0"/>
      <w:divBdr>
        <w:top w:val="none" w:sz="0" w:space="0" w:color="auto"/>
        <w:left w:val="none" w:sz="0" w:space="0" w:color="auto"/>
        <w:bottom w:val="none" w:sz="0" w:space="0" w:color="auto"/>
        <w:right w:val="none" w:sz="0" w:space="0" w:color="auto"/>
      </w:divBdr>
    </w:div>
    <w:div w:id="897009948">
      <w:bodyDiv w:val="1"/>
      <w:marLeft w:val="0"/>
      <w:marRight w:val="0"/>
      <w:marTop w:val="0"/>
      <w:marBottom w:val="0"/>
      <w:divBdr>
        <w:top w:val="none" w:sz="0" w:space="0" w:color="auto"/>
        <w:left w:val="none" w:sz="0" w:space="0" w:color="auto"/>
        <w:bottom w:val="none" w:sz="0" w:space="0" w:color="auto"/>
        <w:right w:val="none" w:sz="0" w:space="0" w:color="auto"/>
      </w:divBdr>
    </w:div>
    <w:div w:id="941886008">
      <w:bodyDiv w:val="1"/>
      <w:marLeft w:val="0"/>
      <w:marRight w:val="0"/>
      <w:marTop w:val="0"/>
      <w:marBottom w:val="0"/>
      <w:divBdr>
        <w:top w:val="none" w:sz="0" w:space="0" w:color="auto"/>
        <w:left w:val="none" w:sz="0" w:space="0" w:color="auto"/>
        <w:bottom w:val="none" w:sz="0" w:space="0" w:color="auto"/>
        <w:right w:val="none" w:sz="0" w:space="0" w:color="auto"/>
      </w:divBdr>
    </w:div>
    <w:div w:id="966663094">
      <w:bodyDiv w:val="1"/>
      <w:marLeft w:val="0"/>
      <w:marRight w:val="0"/>
      <w:marTop w:val="0"/>
      <w:marBottom w:val="0"/>
      <w:divBdr>
        <w:top w:val="none" w:sz="0" w:space="0" w:color="auto"/>
        <w:left w:val="none" w:sz="0" w:space="0" w:color="auto"/>
        <w:bottom w:val="none" w:sz="0" w:space="0" w:color="auto"/>
        <w:right w:val="none" w:sz="0" w:space="0" w:color="auto"/>
      </w:divBdr>
    </w:div>
    <w:div w:id="975644873">
      <w:bodyDiv w:val="1"/>
      <w:marLeft w:val="0"/>
      <w:marRight w:val="0"/>
      <w:marTop w:val="0"/>
      <w:marBottom w:val="0"/>
      <w:divBdr>
        <w:top w:val="none" w:sz="0" w:space="0" w:color="auto"/>
        <w:left w:val="none" w:sz="0" w:space="0" w:color="auto"/>
        <w:bottom w:val="none" w:sz="0" w:space="0" w:color="auto"/>
        <w:right w:val="none" w:sz="0" w:space="0" w:color="auto"/>
      </w:divBdr>
    </w:div>
    <w:div w:id="991563940">
      <w:bodyDiv w:val="1"/>
      <w:marLeft w:val="0"/>
      <w:marRight w:val="0"/>
      <w:marTop w:val="0"/>
      <w:marBottom w:val="0"/>
      <w:divBdr>
        <w:top w:val="none" w:sz="0" w:space="0" w:color="auto"/>
        <w:left w:val="none" w:sz="0" w:space="0" w:color="auto"/>
        <w:bottom w:val="none" w:sz="0" w:space="0" w:color="auto"/>
        <w:right w:val="none" w:sz="0" w:space="0" w:color="auto"/>
      </w:divBdr>
    </w:div>
    <w:div w:id="1008406887">
      <w:bodyDiv w:val="1"/>
      <w:marLeft w:val="0"/>
      <w:marRight w:val="0"/>
      <w:marTop w:val="0"/>
      <w:marBottom w:val="0"/>
      <w:divBdr>
        <w:top w:val="none" w:sz="0" w:space="0" w:color="auto"/>
        <w:left w:val="none" w:sz="0" w:space="0" w:color="auto"/>
        <w:bottom w:val="none" w:sz="0" w:space="0" w:color="auto"/>
        <w:right w:val="none" w:sz="0" w:space="0" w:color="auto"/>
      </w:divBdr>
    </w:div>
    <w:div w:id="1029991877">
      <w:bodyDiv w:val="1"/>
      <w:marLeft w:val="0"/>
      <w:marRight w:val="0"/>
      <w:marTop w:val="0"/>
      <w:marBottom w:val="0"/>
      <w:divBdr>
        <w:top w:val="none" w:sz="0" w:space="0" w:color="auto"/>
        <w:left w:val="none" w:sz="0" w:space="0" w:color="auto"/>
        <w:bottom w:val="none" w:sz="0" w:space="0" w:color="auto"/>
        <w:right w:val="none" w:sz="0" w:space="0" w:color="auto"/>
      </w:divBdr>
    </w:div>
    <w:div w:id="1057123599">
      <w:bodyDiv w:val="1"/>
      <w:marLeft w:val="0"/>
      <w:marRight w:val="0"/>
      <w:marTop w:val="0"/>
      <w:marBottom w:val="0"/>
      <w:divBdr>
        <w:top w:val="none" w:sz="0" w:space="0" w:color="auto"/>
        <w:left w:val="none" w:sz="0" w:space="0" w:color="auto"/>
        <w:bottom w:val="none" w:sz="0" w:space="0" w:color="auto"/>
        <w:right w:val="none" w:sz="0" w:space="0" w:color="auto"/>
      </w:divBdr>
    </w:div>
    <w:div w:id="1060178586">
      <w:bodyDiv w:val="1"/>
      <w:marLeft w:val="0"/>
      <w:marRight w:val="0"/>
      <w:marTop w:val="0"/>
      <w:marBottom w:val="0"/>
      <w:divBdr>
        <w:top w:val="none" w:sz="0" w:space="0" w:color="auto"/>
        <w:left w:val="none" w:sz="0" w:space="0" w:color="auto"/>
        <w:bottom w:val="none" w:sz="0" w:space="0" w:color="auto"/>
        <w:right w:val="none" w:sz="0" w:space="0" w:color="auto"/>
      </w:divBdr>
    </w:div>
    <w:div w:id="1123229163">
      <w:bodyDiv w:val="1"/>
      <w:marLeft w:val="0"/>
      <w:marRight w:val="0"/>
      <w:marTop w:val="0"/>
      <w:marBottom w:val="0"/>
      <w:divBdr>
        <w:top w:val="none" w:sz="0" w:space="0" w:color="auto"/>
        <w:left w:val="none" w:sz="0" w:space="0" w:color="auto"/>
        <w:bottom w:val="none" w:sz="0" w:space="0" w:color="auto"/>
        <w:right w:val="none" w:sz="0" w:space="0" w:color="auto"/>
      </w:divBdr>
    </w:div>
    <w:div w:id="1141078864">
      <w:bodyDiv w:val="1"/>
      <w:marLeft w:val="0"/>
      <w:marRight w:val="0"/>
      <w:marTop w:val="0"/>
      <w:marBottom w:val="0"/>
      <w:divBdr>
        <w:top w:val="none" w:sz="0" w:space="0" w:color="auto"/>
        <w:left w:val="none" w:sz="0" w:space="0" w:color="auto"/>
        <w:bottom w:val="none" w:sz="0" w:space="0" w:color="auto"/>
        <w:right w:val="none" w:sz="0" w:space="0" w:color="auto"/>
      </w:divBdr>
    </w:div>
    <w:div w:id="1184512317">
      <w:bodyDiv w:val="1"/>
      <w:marLeft w:val="0"/>
      <w:marRight w:val="0"/>
      <w:marTop w:val="0"/>
      <w:marBottom w:val="0"/>
      <w:divBdr>
        <w:top w:val="none" w:sz="0" w:space="0" w:color="auto"/>
        <w:left w:val="none" w:sz="0" w:space="0" w:color="auto"/>
        <w:bottom w:val="none" w:sz="0" w:space="0" w:color="auto"/>
        <w:right w:val="none" w:sz="0" w:space="0" w:color="auto"/>
      </w:divBdr>
    </w:div>
    <w:div w:id="1190073341">
      <w:bodyDiv w:val="1"/>
      <w:marLeft w:val="0"/>
      <w:marRight w:val="0"/>
      <w:marTop w:val="0"/>
      <w:marBottom w:val="0"/>
      <w:divBdr>
        <w:top w:val="none" w:sz="0" w:space="0" w:color="auto"/>
        <w:left w:val="none" w:sz="0" w:space="0" w:color="auto"/>
        <w:bottom w:val="none" w:sz="0" w:space="0" w:color="auto"/>
        <w:right w:val="none" w:sz="0" w:space="0" w:color="auto"/>
      </w:divBdr>
    </w:div>
    <w:div w:id="1206022209">
      <w:bodyDiv w:val="1"/>
      <w:marLeft w:val="0"/>
      <w:marRight w:val="0"/>
      <w:marTop w:val="0"/>
      <w:marBottom w:val="0"/>
      <w:divBdr>
        <w:top w:val="none" w:sz="0" w:space="0" w:color="auto"/>
        <w:left w:val="none" w:sz="0" w:space="0" w:color="auto"/>
        <w:bottom w:val="none" w:sz="0" w:space="0" w:color="auto"/>
        <w:right w:val="none" w:sz="0" w:space="0" w:color="auto"/>
      </w:divBdr>
    </w:div>
    <w:div w:id="1226529388">
      <w:bodyDiv w:val="1"/>
      <w:marLeft w:val="0"/>
      <w:marRight w:val="0"/>
      <w:marTop w:val="0"/>
      <w:marBottom w:val="0"/>
      <w:divBdr>
        <w:top w:val="none" w:sz="0" w:space="0" w:color="auto"/>
        <w:left w:val="none" w:sz="0" w:space="0" w:color="auto"/>
        <w:bottom w:val="none" w:sz="0" w:space="0" w:color="auto"/>
        <w:right w:val="none" w:sz="0" w:space="0" w:color="auto"/>
      </w:divBdr>
    </w:div>
    <w:div w:id="1315140257">
      <w:bodyDiv w:val="1"/>
      <w:marLeft w:val="0"/>
      <w:marRight w:val="0"/>
      <w:marTop w:val="0"/>
      <w:marBottom w:val="0"/>
      <w:divBdr>
        <w:top w:val="none" w:sz="0" w:space="0" w:color="auto"/>
        <w:left w:val="none" w:sz="0" w:space="0" w:color="auto"/>
        <w:bottom w:val="none" w:sz="0" w:space="0" w:color="auto"/>
        <w:right w:val="none" w:sz="0" w:space="0" w:color="auto"/>
      </w:divBdr>
    </w:div>
    <w:div w:id="1330400226">
      <w:bodyDiv w:val="1"/>
      <w:marLeft w:val="0"/>
      <w:marRight w:val="0"/>
      <w:marTop w:val="0"/>
      <w:marBottom w:val="0"/>
      <w:divBdr>
        <w:top w:val="none" w:sz="0" w:space="0" w:color="auto"/>
        <w:left w:val="none" w:sz="0" w:space="0" w:color="auto"/>
        <w:bottom w:val="none" w:sz="0" w:space="0" w:color="auto"/>
        <w:right w:val="none" w:sz="0" w:space="0" w:color="auto"/>
      </w:divBdr>
    </w:div>
    <w:div w:id="1362625960">
      <w:bodyDiv w:val="1"/>
      <w:marLeft w:val="0"/>
      <w:marRight w:val="0"/>
      <w:marTop w:val="0"/>
      <w:marBottom w:val="0"/>
      <w:divBdr>
        <w:top w:val="none" w:sz="0" w:space="0" w:color="auto"/>
        <w:left w:val="none" w:sz="0" w:space="0" w:color="auto"/>
        <w:bottom w:val="none" w:sz="0" w:space="0" w:color="auto"/>
        <w:right w:val="none" w:sz="0" w:space="0" w:color="auto"/>
      </w:divBdr>
    </w:div>
    <w:div w:id="1396777753">
      <w:bodyDiv w:val="1"/>
      <w:marLeft w:val="0"/>
      <w:marRight w:val="0"/>
      <w:marTop w:val="0"/>
      <w:marBottom w:val="0"/>
      <w:divBdr>
        <w:top w:val="none" w:sz="0" w:space="0" w:color="auto"/>
        <w:left w:val="none" w:sz="0" w:space="0" w:color="auto"/>
        <w:bottom w:val="none" w:sz="0" w:space="0" w:color="auto"/>
        <w:right w:val="none" w:sz="0" w:space="0" w:color="auto"/>
      </w:divBdr>
    </w:div>
    <w:div w:id="1400833580">
      <w:bodyDiv w:val="1"/>
      <w:marLeft w:val="0"/>
      <w:marRight w:val="0"/>
      <w:marTop w:val="0"/>
      <w:marBottom w:val="0"/>
      <w:divBdr>
        <w:top w:val="none" w:sz="0" w:space="0" w:color="auto"/>
        <w:left w:val="none" w:sz="0" w:space="0" w:color="auto"/>
        <w:bottom w:val="none" w:sz="0" w:space="0" w:color="auto"/>
        <w:right w:val="none" w:sz="0" w:space="0" w:color="auto"/>
      </w:divBdr>
    </w:div>
    <w:div w:id="1462457190">
      <w:bodyDiv w:val="1"/>
      <w:marLeft w:val="0"/>
      <w:marRight w:val="0"/>
      <w:marTop w:val="0"/>
      <w:marBottom w:val="0"/>
      <w:divBdr>
        <w:top w:val="none" w:sz="0" w:space="0" w:color="auto"/>
        <w:left w:val="none" w:sz="0" w:space="0" w:color="auto"/>
        <w:bottom w:val="none" w:sz="0" w:space="0" w:color="auto"/>
        <w:right w:val="none" w:sz="0" w:space="0" w:color="auto"/>
      </w:divBdr>
    </w:div>
    <w:div w:id="1469132559">
      <w:bodyDiv w:val="1"/>
      <w:marLeft w:val="0"/>
      <w:marRight w:val="0"/>
      <w:marTop w:val="0"/>
      <w:marBottom w:val="0"/>
      <w:divBdr>
        <w:top w:val="none" w:sz="0" w:space="0" w:color="auto"/>
        <w:left w:val="none" w:sz="0" w:space="0" w:color="auto"/>
        <w:bottom w:val="none" w:sz="0" w:space="0" w:color="auto"/>
        <w:right w:val="none" w:sz="0" w:space="0" w:color="auto"/>
      </w:divBdr>
    </w:div>
    <w:div w:id="1493721514">
      <w:bodyDiv w:val="1"/>
      <w:marLeft w:val="0"/>
      <w:marRight w:val="0"/>
      <w:marTop w:val="0"/>
      <w:marBottom w:val="0"/>
      <w:divBdr>
        <w:top w:val="none" w:sz="0" w:space="0" w:color="auto"/>
        <w:left w:val="none" w:sz="0" w:space="0" w:color="auto"/>
        <w:bottom w:val="none" w:sz="0" w:space="0" w:color="auto"/>
        <w:right w:val="none" w:sz="0" w:space="0" w:color="auto"/>
      </w:divBdr>
    </w:div>
    <w:div w:id="1570530273">
      <w:bodyDiv w:val="1"/>
      <w:marLeft w:val="0"/>
      <w:marRight w:val="0"/>
      <w:marTop w:val="0"/>
      <w:marBottom w:val="0"/>
      <w:divBdr>
        <w:top w:val="none" w:sz="0" w:space="0" w:color="auto"/>
        <w:left w:val="none" w:sz="0" w:space="0" w:color="auto"/>
        <w:bottom w:val="none" w:sz="0" w:space="0" w:color="auto"/>
        <w:right w:val="none" w:sz="0" w:space="0" w:color="auto"/>
      </w:divBdr>
    </w:div>
    <w:div w:id="1604727619">
      <w:bodyDiv w:val="1"/>
      <w:marLeft w:val="0"/>
      <w:marRight w:val="0"/>
      <w:marTop w:val="0"/>
      <w:marBottom w:val="0"/>
      <w:divBdr>
        <w:top w:val="none" w:sz="0" w:space="0" w:color="auto"/>
        <w:left w:val="none" w:sz="0" w:space="0" w:color="auto"/>
        <w:bottom w:val="none" w:sz="0" w:space="0" w:color="auto"/>
        <w:right w:val="none" w:sz="0" w:space="0" w:color="auto"/>
      </w:divBdr>
    </w:div>
    <w:div w:id="1610578551">
      <w:bodyDiv w:val="1"/>
      <w:marLeft w:val="0"/>
      <w:marRight w:val="0"/>
      <w:marTop w:val="0"/>
      <w:marBottom w:val="0"/>
      <w:divBdr>
        <w:top w:val="none" w:sz="0" w:space="0" w:color="auto"/>
        <w:left w:val="none" w:sz="0" w:space="0" w:color="auto"/>
        <w:bottom w:val="none" w:sz="0" w:space="0" w:color="auto"/>
        <w:right w:val="none" w:sz="0" w:space="0" w:color="auto"/>
      </w:divBdr>
    </w:div>
    <w:div w:id="1619337509">
      <w:bodyDiv w:val="1"/>
      <w:marLeft w:val="0"/>
      <w:marRight w:val="0"/>
      <w:marTop w:val="0"/>
      <w:marBottom w:val="0"/>
      <w:divBdr>
        <w:top w:val="none" w:sz="0" w:space="0" w:color="auto"/>
        <w:left w:val="none" w:sz="0" w:space="0" w:color="auto"/>
        <w:bottom w:val="none" w:sz="0" w:space="0" w:color="auto"/>
        <w:right w:val="none" w:sz="0" w:space="0" w:color="auto"/>
      </w:divBdr>
    </w:div>
    <w:div w:id="1661157398">
      <w:bodyDiv w:val="1"/>
      <w:marLeft w:val="0"/>
      <w:marRight w:val="0"/>
      <w:marTop w:val="0"/>
      <w:marBottom w:val="0"/>
      <w:divBdr>
        <w:top w:val="none" w:sz="0" w:space="0" w:color="auto"/>
        <w:left w:val="none" w:sz="0" w:space="0" w:color="auto"/>
        <w:bottom w:val="none" w:sz="0" w:space="0" w:color="auto"/>
        <w:right w:val="none" w:sz="0" w:space="0" w:color="auto"/>
      </w:divBdr>
    </w:div>
    <w:div w:id="1742024509">
      <w:bodyDiv w:val="1"/>
      <w:marLeft w:val="0"/>
      <w:marRight w:val="0"/>
      <w:marTop w:val="0"/>
      <w:marBottom w:val="0"/>
      <w:divBdr>
        <w:top w:val="none" w:sz="0" w:space="0" w:color="auto"/>
        <w:left w:val="none" w:sz="0" w:space="0" w:color="auto"/>
        <w:bottom w:val="none" w:sz="0" w:space="0" w:color="auto"/>
        <w:right w:val="none" w:sz="0" w:space="0" w:color="auto"/>
      </w:divBdr>
    </w:div>
    <w:div w:id="1788699956">
      <w:bodyDiv w:val="1"/>
      <w:marLeft w:val="0"/>
      <w:marRight w:val="0"/>
      <w:marTop w:val="0"/>
      <w:marBottom w:val="0"/>
      <w:divBdr>
        <w:top w:val="none" w:sz="0" w:space="0" w:color="auto"/>
        <w:left w:val="none" w:sz="0" w:space="0" w:color="auto"/>
        <w:bottom w:val="none" w:sz="0" w:space="0" w:color="auto"/>
        <w:right w:val="none" w:sz="0" w:space="0" w:color="auto"/>
      </w:divBdr>
    </w:div>
    <w:div w:id="1800419795">
      <w:bodyDiv w:val="1"/>
      <w:marLeft w:val="0"/>
      <w:marRight w:val="0"/>
      <w:marTop w:val="0"/>
      <w:marBottom w:val="0"/>
      <w:divBdr>
        <w:top w:val="none" w:sz="0" w:space="0" w:color="auto"/>
        <w:left w:val="none" w:sz="0" w:space="0" w:color="auto"/>
        <w:bottom w:val="none" w:sz="0" w:space="0" w:color="auto"/>
        <w:right w:val="none" w:sz="0" w:space="0" w:color="auto"/>
      </w:divBdr>
    </w:div>
    <w:div w:id="1805077214">
      <w:bodyDiv w:val="1"/>
      <w:marLeft w:val="0"/>
      <w:marRight w:val="0"/>
      <w:marTop w:val="0"/>
      <w:marBottom w:val="0"/>
      <w:divBdr>
        <w:top w:val="none" w:sz="0" w:space="0" w:color="auto"/>
        <w:left w:val="none" w:sz="0" w:space="0" w:color="auto"/>
        <w:bottom w:val="none" w:sz="0" w:space="0" w:color="auto"/>
        <w:right w:val="none" w:sz="0" w:space="0" w:color="auto"/>
      </w:divBdr>
    </w:div>
    <w:div w:id="1820804539">
      <w:bodyDiv w:val="1"/>
      <w:marLeft w:val="0"/>
      <w:marRight w:val="0"/>
      <w:marTop w:val="0"/>
      <w:marBottom w:val="0"/>
      <w:divBdr>
        <w:top w:val="none" w:sz="0" w:space="0" w:color="auto"/>
        <w:left w:val="none" w:sz="0" w:space="0" w:color="auto"/>
        <w:bottom w:val="none" w:sz="0" w:space="0" w:color="auto"/>
        <w:right w:val="none" w:sz="0" w:space="0" w:color="auto"/>
      </w:divBdr>
    </w:div>
    <w:div w:id="1938517216">
      <w:bodyDiv w:val="1"/>
      <w:marLeft w:val="0"/>
      <w:marRight w:val="0"/>
      <w:marTop w:val="0"/>
      <w:marBottom w:val="0"/>
      <w:divBdr>
        <w:top w:val="none" w:sz="0" w:space="0" w:color="auto"/>
        <w:left w:val="none" w:sz="0" w:space="0" w:color="auto"/>
        <w:bottom w:val="none" w:sz="0" w:space="0" w:color="auto"/>
        <w:right w:val="none" w:sz="0" w:space="0" w:color="auto"/>
      </w:divBdr>
    </w:div>
    <w:div w:id="2104715407">
      <w:bodyDiv w:val="1"/>
      <w:marLeft w:val="0"/>
      <w:marRight w:val="0"/>
      <w:marTop w:val="0"/>
      <w:marBottom w:val="0"/>
      <w:divBdr>
        <w:top w:val="none" w:sz="0" w:space="0" w:color="auto"/>
        <w:left w:val="none" w:sz="0" w:space="0" w:color="auto"/>
        <w:bottom w:val="none" w:sz="0" w:space="0" w:color="auto"/>
        <w:right w:val="none" w:sz="0" w:space="0" w:color="auto"/>
      </w:divBdr>
    </w:div>
    <w:div w:id="2105832030">
      <w:bodyDiv w:val="1"/>
      <w:marLeft w:val="0"/>
      <w:marRight w:val="0"/>
      <w:marTop w:val="0"/>
      <w:marBottom w:val="0"/>
      <w:divBdr>
        <w:top w:val="none" w:sz="0" w:space="0" w:color="auto"/>
        <w:left w:val="none" w:sz="0" w:space="0" w:color="auto"/>
        <w:bottom w:val="none" w:sz="0" w:space="0" w:color="auto"/>
        <w:right w:val="none" w:sz="0" w:space="0" w:color="auto"/>
      </w:divBdr>
    </w:div>
    <w:div w:id="21268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RZDMS!110696592.2</documentid>
  <senderid>FILIP.LESNIAK</senderid>
  <senderemail>FILIP.LESNIAK@RZMLAW.COM</senderemail>
  <lastmodified>2026-04-21T12:52:00.0000000+02:00</lastmodified>
  <database>RZDMS</database>
</properties>
</file>

<file path=customXml/itemProps1.xml><?xml version="1.0" encoding="utf-8"?>
<ds:datastoreItem xmlns:ds="http://schemas.openxmlformats.org/officeDocument/2006/customXml" ds:itemID="{3338202A-4BA8-4E0C-89F4-4426C56B7388}">
  <ds:schemaRefs>
    <ds:schemaRef ds:uri="http://schemas.openxmlformats.org/officeDocument/2006/bibliography"/>
  </ds:schemaRefs>
</ds:datastoreItem>
</file>

<file path=customXml/itemProps2.xml><?xml version="1.0" encoding="utf-8"?>
<ds:datastoreItem xmlns:ds="http://schemas.openxmlformats.org/officeDocument/2006/customXml" ds:itemID="{D7243A3D-16DE-4973-A7A8-07E787988B4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5094</Words>
  <Characters>29038</Characters>
  <Application>Microsoft Office Word</Application>
  <DocSecurity>0</DocSecurity>
  <Lines>241</Lines>
  <Paragraphs>68</Paragraphs>
  <ScaleCrop>false</ScaleCrop>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Dabrowska</cp:lastModifiedBy>
  <cp:revision>2</cp:revision>
  <cp:lastPrinted>2026-04-24T04:00:00Z</cp:lastPrinted>
  <dcterms:created xsi:type="dcterms:W3CDTF">2026-04-24T04:00:00Z</dcterms:created>
  <dcterms:modified xsi:type="dcterms:W3CDTF">2026-04-24T19:18:00Z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WAW 3368445v2</vt:lpwstr>
  </property>
  <property fmtid="{D5CDD505-2E9C-101B-9397-08002B2CF9AE}" pid="3" name="CUS_DocIDString">
    <vt:lpwstr>WAW 4158340v6</vt:lpwstr>
  </property>
  <property fmtid="{D5CDD505-2E9C-101B-9397-08002B2CF9AE}" pid="4" name="CUS_DocIDChunk0">
    <vt:lpwstr>WAW 4158340v6</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